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72281" w14:textId="63CE800C" w:rsidR="006E1676" w:rsidRPr="007B140B" w:rsidRDefault="00F756DC" w:rsidP="00FE3363">
      <w:p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CLINICAL </w:t>
      </w:r>
      <w:r w:rsidR="00CA534D" w:rsidRPr="007B140B">
        <w:rPr>
          <w:rFonts w:ascii="Times New Roman" w:hAnsi="Times New Roman" w:cs="Times New Roman"/>
          <w:sz w:val="24"/>
          <w:szCs w:val="24"/>
          <w:lang w:val="en-US"/>
        </w:rPr>
        <w:t>TRIAL</w:t>
      </w:r>
      <w:r w:rsidRPr="007B140B">
        <w:rPr>
          <w:rFonts w:ascii="Times New Roman" w:hAnsi="Times New Roman" w:cs="Times New Roman"/>
          <w:sz w:val="24"/>
          <w:szCs w:val="24"/>
          <w:lang w:val="en-US"/>
        </w:rPr>
        <w:t xml:space="preserve"> PROTOCOL</w:t>
      </w:r>
    </w:p>
    <w:p w14:paraId="63639D15" w14:textId="77777777" w:rsidR="006E1676" w:rsidRPr="007B140B" w:rsidRDefault="006E1676" w:rsidP="00FE3363">
      <w:pPr>
        <w:rPr>
          <w:rFonts w:ascii="Times New Roman" w:hAnsi="Times New Roman" w:cs="Times New Roman"/>
          <w:sz w:val="24"/>
          <w:szCs w:val="24"/>
          <w:lang w:val="en-US"/>
        </w:rPr>
      </w:pPr>
    </w:p>
    <w:tbl>
      <w:tblPr>
        <w:tblW w:w="0" w:type="auto"/>
        <w:tblLook w:val="04A0" w:firstRow="1" w:lastRow="0" w:firstColumn="1" w:lastColumn="0" w:noHBand="0" w:noVBand="1"/>
      </w:tblPr>
      <w:tblGrid>
        <w:gridCol w:w="3686"/>
        <w:gridCol w:w="5386"/>
      </w:tblGrid>
      <w:tr w:rsidR="006E1676" w:rsidRPr="00390BA5" w14:paraId="2BFF09E4" w14:textId="77777777" w:rsidTr="008B5052">
        <w:trPr>
          <w:trHeight w:val="1455"/>
        </w:trPr>
        <w:tc>
          <w:tcPr>
            <w:tcW w:w="9072" w:type="dxa"/>
            <w:gridSpan w:val="2"/>
            <w:tcBorders>
              <w:top w:val="single" w:sz="12" w:space="0" w:color="auto"/>
              <w:bottom w:val="single" w:sz="12" w:space="0" w:color="auto"/>
            </w:tcBorders>
          </w:tcPr>
          <w:p w14:paraId="275CBE58" w14:textId="51CD069A" w:rsidR="006E1676" w:rsidRPr="007B140B" w:rsidRDefault="008437C4" w:rsidP="008B5052">
            <w:pPr>
              <w:spacing w:after="0"/>
              <w:rPr>
                <w:rFonts w:ascii="Times New Roman" w:hAnsi="Times New Roman" w:cs="Times New Roman"/>
                <w:b/>
                <w:bCs/>
                <w:sz w:val="32"/>
                <w:szCs w:val="32"/>
                <w:lang w:val="en-US" w:eastAsia="zh-CN"/>
              </w:rPr>
            </w:pPr>
            <w:r w:rsidRPr="007B140B">
              <w:rPr>
                <w:rFonts w:ascii="Times New Roman" w:hAnsi="Times New Roman" w:cs="Times New Roman"/>
                <w:b/>
                <w:bCs/>
                <w:sz w:val="32"/>
                <w:szCs w:val="32"/>
                <w:lang w:val="en-US" w:eastAsia="zh-CN"/>
              </w:rPr>
              <w:t>Fragility Fracture Trial (</w:t>
            </w:r>
            <w:proofErr w:type="spellStart"/>
            <w:r w:rsidRPr="007B140B">
              <w:rPr>
                <w:rFonts w:ascii="Times New Roman" w:hAnsi="Times New Roman" w:cs="Times New Roman"/>
                <w:b/>
                <w:bCs/>
                <w:sz w:val="32"/>
                <w:szCs w:val="32"/>
                <w:lang w:val="en-US" w:eastAsia="zh-CN"/>
              </w:rPr>
              <w:t>FFT</w:t>
            </w:r>
            <w:proofErr w:type="spellEnd"/>
            <w:r w:rsidRPr="007B140B">
              <w:rPr>
                <w:rFonts w:ascii="Times New Roman" w:hAnsi="Times New Roman" w:cs="Times New Roman"/>
                <w:b/>
                <w:bCs/>
                <w:sz w:val="32"/>
                <w:szCs w:val="32"/>
                <w:lang w:val="en-US" w:eastAsia="zh-CN"/>
              </w:rPr>
              <w:t>):</w:t>
            </w:r>
            <w:r w:rsidR="00F73CE0" w:rsidRPr="007B140B">
              <w:rPr>
                <w:rFonts w:ascii="Times New Roman" w:hAnsi="Times New Roman" w:cs="Times New Roman"/>
                <w:b/>
                <w:bCs/>
                <w:sz w:val="32"/>
                <w:szCs w:val="32"/>
                <w:lang w:val="en-US" w:eastAsia="zh-CN"/>
              </w:rPr>
              <w:t xml:space="preserve"> </w:t>
            </w:r>
            <w:r w:rsidR="001E2949" w:rsidRPr="007B140B">
              <w:rPr>
                <w:rFonts w:ascii="Times New Roman" w:hAnsi="Times New Roman" w:cs="Times New Roman"/>
                <w:b/>
                <w:bCs/>
                <w:sz w:val="32"/>
                <w:szCs w:val="32"/>
                <w:lang w:val="en-US" w:eastAsia="zh-CN"/>
              </w:rPr>
              <w:t xml:space="preserve">A randomized, </w:t>
            </w:r>
            <w:r w:rsidR="000A7056" w:rsidRPr="007B140B">
              <w:rPr>
                <w:rFonts w:ascii="Times New Roman" w:hAnsi="Times New Roman" w:cs="Times New Roman"/>
                <w:b/>
                <w:bCs/>
                <w:sz w:val="32"/>
                <w:szCs w:val="32"/>
                <w:lang w:val="en-US" w:eastAsia="zh-CN"/>
              </w:rPr>
              <w:t xml:space="preserve">double-blind, </w:t>
            </w:r>
            <w:r w:rsidR="00F73CE0" w:rsidRPr="007B140B">
              <w:rPr>
                <w:rFonts w:ascii="Times New Roman" w:hAnsi="Times New Roman" w:cs="Times New Roman"/>
                <w:b/>
                <w:bCs/>
                <w:sz w:val="32"/>
                <w:szCs w:val="32"/>
                <w:lang w:val="en-US" w:eastAsia="zh-CN"/>
              </w:rPr>
              <w:t xml:space="preserve">placebo-controlled trial to investigate </w:t>
            </w:r>
            <w:r w:rsidR="001E2949" w:rsidRPr="007B140B">
              <w:rPr>
                <w:rFonts w:ascii="Times New Roman" w:hAnsi="Times New Roman" w:cs="Times New Roman"/>
                <w:b/>
                <w:sz w:val="32"/>
                <w:szCs w:val="32"/>
                <w:lang w:val="en-US" w:eastAsia="zh-CN"/>
              </w:rPr>
              <w:t xml:space="preserve">whether </w:t>
            </w:r>
            <w:r w:rsidR="00F73CE0" w:rsidRPr="007B140B">
              <w:rPr>
                <w:rFonts w:ascii="Times New Roman" w:hAnsi="Times New Roman" w:cs="Times New Roman"/>
                <w:b/>
                <w:sz w:val="32"/>
                <w:szCs w:val="32"/>
                <w:lang w:val="en-US" w:eastAsia="zh-CN"/>
              </w:rPr>
              <w:t xml:space="preserve">zoledronic acid </w:t>
            </w:r>
            <w:r w:rsidR="001E2949" w:rsidRPr="007B140B">
              <w:rPr>
                <w:rFonts w:ascii="Times New Roman" w:hAnsi="Times New Roman" w:cs="Times New Roman"/>
                <w:b/>
                <w:sz w:val="32"/>
                <w:szCs w:val="32"/>
                <w:lang w:val="en-US" w:eastAsia="zh-CN"/>
              </w:rPr>
              <w:t xml:space="preserve">prevents new fractures </w:t>
            </w:r>
            <w:r w:rsidR="00F73CE0" w:rsidRPr="007B140B">
              <w:rPr>
                <w:rFonts w:ascii="Times New Roman" w:hAnsi="Times New Roman" w:cs="Times New Roman"/>
                <w:b/>
                <w:sz w:val="32"/>
                <w:szCs w:val="32"/>
                <w:lang w:val="en-US" w:eastAsia="zh-CN"/>
              </w:rPr>
              <w:t>in older adults with a recent non-hip, non-vertebral fragility fracture</w:t>
            </w:r>
          </w:p>
        </w:tc>
      </w:tr>
      <w:tr w:rsidR="006E1676" w:rsidRPr="00390BA5" w14:paraId="2D9282C7" w14:textId="77777777" w:rsidTr="00405CF1">
        <w:tc>
          <w:tcPr>
            <w:tcW w:w="3686" w:type="dxa"/>
            <w:tcBorders>
              <w:top w:val="single" w:sz="12" w:space="0" w:color="auto"/>
            </w:tcBorders>
          </w:tcPr>
          <w:p w14:paraId="722B3416" w14:textId="77777777" w:rsidR="006E1676" w:rsidRPr="007B140B" w:rsidRDefault="006E1676" w:rsidP="00515145">
            <w:pPr>
              <w:rPr>
                <w:rFonts w:ascii="Times New Roman" w:hAnsi="Times New Roman" w:cs="Times New Roman"/>
                <w:sz w:val="24"/>
                <w:szCs w:val="24"/>
                <w:lang w:val="en-US"/>
              </w:rPr>
            </w:pPr>
          </w:p>
        </w:tc>
        <w:tc>
          <w:tcPr>
            <w:tcW w:w="5386" w:type="dxa"/>
            <w:tcBorders>
              <w:top w:val="single" w:sz="12" w:space="0" w:color="auto"/>
            </w:tcBorders>
          </w:tcPr>
          <w:p w14:paraId="7E7A1C09" w14:textId="77777777" w:rsidR="006E1676" w:rsidRPr="007B140B" w:rsidRDefault="006E1676" w:rsidP="00515145">
            <w:pPr>
              <w:rPr>
                <w:rFonts w:ascii="Times New Roman" w:hAnsi="Times New Roman" w:cs="Times New Roman"/>
                <w:sz w:val="24"/>
                <w:szCs w:val="24"/>
                <w:lang w:val="en-US"/>
              </w:rPr>
            </w:pPr>
          </w:p>
        </w:tc>
      </w:tr>
      <w:tr w:rsidR="006E1676" w:rsidRPr="007B140B" w14:paraId="68EC9E68" w14:textId="77777777" w:rsidTr="00405CF1">
        <w:tc>
          <w:tcPr>
            <w:tcW w:w="3686" w:type="dxa"/>
          </w:tcPr>
          <w:p w14:paraId="20F4FC67" w14:textId="02001DE3" w:rsidR="006E1676" w:rsidRPr="007B140B" w:rsidRDefault="006E1676" w:rsidP="00CA13C4">
            <w:pPr>
              <w:rPr>
                <w:rFonts w:ascii="Times New Roman" w:hAnsi="Times New Roman" w:cs="Times New Roman"/>
                <w:sz w:val="24"/>
                <w:szCs w:val="24"/>
                <w:lang w:val="en-US"/>
              </w:rPr>
            </w:pPr>
            <w:r w:rsidRPr="007B140B">
              <w:rPr>
                <w:rFonts w:ascii="Times New Roman" w:hAnsi="Times New Roman" w:cs="Times New Roman"/>
                <w:sz w:val="24"/>
                <w:szCs w:val="24"/>
                <w:lang w:val="en-US"/>
              </w:rPr>
              <w:t>EudraCT</w:t>
            </w:r>
            <w:r w:rsidR="007F1E00" w:rsidRPr="007B140B">
              <w:rPr>
                <w:rFonts w:ascii="Times New Roman" w:hAnsi="Times New Roman" w:cs="Times New Roman"/>
                <w:sz w:val="24"/>
                <w:szCs w:val="24"/>
                <w:lang w:val="en-US"/>
              </w:rPr>
              <w:t xml:space="preserve"> number</w:t>
            </w:r>
            <w:r w:rsidRPr="007B140B">
              <w:rPr>
                <w:rFonts w:ascii="Times New Roman" w:hAnsi="Times New Roman" w:cs="Times New Roman"/>
                <w:sz w:val="24"/>
                <w:szCs w:val="24"/>
                <w:lang w:val="en-US"/>
              </w:rPr>
              <w:t xml:space="preserve">: </w:t>
            </w:r>
          </w:p>
        </w:tc>
        <w:tc>
          <w:tcPr>
            <w:tcW w:w="5386" w:type="dxa"/>
          </w:tcPr>
          <w:p w14:paraId="7183D0C2" w14:textId="77777777" w:rsidR="006E1676" w:rsidRPr="007B140B" w:rsidRDefault="006E2275" w:rsidP="006E2275">
            <w:pPr>
              <w:spacing w:after="0" w:line="240" w:lineRule="auto"/>
              <w:rPr>
                <w:rFonts w:ascii="Times New Roman" w:hAnsi="Times New Roman" w:cs="Times New Roman"/>
                <w:sz w:val="24"/>
                <w:szCs w:val="24"/>
                <w:lang w:val="en-US"/>
              </w:rPr>
            </w:pPr>
            <w:r w:rsidRPr="007B140B">
              <w:rPr>
                <w:rFonts w:ascii="Times New Roman" w:hAnsi="Times New Roman" w:cs="Times New Roman"/>
                <w:color w:val="000000"/>
                <w:sz w:val="24"/>
                <w:szCs w:val="24"/>
                <w:lang w:val="en-US"/>
              </w:rPr>
              <w:t>2019-004766-17</w:t>
            </w:r>
          </w:p>
        </w:tc>
      </w:tr>
      <w:tr w:rsidR="006E1676" w:rsidRPr="007B140B" w14:paraId="1FDD5139" w14:textId="77777777" w:rsidTr="00405CF1">
        <w:tc>
          <w:tcPr>
            <w:tcW w:w="3686" w:type="dxa"/>
          </w:tcPr>
          <w:p w14:paraId="5885E667" w14:textId="77777777" w:rsidR="006E1676" w:rsidRPr="007B140B" w:rsidRDefault="00F756DC" w:rsidP="00515145">
            <w:pPr>
              <w:rPr>
                <w:rFonts w:ascii="Times New Roman" w:hAnsi="Times New Roman" w:cs="Times New Roman"/>
                <w:sz w:val="24"/>
                <w:szCs w:val="24"/>
                <w:lang w:val="en-US"/>
              </w:rPr>
            </w:pPr>
            <w:r w:rsidRPr="007B140B">
              <w:rPr>
                <w:rFonts w:ascii="Times New Roman" w:hAnsi="Times New Roman" w:cs="Times New Roman"/>
                <w:sz w:val="24"/>
                <w:szCs w:val="24"/>
                <w:lang w:val="en-US"/>
              </w:rPr>
              <w:t>Version numb</w:t>
            </w:r>
            <w:r w:rsidR="006E1676" w:rsidRPr="007B140B">
              <w:rPr>
                <w:rFonts w:ascii="Times New Roman" w:hAnsi="Times New Roman" w:cs="Times New Roman"/>
                <w:sz w:val="24"/>
                <w:szCs w:val="24"/>
                <w:lang w:val="en-US"/>
              </w:rPr>
              <w:t xml:space="preserve">er: </w:t>
            </w:r>
          </w:p>
        </w:tc>
        <w:tc>
          <w:tcPr>
            <w:tcW w:w="5386" w:type="dxa"/>
          </w:tcPr>
          <w:p w14:paraId="23E4E977" w14:textId="4E26D4BE" w:rsidR="006E1676" w:rsidRPr="007B140B" w:rsidRDefault="002D3E8F" w:rsidP="00515145">
            <w:pPr>
              <w:rPr>
                <w:rFonts w:ascii="Times New Roman" w:hAnsi="Times New Roman" w:cs="Times New Roman"/>
                <w:sz w:val="24"/>
                <w:szCs w:val="24"/>
                <w:lang w:val="en-US"/>
              </w:rPr>
            </w:pPr>
            <w:r>
              <w:rPr>
                <w:rFonts w:ascii="Times New Roman" w:hAnsi="Times New Roman" w:cs="Times New Roman"/>
                <w:sz w:val="24"/>
                <w:szCs w:val="24"/>
                <w:lang w:val="en-US"/>
              </w:rPr>
              <w:t>10</w:t>
            </w:r>
            <w:r w:rsidRPr="007B140B">
              <w:rPr>
                <w:rFonts w:ascii="Times New Roman" w:hAnsi="Times New Roman" w:cs="Times New Roman"/>
                <w:sz w:val="24"/>
                <w:szCs w:val="24"/>
                <w:lang w:val="en-US"/>
              </w:rPr>
              <w:t xml:space="preserve"> </w:t>
            </w:r>
          </w:p>
        </w:tc>
      </w:tr>
      <w:tr w:rsidR="006E1676" w:rsidRPr="007B140B" w14:paraId="04B00840" w14:textId="77777777" w:rsidTr="00405CF1">
        <w:tc>
          <w:tcPr>
            <w:tcW w:w="3686" w:type="dxa"/>
          </w:tcPr>
          <w:p w14:paraId="0881CD21" w14:textId="77777777" w:rsidR="006E1676" w:rsidRPr="007B140B" w:rsidRDefault="006E1676" w:rsidP="00DF02CF">
            <w:pPr>
              <w:rPr>
                <w:rFonts w:ascii="Times New Roman" w:hAnsi="Times New Roman" w:cs="Times New Roman"/>
                <w:sz w:val="24"/>
                <w:szCs w:val="24"/>
                <w:lang w:val="en-US"/>
              </w:rPr>
            </w:pPr>
            <w:r w:rsidRPr="007B140B">
              <w:rPr>
                <w:rFonts w:ascii="Times New Roman" w:hAnsi="Times New Roman" w:cs="Times New Roman"/>
                <w:sz w:val="24"/>
                <w:szCs w:val="24"/>
                <w:lang w:val="en-US"/>
              </w:rPr>
              <w:t>Da</w:t>
            </w:r>
            <w:r w:rsidR="000D2EBB" w:rsidRPr="007B140B">
              <w:rPr>
                <w:rFonts w:ascii="Times New Roman" w:hAnsi="Times New Roman" w:cs="Times New Roman"/>
                <w:sz w:val="24"/>
                <w:szCs w:val="24"/>
                <w:lang w:val="en-US"/>
              </w:rPr>
              <w:t>t</w:t>
            </w:r>
            <w:r w:rsidR="00F756DC" w:rsidRPr="007B140B">
              <w:rPr>
                <w:rFonts w:ascii="Times New Roman" w:hAnsi="Times New Roman" w:cs="Times New Roman"/>
                <w:sz w:val="24"/>
                <w:szCs w:val="24"/>
                <w:lang w:val="en-US"/>
              </w:rPr>
              <w:t>e</w:t>
            </w:r>
            <w:r w:rsidRPr="007B140B">
              <w:rPr>
                <w:rFonts w:ascii="Times New Roman" w:hAnsi="Times New Roman" w:cs="Times New Roman"/>
                <w:sz w:val="24"/>
                <w:szCs w:val="24"/>
                <w:lang w:val="en-US"/>
              </w:rPr>
              <w:t xml:space="preserve">: </w:t>
            </w:r>
          </w:p>
        </w:tc>
        <w:tc>
          <w:tcPr>
            <w:tcW w:w="5386" w:type="dxa"/>
          </w:tcPr>
          <w:p w14:paraId="76A72129" w14:textId="0596440F" w:rsidR="006E1676" w:rsidRPr="007B140B" w:rsidRDefault="0087025E" w:rsidP="00415570">
            <w:pPr>
              <w:rPr>
                <w:rFonts w:ascii="Times New Roman" w:hAnsi="Times New Roman" w:cs="Times New Roman"/>
                <w:sz w:val="24"/>
                <w:szCs w:val="24"/>
                <w:lang w:val="en-US"/>
              </w:rPr>
            </w:pPr>
            <w:r w:rsidRPr="007B140B">
              <w:rPr>
                <w:rFonts w:ascii="Times New Roman" w:hAnsi="Times New Roman" w:cs="Times New Roman"/>
                <w:sz w:val="24"/>
                <w:szCs w:val="24"/>
                <w:lang w:val="en-US"/>
              </w:rPr>
              <w:t>202</w:t>
            </w:r>
            <w:r w:rsidR="00F17BB2">
              <w:rPr>
                <w:rFonts w:ascii="Times New Roman" w:hAnsi="Times New Roman" w:cs="Times New Roman"/>
                <w:sz w:val="24"/>
                <w:szCs w:val="24"/>
                <w:lang w:val="en-US"/>
              </w:rPr>
              <w:t>3</w:t>
            </w:r>
            <w:r w:rsidR="001076F4">
              <w:rPr>
                <w:rFonts w:ascii="Times New Roman" w:hAnsi="Times New Roman" w:cs="Times New Roman"/>
                <w:sz w:val="24"/>
                <w:szCs w:val="24"/>
                <w:lang w:val="en-US"/>
              </w:rPr>
              <w:t>-</w:t>
            </w:r>
            <w:r w:rsidR="00415570">
              <w:rPr>
                <w:rFonts w:ascii="Times New Roman" w:hAnsi="Times New Roman" w:cs="Times New Roman"/>
                <w:sz w:val="24"/>
                <w:szCs w:val="24"/>
                <w:lang w:val="en-US"/>
              </w:rPr>
              <w:t>0</w:t>
            </w:r>
            <w:r w:rsidR="00F17BB2">
              <w:rPr>
                <w:rFonts w:ascii="Times New Roman" w:hAnsi="Times New Roman" w:cs="Times New Roman"/>
                <w:sz w:val="24"/>
                <w:szCs w:val="24"/>
                <w:lang w:val="en-US"/>
              </w:rPr>
              <w:t>2</w:t>
            </w:r>
            <w:r w:rsidR="00415570">
              <w:rPr>
                <w:rFonts w:ascii="Times New Roman" w:hAnsi="Times New Roman" w:cs="Times New Roman"/>
                <w:sz w:val="24"/>
                <w:szCs w:val="24"/>
                <w:lang w:val="en-US"/>
              </w:rPr>
              <w:t>-</w:t>
            </w:r>
            <w:r w:rsidR="00F17BB2">
              <w:rPr>
                <w:rFonts w:ascii="Times New Roman" w:hAnsi="Times New Roman" w:cs="Times New Roman"/>
                <w:sz w:val="24"/>
                <w:szCs w:val="24"/>
                <w:lang w:val="en-US"/>
              </w:rPr>
              <w:t>17</w:t>
            </w:r>
          </w:p>
        </w:tc>
      </w:tr>
      <w:tr w:rsidR="00925B80" w:rsidRPr="007B140B" w14:paraId="507720E5" w14:textId="77777777" w:rsidTr="00405CF1">
        <w:tc>
          <w:tcPr>
            <w:tcW w:w="3686" w:type="dxa"/>
          </w:tcPr>
          <w:p w14:paraId="0BF93AC0" w14:textId="64CA3A26" w:rsidR="00925B80" w:rsidRPr="007B140B" w:rsidRDefault="00925B80" w:rsidP="0002444C">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Authors:</w:t>
            </w:r>
          </w:p>
        </w:tc>
        <w:tc>
          <w:tcPr>
            <w:tcW w:w="5386" w:type="dxa"/>
          </w:tcPr>
          <w:p w14:paraId="740748FB" w14:textId="77777777" w:rsidR="00D416F2" w:rsidRPr="007B140B" w:rsidRDefault="00925B80" w:rsidP="0002444C">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Jonathan Bergman</w:t>
            </w:r>
          </w:p>
          <w:p w14:paraId="06374EB7" w14:textId="77777777" w:rsidR="00925B80" w:rsidRPr="007B140B" w:rsidRDefault="00925B80" w:rsidP="0002444C">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Peter Nordström</w:t>
            </w:r>
          </w:p>
          <w:p w14:paraId="734F9E41" w14:textId="2094C431" w:rsidR="00D416F2" w:rsidRPr="007B140B" w:rsidRDefault="00D416F2" w:rsidP="0002444C">
            <w:pPr>
              <w:spacing w:after="0"/>
              <w:rPr>
                <w:rFonts w:ascii="Times New Roman" w:hAnsi="Times New Roman" w:cs="Times New Roman"/>
                <w:sz w:val="24"/>
                <w:szCs w:val="24"/>
                <w:lang w:val="en-US"/>
              </w:rPr>
            </w:pPr>
          </w:p>
        </w:tc>
      </w:tr>
      <w:tr w:rsidR="006E1676" w:rsidRPr="007B140B" w14:paraId="1825DD9F" w14:textId="77777777" w:rsidTr="00405CF1">
        <w:tc>
          <w:tcPr>
            <w:tcW w:w="3686" w:type="dxa"/>
          </w:tcPr>
          <w:p w14:paraId="115455F4" w14:textId="52BDDB15" w:rsidR="006E1676" w:rsidRPr="007B140B" w:rsidRDefault="006E1676">
            <w:pPr>
              <w:rPr>
                <w:rFonts w:ascii="Times New Roman" w:hAnsi="Times New Roman" w:cs="Times New Roman"/>
                <w:sz w:val="24"/>
                <w:szCs w:val="24"/>
                <w:lang w:val="en-US"/>
              </w:rPr>
            </w:pPr>
            <w:r w:rsidRPr="007B140B">
              <w:rPr>
                <w:rFonts w:ascii="Times New Roman" w:hAnsi="Times New Roman" w:cs="Times New Roman"/>
                <w:sz w:val="24"/>
                <w:szCs w:val="24"/>
                <w:lang w:val="en-US"/>
              </w:rPr>
              <w:t>Sponsor</w:t>
            </w:r>
            <w:r w:rsidR="00C830AA" w:rsidRPr="007B140B">
              <w:rPr>
                <w:rFonts w:ascii="Times New Roman" w:hAnsi="Times New Roman" w:cs="Times New Roman"/>
                <w:sz w:val="24"/>
                <w:szCs w:val="24"/>
                <w:lang w:val="en-US"/>
              </w:rPr>
              <w:t>/</w:t>
            </w:r>
            <w:r w:rsidR="00D208C7" w:rsidRPr="007B140B">
              <w:rPr>
                <w:rFonts w:ascii="Times New Roman" w:hAnsi="Times New Roman" w:cs="Times New Roman"/>
                <w:sz w:val="24"/>
                <w:szCs w:val="24"/>
                <w:lang w:val="en-US"/>
              </w:rPr>
              <w:t>Coordinating</w:t>
            </w:r>
            <w:r w:rsidR="004B5E15" w:rsidRPr="007B140B">
              <w:rPr>
                <w:rFonts w:ascii="Times New Roman" w:hAnsi="Times New Roman" w:cs="Times New Roman"/>
                <w:sz w:val="24"/>
                <w:szCs w:val="24"/>
                <w:lang w:val="en-US"/>
              </w:rPr>
              <w:t xml:space="preserve"> Investigator</w:t>
            </w:r>
            <w:r w:rsidRPr="007B140B">
              <w:rPr>
                <w:rFonts w:ascii="Times New Roman" w:hAnsi="Times New Roman" w:cs="Times New Roman"/>
                <w:sz w:val="24"/>
                <w:szCs w:val="24"/>
                <w:lang w:val="en-US"/>
              </w:rPr>
              <w:t xml:space="preserve">: </w:t>
            </w:r>
          </w:p>
        </w:tc>
        <w:tc>
          <w:tcPr>
            <w:tcW w:w="5386" w:type="dxa"/>
          </w:tcPr>
          <w:p w14:paraId="6B7239F2" w14:textId="77777777" w:rsidR="006E1676" w:rsidRPr="007B140B" w:rsidRDefault="006E2275" w:rsidP="00515145">
            <w:pPr>
              <w:rPr>
                <w:rFonts w:ascii="Times New Roman" w:hAnsi="Times New Roman" w:cs="Times New Roman"/>
                <w:sz w:val="24"/>
                <w:szCs w:val="24"/>
                <w:lang w:val="en-US"/>
              </w:rPr>
            </w:pPr>
            <w:r w:rsidRPr="007B140B">
              <w:rPr>
                <w:rFonts w:ascii="Times New Roman" w:hAnsi="Times New Roman" w:cs="Times New Roman"/>
                <w:sz w:val="24"/>
                <w:szCs w:val="24"/>
                <w:lang w:val="en-US"/>
              </w:rPr>
              <w:t>Peter Nordström</w:t>
            </w:r>
            <w:r w:rsidR="006E1676" w:rsidRPr="007B140B">
              <w:rPr>
                <w:rFonts w:ascii="Times New Roman" w:hAnsi="Times New Roman" w:cs="Times New Roman"/>
                <w:sz w:val="24"/>
                <w:szCs w:val="24"/>
                <w:lang w:val="en-US"/>
              </w:rPr>
              <w:t xml:space="preserve"> </w:t>
            </w:r>
          </w:p>
        </w:tc>
      </w:tr>
      <w:tr w:rsidR="000B075D" w:rsidRPr="00A914BD" w14:paraId="43E74150" w14:textId="77777777" w:rsidTr="00405CF1">
        <w:tc>
          <w:tcPr>
            <w:tcW w:w="3686" w:type="dxa"/>
            <w:tcBorders>
              <w:bottom w:val="single" w:sz="4" w:space="0" w:color="auto"/>
            </w:tcBorders>
          </w:tcPr>
          <w:p w14:paraId="6238266F" w14:textId="70866AB5" w:rsidR="000B075D" w:rsidRPr="007B140B" w:rsidRDefault="000B075D">
            <w:pPr>
              <w:rPr>
                <w:rFonts w:ascii="Times New Roman" w:hAnsi="Times New Roman" w:cs="Times New Roman"/>
                <w:sz w:val="24"/>
                <w:szCs w:val="24"/>
                <w:lang w:val="en-US"/>
              </w:rPr>
            </w:pPr>
            <w:r w:rsidRPr="007B140B">
              <w:rPr>
                <w:rFonts w:ascii="Times New Roman" w:hAnsi="Times New Roman" w:cs="Times New Roman"/>
                <w:sz w:val="24"/>
                <w:szCs w:val="24"/>
                <w:lang w:val="en-US"/>
              </w:rPr>
              <w:t>Funding:</w:t>
            </w:r>
          </w:p>
        </w:tc>
        <w:tc>
          <w:tcPr>
            <w:tcW w:w="5386" w:type="dxa"/>
            <w:tcBorders>
              <w:bottom w:val="single" w:sz="4" w:space="0" w:color="auto"/>
            </w:tcBorders>
          </w:tcPr>
          <w:p w14:paraId="1F275B53" w14:textId="56244BB1" w:rsidR="000B075D" w:rsidRPr="007B140B" w:rsidRDefault="00584ACD">
            <w:pPr>
              <w:rPr>
                <w:rFonts w:ascii="Times New Roman" w:hAnsi="Times New Roman" w:cs="Times New Roman"/>
                <w:sz w:val="24"/>
                <w:szCs w:val="24"/>
                <w:lang w:val="en-US"/>
              </w:rPr>
            </w:pPr>
            <w:r w:rsidRPr="007B140B">
              <w:rPr>
                <w:rFonts w:ascii="Times New Roman" w:hAnsi="Times New Roman" w:cs="Times New Roman"/>
                <w:sz w:val="24"/>
                <w:szCs w:val="24"/>
                <w:lang w:val="en-US"/>
              </w:rPr>
              <w:t>Swedish Research Council</w:t>
            </w:r>
          </w:p>
        </w:tc>
      </w:tr>
    </w:tbl>
    <w:p w14:paraId="1FCD388C" w14:textId="77777777" w:rsidR="006E1676" w:rsidRPr="007B140B" w:rsidRDefault="006E1676">
      <w:pPr>
        <w:rPr>
          <w:rFonts w:ascii="Times New Roman" w:hAnsi="Times New Roman" w:cs="Times New Roman"/>
          <w:sz w:val="24"/>
          <w:szCs w:val="24"/>
          <w:lang w:val="en-US"/>
        </w:rPr>
      </w:pPr>
    </w:p>
    <w:p w14:paraId="07891A39" w14:textId="77777777" w:rsidR="002F6DCF" w:rsidRPr="007B140B" w:rsidRDefault="002F6DCF">
      <w:pPr>
        <w:spacing w:after="0" w:line="240" w:lineRule="auto"/>
        <w:rPr>
          <w:rFonts w:ascii="Times New Roman" w:hAnsi="Times New Roman" w:cs="Times New Roman"/>
          <w:sz w:val="24"/>
          <w:szCs w:val="24"/>
          <w:lang w:val="en-US"/>
        </w:rPr>
      </w:pPr>
    </w:p>
    <w:p w14:paraId="63D63A4C" w14:textId="77777777" w:rsidR="002F6DCF" w:rsidRPr="007B140B" w:rsidRDefault="002F6DCF">
      <w:pPr>
        <w:spacing w:after="0" w:line="240" w:lineRule="auto"/>
        <w:rPr>
          <w:rFonts w:ascii="Times New Roman" w:hAnsi="Times New Roman" w:cs="Times New Roman"/>
          <w:sz w:val="24"/>
          <w:szCs w:val="24"/>
          <w:lang w:val="en-US"/>
        </w:rPr>
      </w:pPr>
    </w:p>
    <w:p w14:paraId="0F7FEBE5" w14:textId="77777777" w:rsidR="002F6DCF" w:rsidRPr="007B140B" w:rsidRDefault="002F6DCF">
      <w:pPr>
        <w:spacing w:after="0" w:line="240" w:lineRule="auto"/>
        <w:rPr>
          <w:rFonts w:ascii="Times New Roman" w:hAnsi="Times New Roman" w:cs="Times New Roman"/>
          <w:sz w:val="24"/>
          <w:szCs w:val="24"/>
          <w:lang w:val="en-US"/>
        </w:rPr>
      </w:pPr>
    </w:p>
    <w:p w14:paraId="1CE029AA" w14:textId="77777777" w:rsidR="002F6DCF" w:rsidRPr="007B140B" w:rsidRDefault="002F6DCF">
      <w:pPr>
        <w:spacing w:after="0" w:line="240" w:lineRule="auto"/>
        <w:rPr>
          <w:rFonts w:ascii="Times New Roman" w:hAnsi="Times New Roman" w:cs="Times New Roman"/>
          <w:sz w:val="24"/>
          <w:szCs w:val="24"/>
          <w:lang w:val="en-US"/>
        </w:rPr>
      </w:pPr>
    </w:p>
    <w:p w14:paraId="3A6B10B6" w14:textId="77777777" w:rsidR="002F6DCF" w:rsidRPr="007B140B" w:rsidRDefault="002F6DCF">
      <w:pPr>
        <w:spacing w:after="0" w:line="240" w:lineRule="auto"/>
        <w:rPr>
          <w:rFonts w:ascii="Times New Roman" w:hAnsi="Times New Roman" w:cs="Times New Roman"/>
          <w:sz w:val="24"/>
          <w:szCs w:val="24"/>
          <w:lang w:val="en-US"/>
        </w:rPr>
      </w:pPr>
    </w:p>
    <w:p w14:paraId="44D274AC" w14:textId="77777777" w:rsidR="002F6DCF" w:rsidRPr="007B140B" w:rsidRDefault="002F6DCF">
      <w:pPr>
        <w:spacing w:after="0" w:line="240" w:lineRule="auto"/>
        <w:rPr>
          <w:rFonts w:ascii="Times New Roman" w:hAnsi="Times New Roman" w:cs="Times New Roman"/>
          <w:sz w:val="24"/>
          <w:szCs w:val="24"/>
          <w:lang w:val="en-US"/>
        </w:rPr>
      </w:pPr>
    </w:p>
    <w:p w14:paraId="7B7C7683" w14:textId="77777777" w:rsidR="002F6DCF" w:rsidRPr="007B140B" w:rsidRDefault="002F6DCF">
      <w:pPr>
        <w:spacing w:after="0" w:line="240" w:lineRule="auto"/>
        <w:rPr>
          <w:rFonts w:ascii="Times New Roman" w:hAnsi="Times New Roman" w:cs="Times New Roman"/>
          <w:sz w:val="24"/>
          <w:szCs w:val="24"/>
          <w:lang w:val="en-US"/>
        </w:rPr>
      </w:pPr>
    </w:p>
    <w:p w14:paraId="55B924CC" w14:textId="77777777" w:rsidR="002F6DCF" w:rsidRPr="007B140B" w:rsidRDefault="002F6DCF">
      <w:pPr>
        <w:spacing w:after="0" w:line="240" w:lineRule="auto"/>
        <w:rPr>
          <w:rFonts w:ascii="Times New Roman" w:hAnsi="Times New Roman" w:cs="Times New Roman"/>
          <w:sz w:val="24"/>
          <w:szCs w:val="24"/>
          <w:lang w:val="en-US"/>
        </w:rPr>
      </w:pPr>
    </w:p>
    <w:p w14:paraId="1B47C392" w14:textId="77777777" w:rsidR="002F6DCF" w:rsidRPr="007B140B" w:rsidRDefault="002F6DCF">
      <w:pPr>
        <w:spacing w:after="0" w:line="240" w:lineRule="auto"/>
        <w:rPr>
          <w:rFonts w:ascii="Times New Roman" w:hAnsi="Times New Roman" w:cs="Times New Roman"/>
          <w:sz w:val="24"/>
          <w:szCs w:val="24"/>
          <w:lang w:val="en-US"/>
        </w:rPr>
      </w:pPr>
    </w:p>
    <w:p w14:paraId="66C44A99" w14:textId="77777777" w:rsidR="002F6DCF" w:rsidRPr="007B140B" w:rsidRDefault="002F6DCF">
      <w:pPr>
        <w:spacing w:after="0" w:line="240" w:lineRule="auto"/>
        <w:rPr>
          <w:rFonts w:ascii="Times New Roman" w:hAnsi="Times New Roman" w:cs="Times New Roman"/>
          <w:sz w:val="24"/>
          <w:szCs w:val="24"/>
          <w:lang w:val="en-US"/>
        </w:rPr>
      </w:pPr>
    </w:p>
    <w:p w14:paraId="1EFF2728" w14:textId="20A5D313" w:rsidR="006E1676" w:rsidRPr="007B140B" w:rsidRDefault="002F6DCF" w:rsidP="00273AA9">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This protocol wa</w:t>
      </w:r>
      <w:r w:rsidR="00616E24" w:rsidRPr="007B140B">
        <w:rPr>
          <w:rFonts w:ascii="Times New Roman" w:hAnsi="Times New Roman" w:cs="Times New Roman"/>
          <w:sz w:val="24"/>
          <w:szCs w:val="24"/>
          <w:lang w:val="en-US"/>
        </w:rPr>
        <w:t>s developed to comply with the</w:t>
      </w:r>
      <w:r w:rsidRPr="007B140B">
        <w:rPr>
          <w:rFonts w:ascii="Times New Roman" w:hAnsi="Times New Roman" w:cs="Times New Roman"/>
          <w:sz w:val="24"/>
          <w:szCs w:val="24"/>
          <w:lang w:val="en-US"/>
        </w:rPr>
        <w:t xml:space="preserve"> </w:t>
      </w:r>
      <w:r w:rsidRPr="007B140B">
        <w:rPr>
          <w:rFonts w:ascii="Times New Roman" w:hAnsi="Times New Roman" w:cs="Times New Roman"/>
          <w:i/>
          <w:sz w:val="24"/>
          <w:szCs w:val="24"/>
          <w:lang w:val="en-US"/>
        </w:rPr>
        <w:t>Standard Protocol Items: Recommendations for Interventional Trials</w:t>
      </w:r>
      <w:r w:rsidR="007919D5" w:rsidRPr="007B140B">
        <w:rPr>
          <w:rFonts w:ascii="Times New Roman" w:hAnsi="Times New Roman" w:cs="Times New Roman"/>
          <w:i/>
          <w:sz w:val="24"/>
          <w:szCs w:val="24"/>
          <w:lang w:val="en-US"/>
        </w:rPr>
        <w:t xml:space="preserve"> (SPIRIT)</w:t>
      </w:r>
      <w:r w:rsidRPr="007B140B">
        <w:rPr>
          <w:rFonts w:ascii="Times New Roman" w:hAnsi="Times New Roman" w:cs="Times New Roman"/>
          <w:sz w:val="24"/>
          <w:szCs w:val="24"/>
          <w:lang w:val="en-US"/>
        </w:rPr>
        <w:t xml:space="preserve"> guideline (BMJ 2013;</w:t>
      </w:r>
      <w:proofErr w:type="gramStart"/>
      <w:r w:rsidRPr="007B140B">
        <w:rPr>
          <w:rFonts w:ascii="Times New Roman" w:hAnsi="Times New Roman" w:cs="Times New Roman"/>
          <w:sz w:val="24"/>
          <w:szCs w:val="24"/>
          <w:lang w:val="en-US"/>
        </w:rPr>
        <w:t>346:e</w:t>
      </w:r>
      <w:proofErr w:type="gramEnd"/>
      <w:r w:rsidRPr="007B140B">
        <w:rPr>
          <w:rFonts w:ascii="Times New Roman" w:hAnsi="Times New Roman" w:cs="Times New Roman"/>
          <w:sz w:val="24"/>
          <w:szCs w:val="24"/>
          <w:lang w:val="en-US"/>
        </w:rPr>
        <w:t>7586).</w:t>
      </w:r>
      <w:r w:rsidR="00DD4A8F" w:rsidRPr="007B140B">
        <w:rPr>
          <w:rFonts w:ascii="Times New Roman" w:hAnsi="Times New Roman" w:cs="Times New Roman"/>
          <w:sz w:val="24"/>
          <w:szCs w:val="24"/>
          <w:lang w:val="en-US"/>
        </w:rPr>
        <w:t xml:space="preserve"> </w:t>
      </w:r>
      <w:r w:rsidR="00D521DE" w:rsidRPr="007B140B">
        <w:rPr>
          <w:rFonts w:ascii="Times New Roman" w:hAnsi="Times New Roman" w:cs="Times New Roman"/>
          <w:sz w:val="24"/>
          <w:szCs w:val="24"/>
          <w:lang w:val="en-US"/>
        </w:rPr>
        <w:t>Th</w:t>
      </w:r>
      <w:r w:rsidR="00DD4A8F" w:rsidRPr="007B140B">
        <w:rPr>
          <w:rFonts w:ascii="Times New Roman" w:hAnsi="Times New Roman" w:cs="Times New Roman"/>
          <w:sz w:val="24"/>
          <w:szCs w:val="24"/>
          <w:lang w:val="en-US"/>
        </w:rPr>
        <w:t>e</w:t>
      </w:r>
      <w:r w:rsidR="00D521DE" w:rsidRPr="007B140B">
        <w:rPr>
          <w:rFonts w:ascii="Times New Roman" w:hAnsi="Times New Roman" w:cs="Times New Roman"/>
          <w:sz w:val="24"/>
          <w:szCs w:val="24"/>
          <w:lang w:val="en-US"/>
        </w:rPr>
        <w:t xml:space="preserve"> protocol </w:t>
      </w:r>
      <w:r w:rsidR="00015CF8">
        <w:rPr>
          <w:rFonts w:ascii="Times New Roman" w:hAnsi="Times New Roman" w:cs="Times New Roman"/>
          <w:sz w:val="24"/>
          <w:szCs w:val="24"/>
          <w:lang w:val="en-US"/>
        </w:rPr>
        <w:t>is</w:t>
      </w:r>
      <w:r w:rsidR="00015CF8" w:rsidRPr="007B140B">
        <w:rPr>
          <w:rFonts w:ascii="Times New Roman" w:hAnsi="Times New Roman" w:cs="Times New Roman"/>
          <w:sz w:val="24"/>
          <w:szCs w:val="24"/>
          <w:lang w:val="en-US"/>
        </w:rPr>
        <w:t xml:space="preserve"> </w:t>
      </w:r>
      <w:r w:rsidRPr="007B140B">
        <w:rPr>
          <w:rFonts w:ascii="Times New Roman" w:hAnsi="Times New Roman" w:cs="Times New Roman"/>
          <w:sz w:val="24"/>
          <w:szCs w:val="24"/>
          <w:lang w:val="en-US"/>
        </w:rPr>
        <w:t xml:space="preserve">based on a template </w:t>
      </w:r>
      <w:r w:rsidR="00D03948" w:rsidRPr="007B140B">
        <w:rPr>
          <w:rFonts w:ascii="Times New Roman" w:hAnsi="Times New Roman" w:cs="Times New Roman"/>
          <w:sz w:val="24"/>
          <w:szCs w:val="24"/>
          <w:lang w:val="en-US"/>
        </w:rPr>
        <w:t>of</w:t>
      </w:r>
      <w:r w:rsidRPr="007B140B">
        <w:rPr>
          <w:rFonts w:ascii="Times New Roman" w:hAnsi="Times New Roman" w:cs="Times New Roman"/>
          <w:sz w:val="24"/>
          <w:szCs w:val="24"/>
          <w:lang w:val="en-US"/>
        </w:rPr>
        <w:t xml:space="preserve"> the National QA Network at Clinical Studies Sweden (</w:t>
      </w:r>
      <w:r w:rsidR="007A7255" w:rsidRPr="007B140B">
        <w:rPr>
          <w:rFonts w:ascii="Times New Roman" w:hAnsi="Times New Roman" w:cs="Times New Roman"/>
          <w:sz w:val="24"/>
          <w:szCs w:val="24"/>
          <w:lang w:val="en-US"/>
        </w:rPr>
        <w:t>https://gothiaforum.com/mallar-f%C3%B6r-planering-och-genomf%C3%B6rande-av-kliniska-studier</w:t>
      </w:r>
      <w:r w:rsidRPr="007B140B">
        <w:rPr>
          <w:rFonts w:ascii="Times New Roman" w:hAnsi="Times New Roman" w:cs="Times New Roman"/>
          <w:sz w:val="24"/>
          <w:szCs w:val="24"/>
          <w:lang w:val="en-US"/>
        </w:rPr>
        <w:t xml:space="preserve">). </w:t>
      </w:r>
      <w:r w:rsidR="006E1676" w:rsidRPr="007B140B">
        <w:rPr>
          <w:rFonts w:ascii="Times New Roman" w:hAnsi="Times New Roman" w:cs="Times New Roman"/>
          <w:sz w:val="24"/>
          <w:szCs w:val="24"/>
          <w:lang w:val="en-US"/>
        </w:rPr>
        <w:br w:type="page"/>
      </w:r>
    </w:p>
    <w:bookmarkStart w:id="0" w:name="_Toc530560136" w:displacedByCustomXml="next"/>
    <w:sdt>
      <w:sdtPr>
        <w:rPr>
          <w:rFonts w:ascii="Times New Roman" w:eastAsiaTheme="minorHAnsi" w:hAnsi="Times New Roman" w:cs="Times New Roman"/>
          <w:b w:val="0"/>
          <w:sz w:val="24"/>
          <w:szCs w:val="24"/>
          <w:lang w:val="en-US" w:eastAsia="en-US"/>
        </w:rPr>
        <w:id w:val="1496835881"/>
        <w:docPartObj>
          <w:docPartGallery w:val="Table of Contents"/>
          <w:docPartUnique/>
        </w:docPartObj>
      </w:sdtPr>
      <w:sdtEndPr>
        <w:rPr>
          <w:bCs/>
        </w:rPr>
      </w:sdtEndPr>
      <w:sdtContent>
        <w:p w14:paraId="3D8DEA45" w14:textId="1253F729" w:rsidR="00C02E54" w:rsidRPr="007B140B" w:rsidRDefault="00A54789" w:rsidP="00297F25">
          <w:pPr>
            <w:pStyle w:val="Innehllsfrteckningsrubrik"/>
            <w:tabs>
              <w:tab w:val="center" w:pos="4536"/>
            </w:tabs>
            <w:rPr>
              <w:rFonts w:ascii="Times New Roman" w:hAnsi="Times New Roman" w:cs="Times New Roman"/>
              <w:lang w:val="en-US"/>
            </w:rPr>
          </w:pPr>
          <w:r w:rsidRPr="007B140B">
            <w:rPr>
              <w:rFonts w:ascii="Times New Roman" w:hAnsi="Times New Roman" w:cs="Times New Roman"/>
              <w:lang w:val="en-US"/>
            </w:rPr>
            <w:t>C</w:t>
          </w:r>
          <w:r w:rsidR="00E26A76" w:rsidRPr="007B140B">
            <w:rPr>
              <w:rFonts w:ascii="Times New Roman" w:hAnsi="Times New Roman" w:cs="Times New Roman"/>
              <w:lang w:val="en-US"/>
            </w:rPr>
            <w:t>ontents</w:t>
          </w:r>
          <w:r w:rsidR="00297F25" w:rsidRPr="007B140B">
            <w:rPr>
              <w:rFonts w:ascii="Times New Roman" w:hAnsi="Times New Roman" w:cs="Times New Roman"/>
              <w:lang w:val="en-US"/>
            </w:rPr>
            <w:tab/>
          </w:r>
        </w:p>
        <w:p w14:paraId="08613083" w14:textId="77777777" w:rsidR="00B434C1" w:rsidRPr="007B140B" w:rsidRDefault="00B434C1" w:rsidP="00BF3B79">
          <w:pPr>
            <w:rPr>
              <w:rFonts w:ascii="Times New Roman" w:hAnsi="Times New Roman" w:cs="Times New Roman"/>
              <w:sz w:val="24"/>
              <w:szCs w:val="24"/>
              <w:lang w:val="en-US"/>
            </w:rPr>
          </w:pPr>
        </w:p>
        <w:p w14:paraId="781677B9" w14:textId="393F023F" w:rsidR="002D17DE" w:rsidRDefault="00C02E54">
          <w:pPr>
            <w:pStyle w:val="Innehll1"/>
            <w:rPr>
              <w:rFonts w:asciiTheme="minorHAnsi" w:eastAsiaTheme="minorEastAsia" w:hAnsiTheme="minorHAnsi"/>
              <w:noProof/>
              <w:lang w:eastAsia="sv-SE"/>
            </w:rPr>
          </w:pPr>
          <w:r w:rsidRPr="007B140B">
            <w:rPr>
              <w:rFonts w:ascii="Times New Roman" w:hAnsi="Times New Roman" w:cs="Times New Roman"/>
              <w:b/>
              <w:bCs/>
              <w:sz w:val="24"/>
              <w:szCs w:val="24"/>
              <w:lang w:val="en-US"/>
            </w:rPr>
            <w:fldChar w:fldCharType="begin"/>
          </w:r>
          <w:r w:rsidRPr="007B140B">
            <w:rPr>
              <w:rFonts w:ascii="Times New Roman" w:hAnsi="Times New Roman" w:cs="Times New Roman"/>
              <w:b/>
              <w:bCs/>
              <w:sz w:val="24"/>
              <w:szCs w:val="24"/>
              <w:lang w:val="en-US"/>
            </w:rPr>
            <w:instrText xml:space="preserve"> TOC \o "1-3" \h \z \u </w:instrText>
          </w:r>
          <w:r w:rsidRPr="007B140B">
            <w:rPr>
              <w:rFonts w:ascii="Times New Roman" w:hAnsi="Times New Roman" w:cs="Times New Roman"/>
              <w:b/>
              <w:bCs/>
              <w:sz w:val="24"/>
              <w:szCs w:val="24"/>
              <w:lang w:val="en-US"/>
            </w:rPr>
            <w:fldChar w:fldCharType="separate"/>
          </w:r>
          <w:hyperlink w:anchor="_Toc99001388" w:history="1">
            <w:r w:rsidR="002D17DE" w:rsidRPr="00A27941">
              <w:rPr>
                <w:rStyle w:val="Hyperlnk"/>
                <w:rFonts w:ascii="Times New Roman" w:hAnsi="Times New Roman" w:cs="Times New Roman"/>
                <w:noProof/>
                <w:lang w:val="en-US"/>
              </w:rPr>
              <w:t>Signature Page</w:t>
            </w:r>
            <w:r w:rsidR="002D17DE">
              <w:rPr>
                <w:noProof/>
                <w:webHidden/>
              </w:rPr>
              <w:tab/>
            </w:r>
            <w:r w:rsidR="002D17DE">
              <w:rPr>
                <w:noProof/>
                <w:webHidden/>
              </w:rPr>
              <w:fldChar w:fldCharType="begin"/>
            </w:r>
            <w:r w:rsidR="002D17DE">
              <w:rPr>
                <w:noProof/>
                <w:webHidden/>
              </w:rPr>
              <w:instrText xml:space="preserve"> PAGEREF _Toc99001388 \h </w:instrText>
            </w:r>
            <w:r w:rsidR="002D17DE">
              <w:rPr>
                <w:noProof/>
                <w:webHidden/>
              </w:rPr>
            </w:r>
            <w:r w:rsidR="002D17DE">
              <w:rPr>
                <w:noProof/>
                <w:webHidden/>
              </w:rPr>
              <w:fldChar w:fldCharType="separate"/>
            </w:r>
            <w:r w:rsidR="00667D68">
              <w:rPr>
                <w:noProof/>
                <w:webHidden/>
              </w:rPr>
              <w:t>5</w:t>
            </w:r>
            <w:r w:rsidR="002D17DE">
              <w:rPr>
                <w:noProof/>
                <w:webHidden/>
              </w:rPr>
              <w:fldChar w:fldCharType="end"/>
            </w:r>
          </w:hyperlink>
        </w:p>
        <w:p w14:paraId="10FBF2EA" w14:textId="34BD55ED" w:rsidR="002D17DE" w:rsidRDefault="00000000">
          <w:pPr>
            <w:pStyle w:val="Innehll1"/>
            <w:rPr>
              <w:rFonts w:asciiTheme="minorHAnsi" w:eastAsiaTheme="minorEastAsia" w:hAnsiTheme="minorHAnsi"/>
              <w:noProof/>
              <w:lang w:eastAsia="sv-SE"/>
            </w:rPr>
          </w:pPr>
          <w:hyperlink w:anchor="_Toc99001389" w:history="1">
            <w:r w:rsidR="002D17DE" w:rsidRPr="00A27941">
              <w:rPr>
                <w:rStyle w:val="Hyperlnk"/>
                <w:rFonts w:ascii="Times New Roman" w:hAnsi="Times New Roman" w:cs="Times New Roman"/>
                <w:noProof/>
                <w:lang w:val="en-US"/>
              </w:rPr>
              <w:t>Protocol Revision History</w:t>
            </w:r>
            <w:r w:rsidR="002D17DE">
              <w:rPr>
                <w:noProof/>
                <w:webHidden/>
              </w:rPr>
              <w:tab/>
            </w:r>
            <w:r w:rsidR="002D17DE">
              <w:rPr>
                <w:noProof/>
                <w:webHidden/>
              </w:rPr>
              <w:fldChar w:fldCharType="begin"/>
            </w:r>
            <w:r w:rsidR="002D17DE">
              <w:rPr>
                <w:noProof/>
                <w:webHidden/>
              </w:rPr>
              <w:instrText xml:space="preserve"> PAGEREF _Toc99001389 \h </w:instrText>
            </w:r>
            <w:r w:rsidR="002D17DE">
              <w:rPr>
                <w:noProof/>
                <w:webHidden/>
              </w:rPr>
            </w:r>
            <w:r w:rsidR="002D17DE">
              <w:rPr>
                <w:noProof/>
                <w:webHidden/>
              </w:rPr>
              <w:fldChar w:fldCharType="separate"/>
            </w:r>
            <w:r w:rsidR="00667D68">
              <w:rPr>
                <w:noProof/>
                <w:webHidden/>
              </w:rPr>
              <w:t>6</w:t>
            </w:r>
            <w:r w:rsidR="002D17DE">
              <w:rPr>
                <w:noProof/>
                <w:webHidden/>
              </w:rPr>
              <w:fldChar w:fldCharType="end"/>
            </w:r>
          </w:hyperlink>
        </w:p>
        <w:p w14:paraId="2CA2B47B" w14:textId="44163913" w:rsidR="002D17DE" w:rsidRDefault="00000000">
          <w:pPr>
            <w:pStyle w:val="Innehll1"/>
            <w:rPr>
              <w:rFonts w:asciiTheme="minorHAnsi" w:eastAsiaTheme="minorEastAsia" w:hAnsiTheme="minorHAnsi"/>
              <w:noProof/>
              <w:lang w:eastAsia="sv-SE"/>
            </w:rPr>
          </w:pPr>
          <w:hyperlink w:anchor="_Toc99001390" w:history="1">
            <w:r w:rsidR="002D17DE" w:rsidRPr="00A27941">
              <w:rPr>
                <w:rStyle w:val="Hyperlnk"/>
                <w:rFonts w:ascii="Times New Roman" w:hAnsi="Times New Roman" w:cs="Times New Roman"/>
                <w:noProof/>
                <w:lang w:val="en-US"/>
              </w:rPr>
              <w:t>Contributions and Contact Information</w:t>
            </w:r>
            <w:r w:rsidR="002D17DE">
              <w:rPr>
                <w:noProof/>
                <w:webHidden/>
              </w:rPr>
              <w:tab/>
            </w:r>
            <w:r w:rsidR="002D17DE">
              <w:rPr>
                <w:noProof/>
                <w:webHidden/>
              </w:rPr>
              <w:fldChar w:fldCharType="begin"/>
            </w:r>
            <w:r w:rsidR="002D17DE">
              <w:rPr>
                <w:noProof/>
                <w:webHidden/>
              </w:rPr>
              <w:instrText xml:space="preserve"> PAGEREF _Toc99001390 \h </w:instrText>
            </w:r>
            <w:r w:rsidR="002D17DE">
              <w:rPr>
                <w:noProof/>
                <w:webHidden/>
              </w:rPr>
            </w:r>
            <w:r w:rsidR="002D17DE">
              <w:rPr>
                <w:noProof/>
                <w:webHidden/>
              </w:rPr>
              <w:fldChar w:fldCharType="separate"/>
            </w:r>
            <w:r w:rsidR="00667D68">
              <w:rPr>
                <w:noProof/>
                <w:webHidden/>
              </w:rPr>
              <w:t>10</w:t>
            </w:r>
            <w:r w:rsidR="002D17DE">
              <w:rPr>
                <w:noProof/>
                <w:webHidden/>
              </w:rPr>
              <w:fldChar w:fldCharType="end"/>
            </w:r>
          </w:hyperlink>
        </w:p>
        <w:p w14:paraId="78F2925F" w14:textId="2B8B3645" w:rsidR="002D17DE" w:rsidRDefault="00000000">
          <w:pPr>
            <w:pStyle w:val="Innehll1"/>
            <w:rPr>
              <w:rFonts w:asciiTheme="minorHAnsi" w:eastAsiaTheme="minorEastAsia" w:hAnsiTheme="minorHAnsi"/>
              <w:noProof/>
              <w:lang w:eastAsia="sv-SE"/>
            </w:rPr>
          </w:pPr>
          <w:hyperlink w:anchor="_Toc99001391" w:history="1">
            <w:r w:rsidR="002D17DE" w:rsidRPr="00A27941">
              <w:rPr>
                <w:rStyle w:val="Hyperlnk"/>
                <w:rFonts w:ascii="Times New Roman" w:hAnsi="Times New Roman" w:cs="Times New Roman"/>
                <w:noProof/>
                <w:lang w:val="en-US"/>
              </w:rPr>
              <w:t>Roles and Responsibilities</w:t>
            </w:r>
            <w:r w:rsidR="002D17DE">
              <w:rPr>
                <w:noProof/>
                <w:webHidden/>
              </w:rPr>
              <w:tab/>
            </w:r>
            <w:r w:rsidR="002D17DE">
              <w:rPr>
                <w:noProof/>
                <w:webHidden/>
              </w:rPr>
              <w:fldChar w:fldCharType="begin"/>
            </w:r>
            <w:r w:rsidR="002D17DE">
              <w:rPr>
                <w:noProof/>
                <w:webHidden/>
              </w:rPr>
              <w:instrText xml:space="preserve"> PAGEREF _Toc99001391 \h </w:instrText>
            </w:r>
            <w:r w:rsidR="002D17DE">
              <w:rPr>
                <w:noProof/>
                <w:webHidden/>
              </w:rPr>
            </w:r>
            <w:r w:rsidR="002D17DE">
              <w:rPr>
                <w:noProof/>
                <w:webHidden/>
              </w:rPr>
              <w:fldChar w:fldCharType="separate"/>
            </w:r>
            <w:r w:rsidR="00667D68">
              <w:rPr>
                <w:noProof/>
                <w:webHidden/>
              </w:rPr>
              <w:t>11</w:t>
            </w:r>
            <w:r w:rsidR="002D17DE">
              <w:rPr>
                <w:noProof/>
                <w:webHidden/>
              </w:rPr>
              <w:fldChar w:fldCharType="end"/>
            </w:r>
          </w:hyperlink>
        </w:p>
        <w:p w14:paraId="0CE62F7D" w14:textId="243DD396" w:rsidR="002D17DE" w:rsidRDefault="00000000">
          <w:pPr>
            <w:pStyle w:val="Innehll1"/>
            <w:rPr>
              <w:rFonts w:asciiTheme="minorHAnsi" w:eastAsiaTheme="minorEastAsia" w:hAnsiTheme="minorHAnsi"/>
              <w:noProof/>
              <w:lang w:eastAsia="sv-SE"/>
            </w:rPr>
          </w:pPr>
          <w:hyperlink w:anchor="_Toc99001392" w:history="1">
            <w:r w:rsidR="002D17DE" w:rsidRPr="00A27941">
              <w:rPr>
                <w:rStyle w:val="Hyperlnk"/>
                <w:rFonts w:ascii="Times New Roman" w:hAnsi="Times New Roman" w:cs="Times New Roman"/>
                <w:noProof/>
                <w:lang w:val="en-US"/>
              </w:rPr>
              <w:t>Acronyms and Abbreviations</w:t>
            </w:r>
            <w:r w:rsidR="002D17DE">
              <w:rPr>
                <w:noProof/>
                <w:webHidden/>
              </w:rPr>
              <w:tab/>
            </w:r>
            <w:r w:rsidR="002D17DE">
              <w:rPr>
                <w:noProof/>
                <w:webHidden/>
              </w:rPr>
              <w:fldChar w:fldCharType="begin"/>
            </w:r>
            <w:r w:rsidR="002D17DE">
              <w:rPr>
                <w:noProof/>
                <w:webHidden/>
              </w:rPr>
              <w:instrText xml:space="preserve"> PAGEREF _Toc99001392 \h </w:instrText>
            </w:r>
            <w:r w:rsidR="002D17DE">
              <w:rPr>
                <w:noProof/>
                <w:webHidden/>
              </w:rPr>
            </w:r>
            <w:r w:rsidR="002D17DE">
              <w:rPr>
                <w:noProof/>
                <w:webHidden/>
              </w:rPr>
              <w:fldChar w:fldCharType="separate"/>
            </w:r>
            <w:r w:rsidR="00667D68">
              <w:rPr>
                <w:noProof/>
                <w:webHidden/>
              </w:rPr>
              <w:t>12</w:t>
            </w:r>
            <w:r w:rsidR="002D17DE">
              <w:rPr>
                <w:noProof/>
                <w:webHidden/>
              </w:rPr>
              <w:fldChar w:fldCharType="end"/>
            </w:r>
          </w:hyperlink>
        </w:p>
        <w:p w14:paraId="75B89451" w14:textId="37D90A2B" w:rsidR="002D17DE" w:rsidRDefault="00000000">
          <w:pPr>
            <w:pStyle w:val="Innehll1"/>
            <w:rPr>
              <w:rFonts w:asciiTheme="minorHAnsi" w:eastAsiaTheme="minorEastAsia" w:hAnsiTheme="minorHAnsi"/>
              <w:noProof/>
              <w:lang w:eastAsia="sv-SE"/>
            </w:rPr>
          </w:pPr>
          <w:hyperlink w:anchor="_Toc99001393" w:history="1">
            <w:r w:rsidR="002D17DE" w:rsidRPr="00A27941">
              <w:rPr>
                <w:rStyle w:val="Hyperlnk"/>
                <w:rFonts w:cs="Times New Roman"/>
                <w:noProof/>
                <w:lang w:val="en-US"/>
              </w:rPr>
              <w:t>1. Synopsis</w:t>
            </w:r>
            <w:r w:rsidR="002D17DE">
              <w:rPr>
                <w:noProof/>
                <w:webHidden/>
              </w:rPr>
              <w:tab/>
            </w:r>
            <w:r w:rsidR="002D17DE">
              <w:rPr>
                <w:noProof/>
                <w:webHidden/>
              </w:rPr>
              <w:fldChar w:fldCharType="begin"/>
            </w:r>
            <w:r w:rsidR="002D17DE">
              <w:rPr>
                <w:noProof/>
                <w:webHidden/>
              </w:rPr>
              <w:instrText xml:space="preserve"> PAGEREF _Toc99001393 \h </w:instrText>
            </w:r>
            <w:r w:rsidR="002D17DE">
              <w:rPr>
                <w:noProof/>
                <w:webHidden/>
              </w:rPr>
            </w:r>
            <w:r w:rsidR="002D17DE">
              <w:rPr>
                <w:noProof/>
                <w:webHidden/>
              </w:rPr>
              <w:fldChar w:fldCharType="separate"/>
            </w:r>
            <w:r w:rsidR="00667D68">
              <w:rPr>
                <w:noProof/>
                <w:webHidden/>
              </w:rPr>
              <w:t>13</w:t>
            </w:r>
            <w:r w:rsidR="002D17DE">
              <w:rPr>
                <w:noProof/>
                <w:webHidden/>
              </w:rPr>
              <w:fldChar w:fldCharType="end"/>
            </w:r>
          </w:hyperlink>
        </w:p>
        <w:p w14:paraId="451ED353" w14:textId="5A58562D" w:rsidR="002D17DE" w:rsidRDefault="00000000">
          <w:pPr>
            <w:pStyle w:val="Innehll1"/>
            <w:rPr>
              <w:rFonts w:asciiTheme="minorHAnsi" w:eastAsiaTheme="minorEastAsia" w:hAnsiTheme="minorHAnsi"/>
              <w:noProof/>
              <w:lang w:eastAsia="sv-SE"/>
            </w:rPr>
          </w:pPr>
          <w:hyperlink w:anchor="_Toc99001394" w:history="1">
            <w:r w:rsidR="002D17DE" w:rsidRPr="00A27941">
              <w:rPr>
                <w:rStyle w:val="Hyperlnk"/>
                <w:rFonts w:cs="Times New Roman"/>
                <w:noProof/>
                <w:lang w:val="en-US"/>
              </w:rPr>
              <w:t>2. Introduction</w:t>
            </w:r>
            <w:r w:rsidR="002D17DE">
              <w:rPr>
                <w:noProof/>
                <w:webHidden/>
              </w:rPr>
              <w:tab/>
            </w:r>
            <w:r w:rsidR="002D17DE">
              <w:rPr>
                <w:noProof/>
                <w:webHidden/>
              </w:rPr>
              <w:fldChar w:fldCharType="begin"/>
            </w:r>
            <w:r w:rsidR="002D17DE">
              <w:rPr>
                <w:noProof/>
                <w:webHidden/>
              </w:rPr>
              <w:instrText xml:space="preserve"> PAGEREF _Toc99001394 \h </w:instrText>
            </w:r>
            <w:r w:rsidR="002D17DE">
              <w:rPr>
                <w:noProof/>
                <w:webHidden/>
              </w:rPr>
            </w:r>
            <w:r w:rsidR="002D17DE">
              <w:rPr>
                <w:noProof/>
                <w:webHidden/>
              </w:rPr>
              <w:fldChar w:fldCharType="separate"/>
            </w:r>
            <w:r w:rsidR="00667D68">
              <w:rPr>
                <w:noProof/>
                <w:webHidden/>
              </w:rPr>
              <w:t>14</w:t>
            </w:r>
            <w:r w:rsidR="002D17DE">
              <w:rPr>
                <w:noProof/>
                <w:webHidden/>
              </w:rPr>
              <w:fldChar w:fldCharType="end"/>
            </w:r>
          </w:hyperlink>
        </w:p>
        <w:p w14:paraId="4A9DE035" w14:textId="2BBB342E" w:rsidR="002D17DE" w:rsidRDefault="00000000">
          <w:pPr>
            <w:pStyle w:val="Innehll1"/>
            <w:rPr>
              <w:rFonts w:asciiTheme="minorHAnsi" w:eastAsiaTheme="minorEastAsia" w:hAnsiTheme="minorHAnsi"/>
              <w:noProof/>
              <w:lang w:eastAsia="sv-SE"/>
            </w:rPr>
          </w:pPr>
          <w:hyperlink w:anchor="_Toc99001395" w:history="1">
            <w:r w:rsidR="002D17DE" w:rsidRPr="00A27941">
              <w:rPr>
                <w:rStyle w:val="Hyperlnk"/>
                <w:rFonts w:cs="Times New Roman"/>
                <w:noProof/>
                <w:lang w:val="en-US"/>
              </w:rPr>
              <w:t>3. Objectives</w:t>
            </w:r>
            <w:r w:rsidR="002D17DE">
              <w:rPr>
                <w:noProof/>
                <w:webHidden/>
              </w:rPr>
              <w:tab/>
            </w:r>
            <w:r w:rsidR="002D17DE">
              <w:rPr>
                <w:noProof/>
                <w:webHidden/>
              </w:rPr>
              <w:fldChar w:fldCharType="begin"/>
            </w:r>
            <w:r w:rsidR="002D17DE">
              <w:rPr>
                <w:noProof/>
                <w:webHidden/>
              </w:rPr>
              <w:instrText xml:space="preserve"> PAGEREF _Toc99001395 \h </w:instrText>
            </w:r>
            <w:r w:rsidR="002D17DE">
              <w:rPr>
                <w:noProof/>
                <w:webHidden/>
              </w:rPr>
            </w:r>
            <w:r w:rsidR="002D17DE">
              <w:rPr>
                <w:noProof/>
                <w:webHidden/>
              </w:rPr>
              <w:fldChar w:fldCharType="separate"/>
            </w:r>
            <w:r w:rsidR="00667D68">
              <w:rPr>
                <w:noProof/>
                <w:webHidden/>
              </w:rPr>
              <w:t>15</w:t>
            </w:r>
            <w:r w:rsidR="002D17DE">
              <w:rPr>
                <w:noProof/>
                <w:webHidden/>
              </w:rPr>
              <w:fldChar w:fldCharType="end"/>
            </w:r>
          </w:hyperlink>
        </w:p>
        <w:p w14:paraId="25AF2EEB" w14:textId="328C3ED1" w:rsidR="002D17DE" w:rsidRDefault="00000000">
          <w:pPr>
            <w:pStyle w:val="Innehll2"/>
            <w:rPr>
              <w:rFonts w:asciiTheme="minorHAnsi" w:eastAsiaTheme="minorEastAsia" w:hAnsiTheme="minorHAnsi"/>
              <w:noProof/>
              <w:lang w:eastAsia="sv-SE"/>
            </w:rPr>
          </w:pPr>
          <w:hyperlink w:anchor="_Toc99001396" w:history="1">
            <w:r w:rsidR="002D17DE" w:rsidRPr="00A27941">
              <w:rPr>
                <w:rStyle w:val="Hyperlnk"/>
                <w:rFonts w:cs="Times New Roman"/>
                <w:noProof/>
                <w:lang w:val="en-US"/>
              </w:rPr>
              <w:t>3.1. Primary objective</w:t>
            </w:r>
            <w:r w:rsidR="002D17DE">
              <w:rPr>
                <w:noProof/>
                <w:webHidden/>
              </w:rPr>
              <w:tab/>
            </w:r>
            <w:r w:rsidR="002D17DE">
              <w:rPr>
                <w:noProof/>
                <w:webHidden/>
              </w:rPr>
              <w:fldChar w:fldCharType="begin"/>
            </w:r>
            <w:r w:rsidR="002D17DE">
              <w:rPr>
                <w:noProof/>
                <w:webHidden/>
              </w:rPr>
              <w:instrText xml:space="preserve"> PAGEREF _Toc99001396 \h </w:instrText>
            </w:r>
            <w:r w:rsidR="002D17DE">
              <w:rPr>
                <w:noProof/>
                <w:webHidden/>
              </w:rPr>
            </w:r>
            <w:r w:rsidR="002D17DE">
              <w:rPr>
                <w:noProof/>
                <w:webHidden/>
              </w:rPr>
              <w:fldChar w:fldCharType="separate"/>
            </w:r>
            <w:r w:rsidR="00667D68">
              <w:rPr>
                <w:noProof/>
                <w:webHidden/>
              </w:rPr>
              <w:t>15</w:t>
            </w:r>
            <w:r w:rsidR="002D17DE">
              <w:rPr>
                <w:noProof/>
                <w:webHidden/>
              </w:rPr>
              <w:fldChar w:fldCharType="end"/>
            </w:r>
          </w:hyperlink>
        </w:p>
        <w:p w14:paraId="4CA7A2CB" w14:textId="0155A217" w:rsidR="002D17DE" w:rsidRDefault="00000000">
          <w:pPr>
            <w:pStyle w:val="Innehll2"/>
            <w:rPr>
              <w:rFonts w:asciiTheme="minorHAnsi" w:eastAsiaTheme="minorEastAsia" w:hAnsiTheme="minorHAnsi"/>
              <w:noProof/>
              <w:lang w:eastAsia="sv-SE"/>
            </w:rPr>
          </w:pPr>
          <w:hyperlink w:anchor="_Toc99001397" w:history="1">
            <w:r w:rsidR="002D17DE" w:rsidRPr="00A27941">
              <w:rPr>
                <w:rStyle w:val="Hyperlnk"/>
                <w:rFonts w:cs="Times New Roman"/>
                <w:noProof/>
                <w:lang w:val="en-US"/>
              </w:rPr>
              <w:t>3.2. Secondary objectives</w:t>
            </w:r>
            <w:r w:rsidR="002D17DE">
              <w:rPr>
                <w:noProof/>
                <w:webHidden/>
              </w:rPr>
              <w:tab/>
            </w:r>
            <w:r w:rsidR="002D17DE">
              <w:rPr>
                <w:noProof/>
                <w:webHidden/>
              </w:rPr>
              <w:fldChar w:fldCharType="begin"/>
            </w:r>
            <w:r w:rsidR="002D17DE">
              <w:rPr>
                <w:noProof/>
                <w:webHidden/>
              </w:rPr>
              <w:instrText xml:space="preserve"> PAGEREF _Toc99001397 \h </w:instrText>
            </w:r>
            <w:r w:rsidR="002D17DE">
              <w:rPr>
                <w:noProof/>
                <w:webHidden/>
              </w:rPr>
            </w:r>
            <w:r w:rsidR="002D17DE">
              <w:rPr>
                <w:noProof/>
                <w:webHidden/>
              </w:rPr>
              <w:fldChar w:fldCharType="separate"/>
            </w:r>
            <w:r w:rsidR="00667D68">
              <w:rPr>
                <w:noProof/>
                <w:webHidden/>
              </w:rPr>
              <w:t>15</w:t>
            </w:r>
            <w:r w:rsidR="002D17DE">
              <w:rPr>
                <w:noProof/>
                <w:webHidden/>
              </w:rPr>
              <w:fldChar w:fldCharType="end"/>
            </w:r>
          </w:hyperlink>
        </w:p>
        <w:p w14:paraId="561D3324" w14:textId="78C01BA7" w:rsidR="002D17DE" w:rsidRDefault="00000000">
          <w:pPr>
            <w:pStyle w:val="Innehll2"/>
            <w:rPr>
              <w:rFonts w:asciiTheme="minorHAnsi" w:eastAsiaTheme="minorEastAsia" w:hAnsiTheme="minorHAnsi"/>
              <w:noProof/>
              <w:lang w:eastAsia="sv-SE"/>
            </w:rPr>
          </w:pPr>
          <w:hyperlink w:anchor="_Toc99001398" w:history="1">
            <w:r w:rsidR="002D17DE" w:rsidRPr="00A27941">
              <w:rPr>
                <w:rStyle w:val="Hyperlnk"/>
                <w:rFonts w:cs="Times New Roman"/>
                <w:noProof/>
                <w:lang w:val="en-US"/>
              </w:rPr>
              <w:t>3.3. Exploratory objectives</w:t>
            </w:r>
            <w:r w:rsidR="002D17DE">
              <w:rPr>
                <w:noProof/>
                <w:webHidden/>
              </w:rPr>
              <w:tab/>
            </w:r>
            <w:r w:rsidR="002D17DE">
              <w:rPr>
                <w:noProof/>
                <w:webHidden/>
              </w:rPr>
              <w:fldChar w:fldCharType="begin"/>
            </w:r>
            <w:r w:rsidR="002D17DE">
              <w:rPr>
                <w:noProof/>
                <w:webHidden/>
              </w:rPr>
              <w:instrText xml:space="preserve"> PAGEREF _Toc99001398 \h </w:instrText>
            </w:r>
            <w:r w:rsidR="002D17DE">
              <w:rPr>
                <w:noProof/>
                <w:webHidden/>
              </w:rPr>
            </w:r>
            <w:r w:rsidR="002D17DE">
              <w:rPr>
                <w:noProof/>
                <w:webHidden/>
              </w:rPr>
              <w:fldChar w:fldCharType="separate"/>
            </w:r>
            <w:r w:rsidR="00667D68">
              <w:rPr>
                <w:noProof/>
                <w:webHidden/>
              </w:rPr>
              <w:t>16</w:t>
            </w:r>
            <w:r w:rsidR="002D17DE">
              <w:rPr>
                <w:noProof/>
                <w:webHidden/>
              </w:rPr>
              <w:fldChar w:fldCharType="end"/>
            </w:r>
          </w:hyperlink>
        </w:p>
        <w:p w14:paraId="393FCD69" w14:textId="628D15DE" w:rsidR="002D17DE" w:rsidRDefault="00000000">
          <w:pPr>
            <w:pStyle w:val="Innehll1"/>
            <w:rPr>
              <w:rFonts w:asciiTheme="minorHAnsi" w:eastAsiaTheme="minorEastAsia" w:hAnsiTheme="minorHAnsi"/>
              <w:noProof/>
              <w:lang w:eastAsia="sv-SE"/>
            </w:rPr>
          </w:pPr>
          <w:hyperlink w:anchor="_Toc99001399" w:history="1">
            <w:r w:rsidR="002D17DE" w:rsidRPr="00A27941">
              <w:rPr>
                <w:rStyle w:val="Hyperlnk"/>
                <w:rFonts w:cs="Times New Roman"/>
                <w:noProof/>
                <w:lang w:val="en-US"/>
              </w:rPr>
              <w:t>4. Trial Design</w:t>
            </w:r>
            <w:r w:rsidR="002D17DE">
              <w:rPr>
                <w:noProof/>
                <w:webHidden/>
              </w:rPr>
              <w:tab/>
            </w:r>
            <w:r w:rsidR="002D17DE">
              <w:rPr>
                <w:noProof/>
                <w:webHidden/>
              </w:rPr>
              <w:fldChar w:fldCharType="begin"/>
            </w:r>
            <w:r w:rsidR="002D17DE">
              <w:rPr>
                <w:noProof/>
                <w:webHidden/>
              </w:rPr>
              <w:instrText xml:space="preserve"> PAGEREF _Toc99001399 \h </w:instrText>
            </w:r>
            <w:r w:rsidR="002D17DE">
              <w:rPr>
                <w:noProof/>
                <w:webHidden/>
              </w:rPr>
            </w:r>
            <w:r w:rsidR="002D17DE">
              <w:rPr>
                <w:noProof/>
                <w:webHidden/>
              </w:rPr>
              <w:fldChar w:fldCharType="separate"/>
            </w:r>
            <w:r w:rsidR="00667D68">
              <w:rPr>
                <w:noProof/>
                <w:webHidden/>
              </w:rPr>
              <w:t>17</w:t>
            </w:r>
            <w:r w:rsidR="002D17DE">
              <w:rPr>
                <w:noProof/>
                <w:webHidden/>
              </w:rPr>
              <w:fldChar w:fldCharType="end"/>
            </w:r>
          </w:hyperlink>
        </w:p>
        <w:p w14:paraId="5FB80D1C" w14:textId="080DEAEA" w:rsidR="002D17DE" w:rsidRDefault="00000000">
          <w:pPr>
            <w:pStyle w:val="Innehll1"/>
            <w:rPr>
              <w:rFonts w:asciiTheme="minorHAnsi" w:eastAsiaTheme="minorEastAsia" w:hAnsiTheme="minorHAnsi"/>
              <w:noProof/>
              <w:lang w:eastAsia="sv-SE"/>
            </w:rPr>
          </w:pPr>
          <w:hyperlink w:anchor="_Toc99001400" w:history="1">
            <w:r w:rsidR="002D17DE" w:rsidRPr="00A27941">
              <w:rPr>
                <w:rStyle w:val="Hyperlnk"/>
                <w:rFonts w:cs="Times New Roman"/>
                <w:noProof/>
                <w:lang w:val="en-US"/>
              </w:rPr>
              <w:t>5. Eligibility Criteria</w:t>
            </w:r>
            <w:r w:rsidR="002D17DE">
              <w:rPr>
                <w:noProof/>
                <w:webHidden/>
              </w:rPr>
              <w:tab/>
            </w:r>
            <w:r w:rsidR="002D17DE">
              <w:rPr>
                <w:noProof/>
                <w:webHidden/>
              </w:rPr>
              <w:fldChar w:fldCharType="begin"/>
            </w:r>
            <w:r w:rsidR="002D17DE">
              <w:rPr>
                <w:noProof/>
                <w:webHidden/>
              </w:rPr>
              <w:instrText xml:space="preserve"> PAGEREF _Toc99001400 \h </w:instrText>
            </w:r>
            <w:r w:rsidR="002D17DE">
              <w:rPr>
                <w:noProof/>
                <w:webHidden/>
              </w:rPr>
            </w:r>
            <w:r w:rsidR="002D17DE">
              <w:rPr>
                <w:noProof/>
                <w:webHidden/>
              </w:rPr>
              <w:fldChar w:fldCharType="separate"/>
            </w:r>
            <w:r w:rsidR="00667D68">
              <w:rPr>
                <w:noProof/>
                <w:webHidden/>
              </w:rPr>
              <w:t>17</w:t>
            </w:r>
            <w:r w:rsidR="002D17DE">
              <w:rPr>
                <w:noProof/>
                <w:webHidden/>
              </w:rPr>
              <w:fldChar w:fldCharType="end"/>
            </w:r>
          </w:hyperlink>
        </w:p>
        <w:p w14:paraId="32DBCE74" w14:textId="3F7A2927" w:rsidR="002D17DE" w:rsidRDefault="00000000">
          <w:pPr>
            <w:pStyle w:val="Innehll2"/>
            <w:rPr>
              <w:rFonts w:asciiTheme="minorHAnsi" w:eastAsiaTheme="minorEastAsia" w:hAnsiTheme="minorHAnsi"/>
              <w:noProof/>
              <w:lang w:eastAsia="sv-SE"/>
            </w:rPr>
          </w:pPr>
          <w:hyperlink w:anchor="_Toc99001401" w:history="1">
            <w:r w:rsidR="002D17DE" w:rsidRPr="00A27941">
              <w:rPr>
                <w:rStyle w:val="Hyperlnk"/>
                <w:rFonts w:cs="Times New Roman"/>
                <w:noProof/>
                <w:lang w:val="en-US"/>
              </w:rPr>
              <w:t>5.1. Inclusion criteria</w:t>
            </w:r>
            <w:r w:rsidR="002D17DE">
              <w:rPr>
                <w:noProof/>
                <w:webHidden/>
              </w:rPr>
              <w:tab/>
            </w:r>
            <w:r w:rsidR="002D17DE">
              <w:rPr>
                <w:noProof/>
                <w:webHidden/>
              </w:rPr>
              <w:fldChar w:fldCharType="begin"/>
            </w:r>
            <w:r w:rsidR="002D17DE">
              <w:rPr>
                <w:noProof/>
                <w:webHidden/>
              </w:rPr>
              <w:instrText xml:space="preserve"> PAGEREF _Toc99001401 \h </w:instrText>
            </w:r>
            <w:r w:rsidR="002D17DE">
              <w:rPr>
                <w:noProof/>
                <w:webHidden/>
              </w:rPr>
            </w:r>
            <w:r w:rsidR="002D17DE">
              <w:rPr>
                <w:noProof/>
                <w:webHidden/>
              </w:rPr>
              <w:fldChar w:fldCharType="separate"/>
            </w:r>
            <w:r w:rsidR="00667D68">
              <w:rPr>
                <w:noProof/>
                <w:webHidden/>
              </w:rPr>
              <w:t>17</w:t>
            </w:r>
            <w:r w:rsidR="002D17DE">
              <w:rPr>
                <w:noProof/>
                <w:webHidden/>
              </w:rPr>
              <w:fldChar w:fldCharType="end"/>
            </w:r>
          </w:hyperlink>
        </w:p>
        <w:p w14:paraId="358C0578" w14:textId="55397BFC" w:rsidR="002D17DE" w:rsidRDefault="00000000">
          <w:pPr>
            <w:pStyle w:val="Innehll2"/>
            <w:rPr>
              <w:rFonts w:asciiTheme="minorHAnsi" w:eastAsiaTheme="minorEastAsia" w:hAnsiTheme="minorHAnsi"/>
              <w:noProof/>
              <w:lang w:eastAsia="sv-SE"/>
            </w:rPr>
          </w:pPr>
          <w:hyperlink w:anchor="_Toc99001402" w:history="1">
            <w:r w:rsidR="002D17DE" w:rsidRPr="00A27941">
              <w:rPr>
                <w:rStyle w:val="Hyperlnk"/>
                <w:rFonts w:cs="Times New Roman"/>
                <w:noProof/>
                <w:lang w:val="en-US"/>
              </w:rPr>
              <w:t>5.2. Exclusion criteria</w:t>
            </w:r>
            <w:r w:rsidR="002D17DE">
              <w:rPr>
                <w:noProof/>
                <w:webHidden/>
              </w:rPr>
              <w:tab/>
            </w:r>
            <w:r w:rsidR="002D17DE">
              <w:rPr>
                <w:noProof/>
                <w:webHidden/>
              </w:rPr>
              <w:fldChar w:fldCharType="begin"/>
            </w:r>
            <w:r w:rsidR="002D17DE">
              <w:rPr>
                <w:noProof/>
                <w:webHidden/>
              </w:rPr>
              <w:instrText xml:space="preserve"> PAGEREF _Toc99001402 \h </w:instrText>
            </w:r>
            <w:r w:rsidR="002D17DE">
              <w:rPr>
                <w:noProof/>
                <w:webHidden/>
              </w:rPr>
            </w:r>
            <w:r w:rsidR="002D17DE">
              <w:rPr>
                <w:noProof/>
                <w:webHidden/>
              </w:rPr>
              <w:fldChar w:fldCharType="separate"/>
            </w:r>
            <w:r w:rsidR="00667D68">
              <w:rPr>
                <w:noProof/>
                <w:webHidden/>
              </w:rPr>
              <w:t>19</w:t>
            </w:r>
            <w:r w:rsidR="002D17DE">
              <w:rPr>
                <w:noProof/>
                <w:webHidden/>
              </w:rPr>
              <w:fldChar w:fldCharType="end"/>
            </w:r>
          </w:hyperlink>
        </w:p>
        <w:p w14:paraId="57BA9174" w14:textId="1F867A96" w:rsidR="002D17DE" w:rsidRDefault="00000000">
          <w:pPr>
            <w:pStyle w:val="Innehll1"/>
            <w:rPr>
              <w:rFonts w:asciiTheme="minorHAnsi" w:eastAsiaTheme="minorEastAsia" w:hAnsiTheme="minorHAnsi"/>
              <w:noProof/>
              <w:lang w:eastAsia="sv-SE"/>
            </w:rPr>
          </w:pPr>
          <w:hyperlink w:anchor="_Toc99001403" w:history="1">
            <w:r w:rsidR="002D17DE" w:rsidRPr="00A27941">
              <w:rPr>
                <w:rStyle w:val="Hyperlnk"/>
                <w:rFonts w:cs="Times New Roman"/>
                <w:noProof/>
                <w:lang w:val="en-US"/>
              </w:rPr>
              <w:t>6. Investigational Products</w:t>
            </w:r>
            <w:r w:rsidR="002D17DE">
              <w:rPr>
                <w:noProof/>
                <w:webHidden/>
              </w:rPr>
              <w:tab/>
            </w:r>
            <w:r w:rsidR="002D17DE">
              <w:rPr>
                <w:noProof/>
                <w:webHidden/>
              </w:rPr>
              <w:fldChar w:fldCharType="begin"/>
            </w:r>
            <w:r w:rsidR="002D17DE">
              <w:rPr>
                <w:noProof/>
                <w:webHidden/>
              </w:rPr>
              <w:instrText xml:space="preserve"> PAGEREF _Toc99001403 \h </w:instrText>
            </w:r>
            <w:r w:rsidR="002D17DE">
              <w:rPr>
                <w:noProof/>
                <w:webHidden/>
              </w:rPr>
            </w:r>
            <w:r w:rsidR="002D17DE">
              <w:rPr>
                <w:noProof/>
                <w:webHidden/>
              </w:rPr>
              <w:fldChar w:fldCharType="separate"/>
            </w:r>
            <w:r w:rsidR="00667D68">
              <w:rPr>
                <w:noProof/>
                <w:webHidden/>
              </w:rPr>
              <w:t>19</w:t>
            </w:r>
            <w:r w:rsidR="002D17DE">
              <w:rPr>
                <w:noProof/>
                <w:webHidden/>
              </w:rPr>
              <w:fldChar w:fldCharType="end"/>
            </w:r>
          </w:hyperlink>
        </w:p>
        <w:p w14:paraId="2B6AE635" w14:textId="4100FFBA" w:rsidR="002D17DE" w:rsidRDefault="00000000">
          <w:pPr>
            <w:pStyle w:val="Innehll2"/>
            <w:rPr>
              <w:rFonts w:asciiTheme="minorHAnsi" w:eastAsiaTheme="minorEastAsia" w:hAnsiTheme="minorHAnsi"/>
              <w:noProof/>
              <w:lang w:eastAsia="sv-SE"/>
            </w:rPr>
          </w:pPr>
          <w:hyperlink w:anchor="_Toc99001404" w:history="1">
            <w:r w:rsidR="002D17DE" w:rsidRPr="00A27941">
              <w:rPr>
                <w:rStyle w:val="Hyperlnk"/>
                <w:rFonts w:cs="Times New Roman"/>
                <w:noProof/>
                <w:lang w:val="en-US"/>
              </w:rPr>
              <w:t>6.1. Discontinuation of treatment</w:t>
            </w:r>
            <w:r w:rsidR="002D17DE">
              <w:rPr>
                <w:noProof/>
                <w:webHidden/>
              </w:rPr>
              <w:tab/>
            </w:r>
            <w:r w:rsidR="002D17DE">
              <w:rPr>
                <w:noProof/>
                <w:webHidden/>
              </w:rPr>
              <w:fldChar w:fldCharType="begin"/>
            </w:r>
            <w:r w:rsidR="002D17DE">
              <w:rPr>
                <w:noProof/>
                <w:webHidden/>
              </w:rPr>
              <w:instrText xml:space="preserve"> PAGEREF _Toc99001404 \h </w:instrText>
            </w:r>
            <w:r w:rsidR="002D17DE">
              <w:rPr>
                <w:noProof/>
                <w:webHidden/>
              </w:rPr>
            </w:r>
            <w:r w:rsidR="002D17DE">
              <w:rPr>
                <w:noProof/>
                <w:webHidden/>
              </w:rPr>
              <w:fldChar w:fldCharType="separate"/>
            </w:r>
            <w:r w:rsidR="00667D68">
              <w:rPr>
                <w:noProof/>
                <w:webHidden/>
              </w:rPr>
              <w:t>20</w:t>
            </w:r>
            <w:r w:rsidR="002D17DE">
              <w:rPr>
                <w:noProof/>
                <w:webHidden/>
              </w:rPr>
              <w:fldChar w:fldCharType="end"/>
            </w:r>
          </w:hyperlink>
        </w:p>
        <w:p w14:paraId="3F0E5BA4" w14:textId="0C99AC1C" w:rsidR="002D17DE" w:rsidRDefault="00000000">
          <w:pPr>
            <w:pStyle w:val="Innehll2"/>
            <w:rPr>
              <w:rFonts w:asciiTheme="minorHAnsi" w:eastAsiaTheme="minorEastAsia" w:hAnsiTheme="minorHAnsi"/>
              <w:noProof/>
              <w:lang w:eastAsia="sv-SE"/>
            </w:rPr>
          </w:pPr>
          <w:hyperlink w:anchor="_Toc99001405" w:history="1">
            <w:r w:rsidR="002D17DE" w:rsidRPr="00A27941">
              <w:rPr>
                <w:rStyle w:val="Hyperlnk"/>
                <w:rFonts w:cs="Times New Roman"/>
                <w:noProof/>
                <w:lang w:val="en-US"/>
              </w:rPr>
              <w:t>6.2. Concomitant medications</w:t>
            </w:r>
            <w:r w:rsidR="002D17DE">
              <w:rPr>
                <w:noProof/>
                <w:webHidden/>
              </w:rPr>
              <w:tab/>
            </w:r>
            <w:r w:rsidR="002D17DE">
              <w:rPr>
                <w:noProof/>
                <w:webHidden/>
              </w:rPr>
              <w:fldChar w:fldCharType="begin"/>
            </w:r>
            <w:r w:rsidR="002D17DE">
              <w:rPr>
                <w:noProof/>
                <w:webHidden/>
              </w:rPr>
              <w:instrText xml:space="preserve"> PAGEREF _Toc99001405 \h </w:instrText>
            </w:r>
            <w:r w:rsidR="002D17DE">
              <w:rPr>
                <w:noProof/>
                <w:webHidden/>
              </w:rPr>
            </w:r>
            <w:r w:rsidR="002D17DE">
              <w:rPr>
                <w:noProof/>
                <w:webHidden/>
              </w:rPr>
              <w:fldChar w:fldCharType="separate"/>
            </w:r>
            <w:r w:rsidR="00667D68">
              <w:rPr>
                <w:noProof/>
                <w:webHidden/>
              </w:rPr>
              <w:t>21</w:t>
            </w:r>
            <w:r w:rsidR="002D17DE">
              <w:rPr>
                <w:noProof/>
                <w:webHidden/>
              </w:rPr>
              <w:fldChar w:fldCharType="end"/>
            </w:r>
          </w:hyperlink>
        </w:p>
        <w:p w14:paraId="24DE7AFF" w14:textId="22604725" w:rsidR="002D17DE" w:rsidRDefault="00000000">
          <w:pPr>
            <w:pStyle w:val="Innehll1"/>
            <w:rPr>
              <w:rFonts w:asciiTheme="minorHAnsi" w:eastAsiaTheme="minorEastAsia" w:hAnsiTheme="minorHAnsi"/>
              <w:noProof/>
              <w:lang w:eastAsia="sv-SE"/>
            </w:rPr>
          </w:pPr>
          <w:hyperlink w:anchor="_Toc99001406" w:history="1">
            <w:r w:rsidR="002D17DE" w:rsidRPr="00A27941">
              <w:rPr>
                <w:rStyle w:val="Hyperlnk"/>
                <w:rFonts w:cs="Times New Roman"/>
                <w:noProof/>
                <w:lang w:val="en-US"/>
              </w:rPr>
              <w:t>7. Outcomes</w:t>
            </w:r>
            <w:r w:rsidR="002D17DE">
              <w:rPr>
                <w:noProof/>
                <w:webHidden/>
              </w:rPr>
              <w:tab/>
            </w:r>
            <w:r w:rsidR="002D17DE">
              <w:rPr>
                <w:noProof/>
                <w:webHidden/>
              </w:rPr>
              <w:fldChar w:fldCharType="begin"/>
            </w:r>
            <w:r w:rsidR="002D17DE">
              <w:rPr>
                <w:noProof/>
                <w:webHidden/>
              </w:rPr>
              <w:instrText xml:space="preserve"> PAGEREF _Toc99001406 \h </w:instrText>
            </w:r>
            <w:r w:rsidR="002D17DE">
              <w:rPr>
                <w:noProof/>
                <w:webHidden/>
              </w:rPr>
            </w:r>
            <w:r w:rsidR="002D17DE">
              <w:rPr>
                <w:noProof/>
                <w:webHidden/>
              </w:rPr>
              <w:fldChar w:fldCharType="separate"/>
            </w:r>
            <w:r w:rsidR="00667D68">
              <w:rPr>
                <w:noProof/>
                <w:webHidden/>
              </w:rPr>
              <w:t>21</w:t>
            </w:r>
            <w:r w:rsidR="002D17DE">
              <w:rPr>
                <w:noProof/>
                <w:webHidden/>
              </w:rPr>
              <w:fldChar w:fldCharType="end"/>
            </w:r>
          </w:hyperlink>
        </w:p>
        <w:p w14:paraId="06214901" w14:textId="363D1209" w:rsidR="002D17DE" w:rsidRDefault="00000000">
          <w:pPr>
            <w:pStyle w:val="Innehll2"/>
            <w:rPr>
              <w:rFonts w:asciiTheme="minorHAnsi" w:eastAsiaTheme="minorEastAsia" w:hAnsiTheme="minorHAnsi"/>
              <w:noProof/>
              <w:lang w:eastAsia="sv-SE"/>
            </w:rPr>
          </w:pPr>
          <w:hyperlink w:anchor="_Toc99001407" w:history="1">
            <w:r w:rsidR="002D17DE" w:rsidRPr="00A27941">
              <w:rPr>
                <w:rStyle w:val="Hyperlnk"/>
                <w:rFonts w:cs="Times New Roman"/>
                <w:noProof/>
                <w:lang w:val="en-US"/>
              </w:rPr>
              <w:t>7.1. Primary outcome</w:t>
            </w:r>
            <w:r w:rsidR="002D17DE">
              <w:rPr>
                <w:noProof/>
                <w:webHidden/>
              </w:rPr>
              <w:tab/>
            </w:r>
            <w:r w:rsidR="002D17DE">
              <w:rPr>
                <w:noProof/>
                <w:webHidden/>
              </w:rPr>
              <w:fldChar w:fldCharType="begin"/>
            </w:r>
            <w:r w:rsidR="002D17DE">
              <w:rPr>
                <w:noProof/>
                <w:webHidden/>
              </w:rPr>
              <w:instrText xml:space="preserve"> PAGEREF _Toc99001407 \h </w:instrText>
            </w:r>
            <w:r w:rsidR="002D17DE">
              <w:rPr>
                <w:noProof/>
                <w:webHidden/>
              </w:rPr>
            </w:r>
            <w:r w:rsidR="002D17DE">
              <w:rPr>
                <w:noProof/>
                <w:webHidden/>
              </w:rPr>
              <w:fldChar w:fldCharType="separate"/>
            </w:r>
            <w:r w:rsidR="00667D68">
              <w:rPr>
                <w:noProof/>
                <w:webHidden/>
              </w:rPr>
              <w:t>21</w:t>
            </w:r>
            <w:r w:rsidR="002D17DE">
              <w:rPr>
                <w:noProof/>
                <w:webHidden/>
              </w:rPr>
              <w:fldChar w:fldCharType="end"/>
            </w:r>
          </w:hyperlink>
        </w:p>
        <w:p w14:paraId="45FA5FF7" w14:textId="25DD6347" w:rsidR="002D17DE" w:rsidRDefault="00000000">
          <w:pPr>
            <w:pStyle w:val="Innehll2"/>
            <w:rPr>
              <w:rFonts w:asciiTheme="minorHAnsi" w:eastAsiaTheme="minorEastAsia" w:hAnsiTheme="minorHAnsi"/>
              <w:noProof/>
              <w:lang w:eastAsia="sv-SE"/>
            </w:rPr>
          </w:pPr>
          <w:hyperlink w:anchor="_Toc99001408" w:history="1">
            <w:r w:rsidR="002D17DE" w:rsidRPr="00A27941">
              <w:rPr>
                <w:rStyle w:val="Hyperlnk"/>
                <w:rFonts w:cs="Times New Roman"/>
                <w:noProof/>
                <w:lang w:val="en-US"/>
              </w:rPr>
              <w:t>7.2. Secondary outcomes</w:t>
            </w:r>
            <w:r w:rsidR="002D17DE">
              <w:rPr>
                <w:noProof/>
                <w:webHidden/>
              </w:rPr>
              <w:tab/>
            </w:r>
            <w:r w:rsidR="002D17DE">
              <w:rPr>
                <w:noProof/>
                <w:webHidden/>
              </w:rPr>
              <w:fldChar w:fldCharType="begin"/>
            </w:r>
            <w:r w:rsidR="002D17DE">
              <w:rPr>
                <w:noProof/>
                <w:webHidden/>
              </w:rPr>
              <w:instrText xml:space="preserve"> PAGEREF _Toc99001408 \h </w:instrText>
            </w:r>
            <w:r w:rsidR="002D17DE">
              <w:rPr>
                <w:noProof/>
                <w:webHidden/>
              </w:rPr>
            </w:r>
            <w:r w:rsidR="002D17DE">
              <w:rPr>
                <w:noProof/>
                <w:webHidden/>
              </w:rPr>
              <w:fldChar w:fldCharType="separate"/>
            </w:r>
            <w:r w:rsidR="00667D68">
              <w:rPr>
                <w:noProof/>
                <w:webHidden/>
              </w:rPr>
              <w:t>21</w:t>
            </w:r>
            <w:r w:rsidR="002D17DE">
              <w:rPr>
                <w:noProof/>
                <w:webHidden/>
              </w:rPr>
              <w:fldChar w:fldCharType="end"/>
            </w:r>
          </w:hyperlink>
        </w:p>
        <w:p w14:paraId="31404DD7" w14:textId="739EFC26" w:rsidR="002D17DE" w:rsidRDefault="00000000">
          <w:pPr>
            <w:pStyle w:val="Innehll2"/>
            <w:rPr>
              <w:rFonts w:asciiTheme="minorHAnsi" w:eastAsiaTheme="minorEastAsia" w:hAnsiTheme="minorHAnsi"/>
              <w:noProof/>
              <w:lang w:eastAsia="sv-SE"/>
            </w:rPr>
          </w:pPr>
          <w:hyperlink w:anchor="_Toc99001409" w:history="1">
            <w:r w:rsidR="002D17DE" w:rsidRPr="00A27941">
              <w:rPr>
                <w:rStyle w:val="Hyperlnk"/>
                <w:rFonts w:cs="Times New Roman"/>
                <w:noProof/>
                <w:lang w:val="en-US"/>
              </w:rPr>
              <w:t>7.3. Exploratory outcomes</w:t>
            </w:r>
            <w:r w:rsidR="002D17DE">
              <w:rPr>
                <w:noProof/>
                <w:webHidden/>
              </w:rPr>
              <w:tab/>
            </w:r>
            <w:r w:rsidR="002D17DE">
              <w:rPr>
                <w:noProof/>
                <w:webHidden/>
              </w:rPr>
              <w:fldChar w:fldCharType="begin"/>
            </w:r>
            <w:r w:rsidR="002D17DE">
              <w:rPr>
                <w:noProof/>
                <w:webHidden/>
              </w:rPr>
              <w:instrText xml:space="preserve"> PAGEREF _Toc99001409 \h </w:instrText>
            </w:r>
            <w:r w:rsidR="002D17DE">
              <w:rPr>
                <w:noProof/>
                <w:webHidden/>
              </w:rPr>
            </w:r>
            <w:r w:rsidR="002D17DE">
              <w:rPr>
                <w:noProof/>
                <w:webHidden/>
              </w:rPr>
              <w:fldChar w:fldCharType="separate"/>
            </w:r>
            <w:r w:rsidR="00667D68">
              <w:rPr>
                <w:noProof/>
                <w:webHidden/>
              </w:rPr>
              <w:t>22</w:t>
            </w:r>
            <w:r w:rsidR="002D17DE">
              <w:rPr>
                <w:noProof/>
                <w:webHidden/>
              </w:rPr>
              <w:fldChar w:fldCharType="end"/>
            </w:r>
          </w:hyperlink>
        </w:p>
        <w:p w14:paraId="0AF6F30C" w14:textId="6237EF14" w:rsidR="002D17DE" w:rsidRDefault="00000000">
          <w:pPr>
            <w:pStyle w:val="Innehll2"/>
            <w:rPr>
              <w:rFonts w:asciiTheme="minorHAnsi" w:eastAsiaTheme="minorEastAsia" w:hAnsiTheme="minorHAnsi"/>
              <w:noProof/>
              <w:lang w:eastAsia="sv-SE"/>
            </w:rPr>
          </w:pPr>
          <w:hyperlink w:anchor="_Toc99001410" w:history="1">
            <w:r w:rsidR="002D17DE" w:rsidRPr="00A27941">
              <w:rPr>
                <w:rStyle w:val="Hyperlnk"/>
                <w:rFonts w:cs="Times New Roman"/>
                <w:noProof/>
                <w:lang w:val="en-US"/>
              </w:rPr>
              <w:t>7.4. Safety outcomes</w:t>
            </w:r>
            <w:r w:rsidR="002D17DE">
              <w:rPr>
                <w:noProof/>
                <w:webHidden/>
              </w:rPr>
              <w:tab/>
            </w:r>
            <w:r w:rsidR="002D17DE">
              <w:rPr>
                <w:noProof/>
                <w:webHidden/>
              </w:rPr>
              <w:fldChar w:fldCharType="begin"/>
            </w:r>
            <w:r w:rsidR="002D17DE">
              <w:rPr>
                <w:noProof/>
                <w:webHidden/>
              </w:rPr>
              <w:instrText xml:space="preserve"> PAGEREF _Toc99001410 \h </w:instrText>
            </w:r>
            <w:r w:rsidR="002D17DE">
              <w:rPr>
                <w:noProof/>
                <w:webHidden/>
              </w:rPr>
            </w:r>
            <w:r w:rsidR="002D17DE">
              <w:rPr>
                <w:noProof/>
                <w:webHidden/>
              </w:rPr>
              <w:fldChar w:fldCharType="separate"/>
            </w:r>
            <w:r w:rsidR="00667D68">
              <w:rPr>
                <w:noProof/>
                <w:webHidden/>
              </w:rPr>
              <w:t>23</w:t>
            </w:r>
            <w:r w:rsidR="002D17DE">
              <w:rPr>
                <w:noProof/>
                <w:webHidden/>
              </w:rPr>
              <w:fldChar w:fldCharType="end"/>
            </w:r>
          </w:hyperlink>
        </w:p>
        <w:p w14:paraId="3ED6C0D7" w14:textId="0446BAE8" w:rsidR="002D17DE" w:rsidRDefault="00000000">
          <w:pPr>
            <w:pStyle w:val="Innehll1"/>
            <w:rPr>
              <w:rFonts w:asciiTheme="minorHAnsi" w:eastAsiaTheme="minorEastAsia" w:hAnsiTheme="minorHAnsi"/>
              <w:noProof/>
              <w:lang w:eastAsia="sv-SE"/>
            </w:rPr>
          </w:pPr>
          <w:hyperlink w:anchor="_Toc99001411" w:history="1">
            <w:r w:rsidR="002D17DE" w:rsidRPr="00A27941">
              <w:rPr>
                <w:rStyle w:val="Hyperlnk"/>
                <w:rFonts w:cs="Times New Roman"/>
                <w:noProof/>
                <w:lang w:val="en-US"/>
              </w:rPr>
              <w:t>8. Safety</w:t>
            </w:r>
            <w:r w:rsidR="002D17DE">
              <w:rPr>
                <w:noProof/>
                <w:webHidden/>
              </w:rPr>
              <w:tab/>
            </w:r>
            <w:r w:rsidR="002D17DE">
              <w:rPr>
                <w:noProof/>
                <w:webHidden/>
              </w:rPr>
              <w:fldChar w:fldCharType="begin"/>
            </w:r>
            <w:r w:rsidR="002D17DE">
              <w:rPr>
                <w:noProof/>
                <w:webHidden/>
              </w:rPr>
              <w:instrText xml:space="preserve"> PAGEREF _Toc99001411 \h </w:instrText>
            </w:r>
            <w:r w:rsidR="002D17DE">
              <w:rPr>
                <w:noProof/>
                <w:webHidden/>
              </w:rPr>
            </w:r>
            <w:r w:rsidR="002D17DE">
              <w:rPr>
                <w:noProof/>
                <w:webHidden/>
              </w:rPr>
              <w:fldChar w:fldCharType="separate"/>
            </w:r>
            <w:r w:rsidR="00667D68">
              <w:rPr>
                <w:noProof/>
                <w:webHidden/>
              </w:rPr>
              <w:t>23</w:t>
            </w:r>
            <w:r w:rsidR="002D17DE">
              <w:rPr>
                <w:noProof/>
                <w:webHidden/>
              </w:rPr>
              <w:fldChar w:fldCharType="end"/>
            </w:r>
          </w:hyperlink>
        </w:p>
        <w:p w14:paraId="4FB0DBC2" w14:textId="60E63DE5" w:rsidR="002D17DE" w:rsidRDefault="00000000">
          <w:pPr>
            <w:pStyle w:val="Innehll2"/>
            <w:rPr>
              <w:rFonts w:asciiTheme="minorHAnsi" w:eastAsiaTheme="minorEastAsia" w:hAnsiTheme="minorHAnsi"/>
              <w:noProof/>
              <w:lang w:eastAsia="sv-SE"/>
            </w:rPr>
          </w:pPr>
          <w:hyperlink w:anchor="_Toc99001412" w:history="1">
            <w:r w:rsidR="002D17DE" w:rsidRPr="00A27941">
              <w:rPr>
                <w:rStyle w:val="Hyperlnk"/>
                <w:rFonts w:cs="Times New Roman"/>
                <w:noProof/>
                <w:lang w:val="en-US"/>
              </w:rPr>
              <w:t>8.1. Adverse events</w:t>
            </w:r>
            <w:r w:rsidR="002D17DE">
              <w:rPr>
                <w:noProof/>
                <w:webHidden/>
              </w:rPr>
              <w:tab/>
            </w:r>
            <w:r w:rsidR="002D17DE">
              <w:rPr>
                <w:noProof/>
                <w:webHidden/>
              </w:rPr>
              <w:fldChar w:fldCharType="begin"/>
            </w:r>
            <w:r w:rsidR="002D17DE">
              <w:rPr>
                <w:noProof/>
                <w:webHidden/>
              </w:rPr>
              <w:instrText xml:space="preserve"> PAGEREF _Toc99001412 \h </w:instrText>
            </w:r>
            <w:r w:rsidR="002D17DE">
              <w:rPr>
                <w:noProof/>
                <w:webHidden/>
              </w:rPr>
            </w:r>
            <w:r w:rsidR="002D17DE">
              <w:rPr>
                <w:noProof/>
                <w:webHidden/>
              </w:rPr>
              <w:fldChar w:fldCharType="separate"/>
            </w:r>
            <w:r w:rsidR="00667D68">
              <w:rPr>
                <w:noProof/>
                <w:webHidden/>
              </w:rPr>
              <w:t>23</w:t>
            </w:r>
            <w:r w:rsidR="002D17DE">
              <w:rPr>
                <w:noProof/>
                <w:webHidden/>
              </w:rPr>
              <w:fldChar w:fldCharType="end"/>
            </w:r>
          </w:hyperlink>
        </w:p>
        <w:p w14:paraId="4EEB91A5" w14:textId="12133E08" w:rsidR="002D17DE" w:rsidRDefault="00000000">
          <w:pPr>
            <w:pStyle w:val="Innehll2"/>
            <w:rPr>
              <w:rFonts w:asciiTheme="minorHAnsi" w:eastAsiaTheme="minorEastAsia" w:hAnsiTheme="minorHAnsi"/>
              <w:noProof/>
              <w:lang w:eastAsia="sv-SE"/>
            </w:rPr>
          </w:pPr>
          <w:hyperlink w:anchor="_Toc99001413" w:history="1">
            <w:r w:rsidR="002D17DE" w:rsidRPr="00A27941">
              <w:rPr>
                <w:rStyle w:val="Hyperlnk"/>
                <w:rFonts w:cs="Times New Roman"/>
                <w:noProof/>
                <w:lang w:val="en-US"/>
              </w:rPr>
              <w:t>8.2. Serious adverse events</w:t>
            </w:r>
            <w:r w:rsidR="002D17DE">
              <w:rPr>
                <w:noProof/>
                <w:webHidden/>
              </w:rPr>
              <w:tab/>
            </w:r>
            <w:r w:rsidR="002D17DE">
              <w:rPr>
                <w:noProof/>
                <w:webHidden/>
              </w:rPr>
              <w:fldChar w:fldCharType="begin"/>
            </w:r>
            <w:r w:rsidR="002D17DE">
              <w:rPr>
                <w:noProof/>
                <w:webHidden/>
              </w:rPr>
              <w:instrText xml:space="preserve"> PAGEREF _Toc99001413 \h </w:instrText>
            </w:r>
            <w:r w:rsidR="002D17DE">
              <w:rPr>
                <w:noProof/>
                <w:webHidden/>
              </w:rPr>
            </w:r>
            <w:r w:rsidR="002D17DE">
              <w:rPr>
                <w:noProof/>
                <w:webHidden/>
              </w:rPr>
              <w:fldChar w:fldCharType="separate"/>
            </w:r>
            <w:r w:rsidR="00667D68">
              <w:rPr>
                <w:noProof/>
                <w:webHidden/>
              </w:rPr>
              <w:t>24</w:t>
            </w:r>
            <w:r w:rsidR="002D17DE">
              <w:rPr>
                <w:noProof/>
                <w:webHidden/>
              </w:rPr>
              <w:fldChar w:fldCharType="end"/>
            </w:r>
          </w:hyperlink>
        </w:p>
        <w:p w14:paraId="3E3F3D8F" w14:textId="2AE81257" w:rsidR="002D17DE" w:rsidRDefault="00000000">
          <w:pPr>
            <w:pStyle w:val="Innehll2"/>
            <w:rPr>
              <w:rFonts w:asciiTheme="minorHAnsi" w:eastAsiaTheme="minorEastAsia" w:hAnsiTheme="minorHAnsi"/>
              <w:noProof/>
              <w:lang w:eastAsia="sv-SE"/>
            </w:rPr>
          </w:pPr>
          <w:hyperlink w:anchor="_Toc99001414" w:history="1">
            <w:r w:rsidR="002D17DE" w:rsidRPr="00A27941">
              <w:rPr>
                <w:rStyle w:val="Hyperlnk"/>
                <w:rFonts w:cs="Times New Roman"/>
                <w:noProof/>
                <w:lang w:val="en-US"/>
              </w:rPr>
              <w:t>8.3. Adverse drug reactions</w:t>
            </w:r>
            <w:r w:rsidR="002D17DE">
              <w:rPr>
                <w:noProof/>
                <w:webHidden/>
              </w:rPr>
              <w:tab/>
            </w:r>
            <w:r w:rsidR="002D17DE">
              <w:rPr>
                <w:noProof/>
                <w:webHidden/>
              </w:rPr>
              <w:fldChar w:fldCharType="begin"/>
            </w:r>
            <w:r w:rsidR="002D17DE">
              <w:rPr>
                <w:noProof/>
                <w:webHidden/>
              </w:rPr>
              <w:instrText xml:space="preserve"> PAGEREF _Toc99001414 \h </w:instrText>
            </w:r>
            <w:r w:rsidR="002D17DE">
              <w:rPr>
                <w:noProof/>
                <w:webHidden/>
              </w:rPr>
            </w:r>
            <w:r w:rsidR="002D17DE">
              <w:rPr>
                <w:noProof/>
                <w:webHidden/>
              </w:rPr>
              <w:fldChar w:fldCharType="separate"/>
            </w:r>
            <w:r w:rsidR="00667D68">
              <w:rPr>
                <w:noProof/>
                <w:webHidden/>
              </w:rPr>
              <w:t>25</w:t>
            </w:r>
            <w:r w:rsidR="002D17DE">
              <w:rPr>
                <w:noProof/>
                <w:webHidden/>
              </w:rPr>
              <w:fldChar w:fldCharType="end"/>
            </w:r>
          </w:hyperlink>
        </w:p>
        <w:p w14:paraId="1B296FE4" w14:textId="3AD4ECD5" w:rsidR="002D17DE" w:rsidRDefault="00000000">
          <w:pPr>
            <w:pStyle w:val="Innehll2"/>
            <w:rPr>
              <w:rFonts w:asciiTheme="minorHAnsi" w:eastAsiaTheme="minorEastAsia" w:hAnsiTheme="minorHAnsi"/>
              <w:noProof/>
              <w:lang w:eastAsia="sv-SE"/>
            </w:rPr>
          </w:pPr>
          <w:hyperlink w:anchor="_Toc99001415" w:history="1">
            <w:r w:rsidR="002D17DE" w:rsidRPr="00A27941">
              <w:rPr>
                <w:rStyle w:val="Hyperlnk"/>
                <w:rFonts w:cs="Times New Roman"/>
                <w:noProof/>
                <w:lang w:val="en-US"/>
              </w:rPr>
              <w:t>8.4. Unexpected and serious unexpected adverse reactions</w:t>
            </w:r>
            <w:r w:rsidR="002D17DE">
              <w:rPr>
                <w:noProof/>
                <w:webHidden/>
              </w:rPr>
              <w:tab/>
            </w:r>
            <w:r w:rsidR="002D17DE">
              <w:rPr>
                <w:noProof/>
                <w:webHidden/>
              </w:rPr>
              <w:fldChar w:fldCharType="begin"/>
            </w:r>
            <w:r w:rsidR="002D17DE">
              <w:rPr>
                <w:noProof/>
                <w:webHidden/>
              </w:rPr>
              <w:instrText xml:space="preserve"> PAGEREF _Toc99001415 \h </w:instrText>
            </w:r>
            <w:r w:rsidR="002D17DE">
              <w:rPr>
                <w:noProof/>
                <w:webHidden/>
              </w:rPr>
            </w:r>
            <w:r w:rsidR="002D17DE">
              <w:rPr>
                <w:noProof/>
                <w:webHidden/>
              </w:rPr>
              <w:fldChar w:fldCharType="separate"/>
            </w:r>
            <w:r w:rsidR="00667D68">
              <w:rPr>
                <w:noProof/>
                <w:webHidden/>
              </w:rPr>
              <w:t>25</w:t>
            </w:r>
            <w:r w:rsidR="002D17DE">
              <w:rPr>
                <w:noProof/>
                <w:webHidden/>
              </w:rPr>
              <w:fldChar w:fldCharType="end"/>
            </w:r>
          </w:hyperlink>
        </w:p>
        <w:p w14:paraId="1FB6489C" w14:textId="17E608AC" w:rsidR="002D17DE" w:rsidRDefault="00000000">
          <w:pPr>
            <w:pStyle w:val="Innehll2"/>
            <w:rPr>
              <w:rFonts w:asciiTheme="minorHAnsi" w:eastAsiaTheme="minorEastAsia" w:hAnsiTheme="minorHAnsi"/>
              <w:noProof/>
              <w:lang w:eastAsia="sv-SE"/>
            </w:rPr>
          </w:pPr>
          <w:hyperlink w:anchor="_Toc99001416" w:history="1">
            <w:r w:rsidR="002D17DE" w:rsidRPr="00A27941">
              <w:rPr>
                <w:rStyle w:val="Hyperlnk"/>
                <w:noProof/>
                <w:lang w:val="en-US"/>
              </w:rPr>
              <w:t>8.5. Development Safety Update Report</w:t>
            </w:r>
            <w:r w:rsidR="002D17DE">
              <w:rPr>
                <w:noProof/>
                <w:webHidden/>
              </w:rPr>
              <w:tab/>
            </w:r>
            <w:r w:rsidR="002D17DE">
              <w:rPr>
                <w:noProof/>
                <w:webHidden/>
              </w:rPr>
              <w:fldChar w:fldCharType="begin"/>
            </w:r>
            <w:r w:rsidR="002D17DE">
              <w:rPr>
                <w:noProof/>
                <w:webHidden/>
              </w:rPr>
              <w:instrText xml:space="preserve"> PAGEREF _Toc99001416 \h </w:instrText>
            </w:r>
            <w:r w:rsidR="002D17DE">
              <w:rPr>
                <w:noProof/>
                <w:webHidden/>
              </w:rPr>
            </w:r>
            <w:r w:rsidR="002D17DE">
              <w:rPr>
                <w:noProof/>
                <w:webHidden/>
              </w:rPr>
              <w:fldChar w:fldCharType="separate"/>
            </w:r>
            <w:r w:rsidR="00667D68">
              <w:rPr>
                <w:noProof/>
                <w:webHidden/>
              </w:rPr>
              <w:t>26</w:t>
            </w:r>
            <w:r w:rsidR="002D17DE">
              <w:rPr>
                <w:noProof/>
                <w:webHidden/>
              </w:rPr>
              <w:fldChar w:fldCharType="end"/>
            </w:r>
          </w:hyperlink>
        </w:p>
        <w:p w14:paraId="2F0C46CA" w14:textId="3FEA91EA" w:rsidR="002D17DE" w:rsidRDefault="00000000">
          <w:pPr>
            <w:pStyle w:val="Innehll1"/>
            <w:rPr>
              <w:rFonts w:asciiTheme="minorHAnsi" w:eastAsiaTheme="minorEastAsia" w:hAnsiTheme="minorHAnsi"/>
              <w:noProof/>
              <w:lang w:eastAsia="sv-SE"/>
            </w:rPr>
          </w:pPr>
          <w:hyperlink w:anchor="_Toc99001417" w:history="1">
            <w:r w:rsidR="002D17DE" w:rsidRPr="00A27941">
              <w:rPr>
                <w:rStyle w:val="Hyperlnk"/>
                <w:rFonts w:cs="Times New Roman"/>
                <w:noProof/>
                <w:lang w:val="en-US"/>
              </w:rPr>
              <w:t>9. Participant Timeline</w:t>
            </w:r>
            <w:r w:rsidR="002D17DE">
              <w:rPr>
                <w:noProof/>
                <w:webHidden/>
              </w:rPr>
              <w:tab/>
            </w:r>
            <w:r w:rsidR="002D17DE">
              <w:rPr>
                <w:noProof/>
                <w:webHidden/>
              </w:rPr>
              <w:fldChar w:fldCharType="begin"/>
            </w:r>
            <w:r w:rsidR="002D17DE">
              <w:rPr>
                <w:noProof/>
                <w:webHidden/>
              </w:rPr>
              <w:instrText xml:space="preserve"> PAGEREF _Toc99001417 \h </w:instrText>
            </w:r>
            <w:r w:rsidR="002D17DE">
              <w:rPr>
                <w:noProof/>
                <w:webHidden/>
              </w:rPr>
            </w:r>
            <w:r w:rsidR="002D17DE">
              <w:rPr>
                <w:noProof/>
                <w:webHidden/>
              </w:rPr>
              <w:fldChar w:fldCharType="separate"/>
            </w:r>
            <w:r w:rsidR="00667D68">
              <w:rPr>
                <w:noProof/>
                <w:webHidden/>
              </w:rPr>
              <w:t>26</w:t>
            </w:r>
            <w:r w:rsidR="002D17DE">
              <w:rPr>
                <w:noProof/>
                <w:webHidden/>
              </w:rPr>
              <w:fldChar w:fldCharType="end"/>
            </w:r>
          </w:hyperlink>
        </w:p>
        <w:p w14:paraId="05047D1E" w14:textId="25339E5E" w:rsidR="002D17DE" w:rsidRDefault="00000000">
          <w:pPr>
            <w:pStyle w:val="Innehll1"/>
            <w:rPr>
              <w:rFonts w:asciiTheme="minorHAnsi" w:eastAsiaTheme="minorEastAsia" w:hAnsiTheme="minorHAnsi"/>
              <w:noProof/>
              <w:lang w:eastAsia="sv-SE"/>
            </w:rPr>
          </w:pPr>
          <w:hyperlink w:anchor="_Toc99001418" w:history="1">
            <w:r w:rsidR="002D17DE" w:rsidRPr="00A27941">
              <w:rPr>
                <w:rStyle w:val="Hyperlnk"/>
                <w:rFonts w:cs="Times New Roman"/>
                <w:noProof/>
                <w:lang w:val="en-US"/>
              </w:rPr>
              <w:t>10. Treatment Allocation and Blinding</w:t>
            </w:r>
            <w:r w:rsidR="002D17DE">
              <w:rPr>
                <w:noProof/>
                <w:webHidden/>
              </w:rPr>
              <w:tab/>
            </w:r>
            <w:r w:rsidR="002D17DE">
              <w:rPr>
                <w:noProof/>
                <w:webHidden/>
              </w:rPr>
              <w:fldChar w:fldCharType="begin"/>
            </w:r>
            <w:r w:rsidR="002D17DE">
              <w:rPr>
                <w:noProof/>
                <w:webHidden/>
              </w:rPr>
              <w:instrText xml:space="preserve"> PAGEREF _Toc99001418 \h </w:instrText>
            </w:r>
            <w:r w:rsidR="002D17DE">
              <w:rPr>
                <w:noProof/>
                <w:webHidden/>
              </w:rPr>
            </w:r>
            <w:r w:rsidR="002D17DE">
              <w:rPr>
                <w:noProof/>
                <w:webHidden/>
              </w:rPr>
              <w:fldChar w:fldCharType="separate"/>
            </w:r>
            <w:r w:rsidR="00667D68">
              <w:rPr>
                <w:noProof/>
                <w:webHidden/>
              </w:rPr>
              <w:t>27</w:t>
            </w:r>
            <w:r w:rsidR="002D17DE">
              <w:rPr>
                <w:noProof/>
                <w:webHidden/>
              </w:rPr>
              <w:fldChar w:fldCharType="end"/>
            </w:r>
          </w:hyperlink>
        </w:p>
        <w:p w14:paraId="18409130" w14:textId="216718DA" w:rsidR="002D17DE" w:rsidRDefault="00000000">
          <w:pPr>
            <w:pStyle w:val="Innehll1"/>
            <w:rPr>
              <w:rFonts w:asciiTheme="minorHAnsi" w:eastAsiaTheme="minorEastAsia" w:hAnsiTheme="minorHAnsi"/>
              <w:noProof/>
              <w:lang w:eastAsia="sv-SE"/>
            </w:rPr>
          </w:pPr>
          <w:hyperlink w:anchor="_Toc99001419" w:history="1">
            <w:r w:rsidR="002D17DE" w:rsidRPr="00A27941">
              <w:rPr>
                <w:rStyle w:val="Hyperlnk"/>
                <w:rFonts w:cs="Times New Roman"/>
                <w:noProof/>
                <w:lang w:val="en-US"/>
              </w:rPr>
              <w:t>11. Recruitment, Pre-Screening, and Exclusion</w:t>
            </w:r>
            <w:r w:rsidR="002D17DE">
              <w:rPr>
                <w:noProof/>
                <w:webHidden/>
              </w:rPr>
              <w:tab/>
            </w:r>
            <w:r w:rsidR="002D17DE">
              <w:rPr>
                <w:noProof/>
                <w:webHidden/>
              </w:rPr>
              <w:fldChar w:fldCharType="begin"/>
            </w:r>
            <w:r w:rsidR="002D17DE">
              <w:rPr>
                <w:noProof/>
                <w:webHidden/>
              </w:rPr>
              <w:instrText xml:space="preserve"> PAGEREF _Toc99001419 \h </w:instrText>
            </w:r>
            <w:r w:rsidR="002D17DE">
              <w:rPr>
                <w:noProof/>
                <w:webHidden/>
              </w:rPr>
            </w:r>
            <w:r w:rsidR="002D17DE">
              <w:rPr>
                <w:noProof/>
                <w:webHidden/>
              </w:rPr>
              <w:fldChar w:fldCharType="separate"/>
            </w:r>
            <w:r w:rsidR="00667D68">
              <w:rPr>
                <w:noProof/>
                <w:webHidden/>
              </w:rPr>
              <w:t>29</w:t>
            </w:r>
            <w:r w:rsidR="002D17DE">
              <w:rPr>
                <w:noProof/>
                <w:webHidden/>
              </w:rPr>
              <w:fldChar w:fldCharType="end"/>
            </w:r>
          </w:hyperlink>
        </w:p>
        <w:p w14:paraId="000E9524" w14:textId="7584930D" w:rsidR="002D17DE" w:rsidRDefault="00000000">
          <w:pPr>
            <w:pStyle w:val="Innehll1"/>
            <w:rPr>
              <w:rFonts w:asciiTheme="minorHAnsi" w:eastAsiaTheme="minorEastAsia" w:hAnsiTheme="minorHAnsi"/>
              <w:noProof/>
              <w:lang w:eastAsia="sv-SE"/>
            </w:rPr>
          </w:pPr>
          <w:hyperlink w:anchor="_Toc99001420" w:history="1">
            <w:r w:rsidR="002D17DE" w:rsidRPr="00A27941">
              <w:rPr>
                <w:rStyle w:val="Hyperlnk"/>
                <w:rFonts w:cs="Times New Roman"/>
                <w:noProof/>
                <w:lang w:val="en-US"/>
              </w:rPr>
              <w:t>12. Data Collection</w:t>
            </w:r>
            <w:r w:rsidR="002D17DE">
              <w:rPr>
                <w:noProof/>
                <w:webHidden/>
              </w:rPr>
              <w:tab/>
            </w:r>
            <w:r w:rsidR="002D17DE">
              <w:rPr>
                <w:noProof/>
                <w:webHidden/>
              </w:rPr>
              <w:fldChar w:fldCharType="begin"/>
            </w:r>
            <w:r w:rsidR="002D17DE">
              <w:rPr>
                <w:noProof/>
                <w:webHidden/>
              </w:rPr>
              <w:instrText xml:space="preserve"> PAGEREF _Toc99001420 \h </w:instrText>
            </w:r>
            <w:r w:rsidR="002D17DE">
              <w:rPr>
                <w:noProof/>
                <w:webHidden/>
              </w:rPr>
            </w:r>
            <w:r w:rsidR="002D17DE">
              <w:rPr>
                <w:noProof/>
                <w:webHidden/>
              </w:rPr>
              <w:fldChar w:fldCharType="separate"/>
            </w:r>
            <w:r w:rsidR="00667D68">
              <w:rPr>
                <w:noProof/>
                <w:webHidden/>
              </w:rPr>
              <w:t>30</w:t>
            </w:r>
            <w:r w:rsidR="002D17DE">
              <w:rPr>
                <w:noProof/>
                <w:webHidden/>
              </w:rPr>
              <w:fldChar w:fldCharType="end"/>
            </w:r>
          </w:hyperlink>
        </w:p>
        <w:p w14:paraId="4A7C2A1E" w14:textId="76C491E6" w:rsidR="002D17DE" w:rsidRDefault="00000000">
          <w:pPr>
            <w:pStyle w:val="Innehll2"/>
            <w:rPr>
              <w:rFonts w:asciiTheme="minorHAnsi" w:eastAsiaTheme="minorEastAsia" w:hAnsiTheme="minorHAnsi"/>
              <w:noProof/>
              <w:lang w:eastAsia="sv-SE"/>
            </w:rPr>
          </w:pPr>
          <w:hyperlink w:anchor="_Toc99001421" w:history="1">
            <w:r w:rsidR="002D17DE" w:rsidRPr="00A27941">
              <w:rPr>
                <w:rStyle w:val="Hyperlnk"/>
                <w:rFonts w:cs="Times New Roman"/>
                <w:noProof/>
                <w:lang w:val="en-US"/>
              </w:rPr>
              <w:t>12.1. Participant identification codes</w:t>
            </w:r>
            <w:r w:rsidR="002D17DE">
              <w:rPr>
                <w:noProof/>
                <w:webHidden/>
              </w:rPr>
              <w:tab/>
            </w:r>
            <w:r w:rsidR="002D17DE">
              <w:rPr>
                <w:noProof/>
                <w:webHidden/>
              </w:rPr>
              <w:fldChar w:fldCharType="begin"/>
            </w:r>
            <w:r w:rsidR="002D17DE">
              <w:rPr>
                <w:noProof/>
                <w:webHidden/>
              </w:rPr>
              <w:instrText xml:space="preserve"> PAGEREF _Toc99001421 \h </w:instrText>
            </w:r>
            <w:r w:rsidR="002D17DE">
              <w:rPr>
                <w:noProof/>
                <w:webHidden/>
              </w:rPr>
            </w:r>
            <w:r w:rsidR="002D17DE">
              <w:rPr>
                <w:noProof/>
                <w:webHidden/>
              </w:rPr>
              <w:fldChar w:fldCharType="separate"/>
            </w:r>
            <w:r w:rsidR="00667D68">
              <w:rPr>
                <w:noProof/>
                <w:webHidden/>
              </w:rPr>
              <w:t>30</w:t>
            </w:r>
            <w:r w:rsidR="002D17DE">
              <w:rPr>
                <w:noProof/>
                <w:webHidden/>
              </w:rPr>
              <w:fldChar w:fldCharType="end"/>
            </w:r>
          </w:hyperlink>
        </w:p>
        <w:p w14:paraId="1868A8E7" w14:textId="133BD1D5" w:rsidR="002D17DE" w:rsidRDefault="00000000">
          <w:pPr>
            <w:pStyle w:val="Innehll2"/>
            <w:rPr>
              <w:rFonts w:asciiTheme="minorHAnsi" w:eastAsiaTheme="minorEastAsia" w:hAnsiTheme="minorHAnsi"/>
              <w:noProof/>
              <w:lang w:eastAsia="sv-SE"/>
            </w:rPr>
          </w:pPr>
          <w:hyperlink w:anchor="_Toc99001422" w:history="1">
            <w:r w:rsidR="002D17DE" w:rsidRPr="00A27941">
              <w:rPr>
                <w:rStyle w:val="Hyperlnk"/>
                <w:rFonts w:eastAsia="Times New Roman" w:cs="Times New Roman"/>
                <w:noProof/>
                <w:lang w:val="en-US" w:eastAsia="sv-SE"/>
              </w:rPr>
              <w:t>12.2. Patient list, pre-screening log, and electronic case report form (eCRF)</w:t>
            </w:r>
            <w:r w:rsidR="002D17DE">
              <w:rPr>
                <w:noProof/>
                <w:webHidden/>
              </w:rPr>
              <w:tab/>
            </w:r>
            <w:r w:rsidR="002D17DE">
              <w:rPr>
                <w:noProof/>
                <w:webHidden/>
              </w:rPr>
              <w:fldChar w:fldCharType="begin"/>
            </w:r>
            <w:r w:rsidR="002D17DE">
              <w:rPr>
                <w:noProof/>
                <w:webHidden/>
              </w:rPr>
              <w:instrText xml:space="preserve"> PAGEREF _Toc99001422 \h </w:instrText>
            </w:r>
            <w:r w:rsidR="002D17DE">
              <w:rPr>
                <w:noProof/>
                <w:webHidden/>
              </w:rPr>
            </w:r>
            <w:r w:rsidR="002D17DE">
              <w:rPr>
                <w:noProof/>
                <w:webHidden/>
              </w:rPr>
              <w:fldChar w:fldCharType="separate"/>
            </w:r>
            <w:r w:rsidR="00667D68">
              <w:rPr>
                <w:noProof/>
                <w:webHidden/>
              </w:rPr>
              <w:t>30</w:t>
            </w:r>
            <w:r w:rsidR="002D17DE">
              <w:rPr>
                <w:noProof/>
                <w:webHidden/>
              </w:rPr>
              <w:fldChar w:fldCharType="end"/>
            </w:r>
          </w:hyperlink>
        </w:p>
        <w:p w14:paraId="02246B88" w14:textId="4EA4C501" w:rsidR="002D17DE" w:rsidRDefault="00000000">
          <w:pPr>
            <w:pStyle w:val="Innehll2"/>
            <w:rPr>
              <w:rFonts w:asciiTheme="minorHAnsi" w:eastAsiaTheme="minorEastAsia" w:hAnsiTheme="minorHAnsi"/>
              <w:noProof/>
              <w:lang w:eastAsia="sv-SE"/>
            </w:rPr>
          </w:pPr>
          <w:hyperlink w:anchor="_Toc99001423" w:history="1">
            <w:r w:rsidR="002D17DE" w:rsidRPr="00A27941">
              <w:rPr>
                <w:rStyle w:val="Hyperlnk"/>
                <w:rFonts w:cs="Times New Roman"/>
                <w:noProof/>
                <w:lang w:val="en-US"/>
              </w:rPr>
              <w:t>12.3. Biological specimens</w:t>
            </w:r>
            <w:r w:rsidR="002D17DE">
              <w:rPr>
                <w:noProof/>
                <w:webHidden/>
              </w:rPr>
              <w:tab/>
            </w:r>
            <w:r w:rsidR="002D17DE">
              <w:rPr>
                <w:noProof/>
                <w:webHidden/>
              </w:rPr>
              <w:fldChar w:fldCharType="begin"/>
            </w:r>
            <w:r w:rsidR="002D17DE">
              <w:rPr>
                <w:noProof/>
                <w:webHidden/>
              </w:rPr>
              <w:instrText xml:space="preserve"> PAGEREF _Toc99001423 \h </w:instrText>
            </w:r>
            <w:r w:rsidR="002D17DE">
              <w:rPr>
                <w:noProof/>
                <w:webHidden/>
              </w:rPr>
            </w:r>
            <w:r w:rsidR="002D17DE">
              <w:rPr>
                <w:noProof/>
                <w:webHidden/>
              </w:rPr>
              <w:fldChar w:fldCharType="separate"/>
            </w:r>
            <w:r w:rsidR="00667D68">
              <w:rPr>
                <w:noProof/>
                <w:webHidden/>
              </w:rPr>
              <w:t>31</w:t>
            </w:r>
            <w:r w:rsidR="002D17DE">
              <w:rPr>
                <w:noProof/>
                <w:webHidden/>
              </w:rPr>
              <w:fldChar w:fldCharType="end"/>
            </w:r>
          </w:hyperlink>
        </w:p>
        <w:p w14:paraId="4A3DEA11" w14:textId="3AF3DCB4" w:rsidR="002D17DE" w:rsidRDefault="00000000">
          <w:pPr>
            <w:pStyle w:val="Innehll2"/>
            <w:rPr>
              <w:rFonts w:asciiTheme="minorHAnsi" w:eastAsiaTheme="minorEastAsia" w:hAnsiTheme="minorHAnsi"/>
              <w:noProof/>
              <w:lang w:eastAsia="sv-SE"/>
            </w:rPr>
          </w:pPr>
          <w:hyperlink w:anchor="_Toc99001424" w:history="1">
            <w:r w:rsidR="002D17DE" w:rsidRPr="00A27941">
              <w:rPr>
                <w:rStyle w:val="Hyperlnk"/>
                <w:rFonts w:cs="Times New Roman"/>
                <w:noProof/>
                <w:lang w:val="en-US"/>
              </w:rPr>
              <w:t>12.4. Documentation</w:t>
            </w:r>
            <w:r w:rsidR="002D17DE">
              <w:rPr>
                <w:noProof/>
                <w:webHidden/>
              </w:rPr>
              <w:tab/>
            </w:r>
            <w:r w:rsidR="002D17DE">
              <w:rPr>
                <w:noProof/>
                <w:webHidden/>
              </w:rPr>
              <w:fldChar w:fldCharType="begin"/>
            </w:r>
            <w:r w:rsidR="002D17DE">
              <w:rPr>
                <w:noProof/>
                <w:webHidden/>
              </w:rPr>
              <w:instrText xml:space="preserve"> PAGEREF _Toc99001424 \h </w:instrText>
            </w:r>
            <w:r w:rsidR="002D17DE">
              <w:rPr>
                <w:noProof/>
                <w:webHidden/>
              </w:rPr>
            </w:r>
            <w:r w:rsidR="002D17DE">
              <w:rPr>
                <w:noProof/>
                <w:webHidden/>
              </w:rPr>
              <w:fldChar w:fldCharType="separate"/>
            </w:r>
            <w:r w:rsidR="00667D68">
              <w:rPr>
                <w:noProof/>
                <w:webHidden/>
              </w:rPr>
              <w:t>31</w:t>
            </w:r>
            <w:r w:rsidR="002D17DE">
              <w:rPr>
                <w:noProof/>
                <w:webHidden/>
              </w:rPr>
              <w:fldChar w:fldCharType="end"/>
            </w:r>
          </w:hyperlink>
        </w:p>
        <w:p w14:paraId="444967B8" w14:textId="581C539B" w:rsidR="002D17DE" w:rsidRDefault="00000000">
          <w:pPr>
            <w:pStyle w:val="Innehll2"/>
            <w:rPr>
              <w:rFonts w:asciiTheme="minorHAnsi" w:eastAsiaTheme="minorEastAsia" w:hAnsiTheme="minorHAnsi"/>
              <w:noProof/>
              <w:lang w:eastAsia="sv-SE"/>
            </w:rPr>
          </w:pPr>
          <w:hyperlink w:anchor="_Toc99001425" w:history="1">
            <w:r w:rsidR="002D17DE" w:rsidRPr="00A27941">
              <w:rPr>
                <w:rStyle w:val="Hyperlnk"/>
                <w:rFonts w:cs="Times New Roman"/>
                <w:noProof/>
                <w:lang w:val="en-US"/>
              </w:rPr>
              <w:t>12.5. Data management</w:t>
            </w:r>
            <w:r w:rsidR="002D17DE">
              <w:rPr>
                <w:noProof/>
                <w:webHidden/>
              </w:rPr>
              <w:tab/>
            </w:r>
            <w:r w:rsidR="002D17DE">
              <w:rPr>
                <w:noProof/>
                <w:webHidden/>
              </w:rPr>
              <w:fldChar w:fldCharType="begin"/>
            </w:r>
            <w:r w:rsidR="002D17DE">
              <w:rPr>
                <w:noProof/>
                <w:webHidden/>
              </w:rPr>
              <w:instrText xml:space="preserve"> PAGEREF _Toc99001425 \h </w:instrText>
            </w:r>
            <w:r w:rsidR="002D17DE">
              <w:rPr>
                <w:noProof/>
                <w:webHidden/>
              </w:rPr>
            </w:r>
            <w:r w:rsidR="002D17DE">
              <w:rPr>
                <w:noProof/>
                <w:webHidden/>
              </w:rPr>
              <w:fldChar w:fldCharType="separate"/>
            </w:r>
            <w:r w:rsidR="00667D68">
              <w:rPr>
                <w:noProof/>
                <w:webHidden/>
              </w:rPr>
              <w:t>31</w:t>
            </w:r>
            <w:r w:rsidR="002D17DE">
              <w:rPr>
                <w:noProof/>
                <w:webHidden/>
              </w:rPr>
              <w:fldChar w:fldCharType="end"/>
            </w:r>
          </w:hyperlink>
        </w:p>
        <w:p w14:paraId="4F1CCAA5" w14:textId="57EBE3FE" w:rsidR="002D17DE" w:rsidRDefault="00000000">
          <w:pPr>
            <w:pStyle w:val="Innehll1"/>
            <w:rPr>
              <w:rFonts w:asciiTheme="minorHAnsi" w:eastAsiaTheme="minorEastAsia" w:hAnsiTheme="minorHAnsi"/>
              <w:noProof/>
              <w:lang w:eastAsia="sv-SE"/>
            </w:rPr>
          </w:pPr>
          <w:hyperlink w:anchor="_Toc99001426" w:history="1">
            <w:r w:rsidR="002D17DE" w:rsidRPr="00A27941">
              <w:rPr>
                <w:rStyle w:val="Hyperlnk"/>
                <w:rFonts w:cs="Times New Roman"/>
                <w:noProof/>
                <w:lang w:val="en-US"/>
              </w:rPr>
              <w:t>13. Statistical Analysis</w:t>
            </w:r>
            <w:r w:rsidR="002D17DE">
              <w:rPr>
                <w:noProof/>
                <w:webHidden/>
              </w:rPr>
              <w:tab/>
            </w:r>
            <w:r w:rsidR="002D17DE">
              <w:rPr>
                <w:noProof/>
                <w:webHidden/>
              </w:rPr>
              <w:fldChar w:fldCharType="begin"/>
            </w:r>
            <w:r w:rsidR="002D17DE">
              <w:rPr>
                <w:noProof/>
                <w:webHidden/>
              </w:rPr>
              <w:instrText xml:space="preserve"> PAGEREF _Toc99001426 \h </w:instrText>
            </w:r>
            <w:r w:rsidR="002D17DE">
              <w:rPr>
                <w:noProof/>
                <w:webHidden/>
              </w:rPr>
            </w:r>
            <w:r w:rsidR="002D17DE">
              <w:rPr>
                <w:noProof/>
                <w:webHidden/>
              </w:rPr>
              <w:fldChar w:fldCharType="separate"/>
            </w:r>
            <w:r w:rsidR="00667D68">
              <w:rPr>
                <w:noProof/>
                <w:webHidden/>
              </w:rPr>
              <w:t>32</w:t>
            </w:r>
            <w:r w:rsidR="002D17DE">
              <w:rPr>
                <w:noProof/>
                <w:webHidden/>
              </w:rPr>
              <w:fldChar w:fldCharType="end"/>
            </w:r>
          </w:hyperlink>
        </w:p>
        <w:p w14:paraId="1E96FCC0" w14:textId="16D92A0E" w:rsidR="002D17DE" w:rsidRDefault="00000000">
          <w:pPr>
            <w:pStyle w:val="Innehll2"/>
            <w:rPr>
              <w:rFonts w:asciiTheme="minorHAnsi" w:eastAsiaTheme="minorEastAsia" w:hAnsiTheme="minorHAnsi"/>
              <w:noProof/>
              <w:lang w:eastAsia="sv-SE"/>
            </w:rPr>
          </w:pPr>
          <w:hyperlink w:anchor="_Toc99001427" w:history="1">
            <w:r w:rsidR="002D17DE" w:rsidRPr="00A27941">
              <w:rPr>
                <w:rStyle w:val="Hyperlnk"/>
                <w:rFonts w:cs="Times New Roman"/>
                <w:noProof/>
                <w:lang w:val="en-US"/>
              </w:rPr>
              <w:t>13.1. Description of recruitment process</w:t>
            </w:r>
            <w:r w:rsidR="002D17DE">
              <w:rPr>
                <w:noProof/>
                <w:webHidden/>
              </w:rPr>
              <w:tab/>
            </w:r>
            <w:r w:rsidR="002D17DE">
              <w:rPr>
                <w:noProof/>
                <w:webHidden/>
              </w:rPr>
              <w:fldChar w:fldCharType="begin"/>
            </w:r>
            <w:r w:rsidR="002D17DE">
              <w:rPr>
                <w:noProof/>
                <w:webHidden/>
              </w:rPr>
              <w:instrText xml:space="preserve"> PAGEREF _Toc99001427 \h </w:instrText>
            </w:r>
            <w:r w:rsidR="002D17DE">
              <w:rPr>
                <w:noProof/>
                <w:webHidden/>
              </w:rPr>
            </w:r>
            <w:r w:rsidR="002D17DE">
              <w:rPr>
                <w:noProof/>
                <w:webHidden/>
              </w:rPr>
              <w:fldChar w:fldCharType="separate"/>
            </w:r>
            <w:r w:rsidR="00667D68">
              <w:rPr>
                <w:noProof/>
                <w:webHidden/>
              </w:rPr>
              <w:t>32</w:t>
            </w:r>
            <w:r w:rsidR="002D17DE">
              <w:rPr>
                <w:noProof/>
                <w:webHidden/>
              </w:rPr>
              <w:fldChar w:fldCharType="end"/>
            </w:r>
          </w:hyperlink>
        </w:p>
        <w:p w14:paraId="216B1F4E" w14:textId="3E53E4B5" w:rsidR="002D17DE" w:rsidRDefault="00000000">
          <w:pPr>
            <w:pStyle w:val="Innehll2"/>
            <w:rPr>
              <w:rFonts w:asciiTheme="minorHAnsi" w:eastAsiaTheme="minorEastAsia" w:hAnsiTheme="minorHAnsi"/>
              <w:noProof/>
              <w:lang w:eastAsia="sv-SE"/>
            </w:rPr>
          </w:pPr>
          <w:hyperlink w:anchor="_Toc99001428" w:history="1">
            <w:r w:rsidR="002D17DE" w:rsidRPr="00A27941">
              <w:rPr>
                <w:rStyle w:val="Hyperlnk"/>
                <w:rFonts w:cs="Times New Roman"/>
                <w:noProof/>
                <w:lang w:val="en-US"/>
              </w:rPr>
              <w:t>13.2. Baseline characteristics</w:t>
            </w:r>
            <w:r w:rsidR="002D17DE">
              <w:rPr>
                <w:noProof/>
                <w:webHidden/>
              </w:rPr>
              <w:tab/>
            </w:r>
            <w:r w:rsidR="002D17DE">
              <w:rPr>
                <w:noProof/>
                <w:webHidden/>
              </w:rPr>
              <w:fldChar w:fldCharType="begin"/>
            </w:r>
            <w:r w:rsidR="002D17DE">
              <w:rPr>
                <w:noProof/>
                <w:webHidden/>
              </w:rPr>
              <w:instrText xml:space="preserve"> PAGEREF _Toc99001428 \h </w:instrText>
            </w:r>
            <w:r w:rsidR="002D17DE">
              <w:rPr>
                <w:noProof/>
                <w:webHidden/>
              </w:rPr>
            </w:r>
            <w:r w:rsidR="002D17DE">
              <w:rPr>
                <w:noProof/>
                <w:webHidden/>
              </w:rPr>
              <w:fldChar w:fldCharType="separate"/>
            </w:r>
            <w:r w:rsidR="00667D68">
              <w:rPr>
                <w:noProof/>
                <w:webHidden/>
              </w:rPr>
              <w:t>32</w:t>
            </w:r>
            <w:r w:rsidR="002D17DE">
              <w:rPr>
                <w:noProof/>
                <w:webHidden/>
              </w:rPr>
              <w:fldChar w:fldCharType="end"/>
            </w:r>
          </w:hyperlink>
        </w:p>
        <w:p w14:paraId="259CA6BD" w14:textId="60D168E9" w:rsidR="002D17DE" w:rsidRDefault="00000000">
          <w:pPr>
            <w:pStyle w:val="Innehll2"/>
            <w:rPr>
              <w:rFonts w:asciiTheme="minorHAnsi" w:eastAsiaTheme="minorEastAsia" w:hAnsiTheme="minorHAnsi"/>
              <w:noProof/>
              <w:lang w:eastAsia="sv-SE"/>
            </w:rPr>
          </w:pPr>
          <w:hyperlink w:anchor="_Toc99001429" w:history="1">
            <w:r w:rsidR="002D17DE" w:rsidRPr="00A27941">
              <w:rPr>
                <w:rStyle w:val="Hyperlnk"/>
                <w:rFonts w:cs="Times New Roman"/>
                <w:noProof/>
                <w:lang w:val="en-US"/>
              </w:rPr>
              <w:t>13.3. Analysis of investigational products</w:t>
            </w:r>
            <w:r w:rsidR="002D17DE">
              <w:rPr>
                <w:noProof/>
                <w:webHidden/>
              </w:rPr>
              <w:tab/>
            </w:r>
            <w:r w:rsidR="002D17DE">
              <w:rPr>
                <w:noProof/>
                <w:webHidden/>
              </w:rPr>
              <w:fldChar w:fldCharType="begin"/>
            </w:r>
            <w:r w:rsidR="002D17DE">
              <w:rPr>
                <w:noProof/>
                <w:webHidden/>
              </w:rPr>
              <w:instrText xml:space="preserve"> PAGEREF _Toc99001429 \h </w:instrText>
            </w:r>
            <w:r w:rsidR="002D17DE">
              <w:rPr>
                <w:noProof/>
                <w:webHidden/>
              </w:rPr>
            </w:r>
            <w:r w:rsidR="002D17DE">
              <w:rPr>
                <w:noProof/>
                <w:webHidden/>
              </w:rPr>
              <w:fldChar w:fldCharType="separate"/>
            </w:r>
            <w:r w:rsidR="00667D68">
              <w:rPr>
                <w:noProof/>
                <w:webHidden/>
              </w:rPr>
              <w:t>34</w:t>
            </w:r>
            <w:r w:rsidR="002D17DE">
              <w:rPr>
                <w:noProof/>
                <w:webHidden/>
              </w:rPr>
              <w:fldChar w:fldCharType="end"/>
            </w:r>
          </w:hyperlink>
        </w:p>
        <w:p w14:paraId="05B56B5E" w14:textId="49653B7A" w:rsidR="002D17DE" w:rsidRDefault="00000000">
          <w:pPr>
            <w:pStyle w:val="Innehll2"/>
            <w:rPr>
              <w:rFonts w:asciiTheme="minorHAnsi" w:eastAsiaTheme="minorEastAsia" w:hAnsiTheme="minorHAnsi"/>
              <w:noProof/>
              <w:lang w:eastAsia="sv-SE"/>
            </w:rPr>
          </w:pPr>
          <w:hyperlink w:anchor="_Toc99001430" w:history="1">
            <w:r w:rsidR="002D17DE" w:rsidRPr="00A27941">
              <w:rPr>
                <w:rStyle w:val="Hyperlnk"/>
                <w:rFonts w:cs="Times New Roman"/>
                <w:noProof/>
                <w:lang w:val="en-US"/>
              </w:rPr>
              <w:t>13.4. Analysis of follow-up</w:t>
            </w:r>
            <w:r w:rsidR="002D17DE">
              <w:rPr>
                <w:noProof/>
                <w:webHidden/>
              </w:rPr>
              <w:tab/>
            </w:r>
            <w:r w:rsidR="002D17DE">
              <w:rPr>
                <w:noProof/>
                <w:webHidden/>
              </w:rPr>
              <w:fldChar w:fldCharType="begin"/>
            </w:r>
            <w:r w:rsidR="002D17DE">
              <w:rPr>
                <w:noProof/>
                <w:webHidden/>
              </w:rPr>
              <w:instrText xml:space="preserve"> PAGEREF _Toc99001430 \h </w:instrText>
            </w:r>
            <w:r w:rsidR="002D17DE">
              <w:rPr>
                <w:noProof/>
                <w:webHidden/>
              </w:rPr>
            </w:r>
            <w:r w:rsidR="002D17DE">
              <w:rPr>
                <w:noProof/>
                <w:webHidden/>
              </w:rPr>
              <w:fldChar w:fldCharType="separate"/>
            </w:r>
            <w:r w:rsidR="00667D68">
              <w:rPr>
                <w:noProof/>
                <w:webHidden/>
              </w:rPr>
              <w:t>35</w:t>
            </w:r>
            <w:r w:rsidR="002D17DE">
              <w:rPr>
                <w:noProof/>
                <w:webHidden/>
              </w:rPr>
              <w:fldChar w:fldCharType="end"/>
            </w:r>
          </w:hyperlink>
        </w:p>
        <w:p w14:paraId="1BE4AC4C" w14:textId="76506560" w:rsidR="002D17DE" w:rsidRDefault="00000000">
          <w:pPr>
            <w:pStyle w:val="Innehll2"/>
            <w:rPr>
              <w:rFonts w:asciiTheme="minorHAnsi" w:eastAsiaTheme="minorEastAsia" w:hAnsiTheme="minorHAnsi"/>
              <w:noProof/>
              <w:lang w:eastAsia="sv-SE"/>
            </w:rPr>
          </w:pPr>
          <w:hyperlink w:anchor="_Toc99001431" w:history="1">
            <w:r w:rsidR="002D17DE" w:rsidRPr="00A27941">
              <w:rPr>
                <w:rStyle w:val="Hyperlnk"/>
                <w:rFonts w:cs="Times New Roman"/>
                <w:noProof/>
                <w:lang w:val="en-US"/>
              </w:rPr>
              <w:t>13.5. Analysis of concomitant medications</w:t>
            </w:r>
            <w:r w:rsidR="002D17DE">
              <w:rPr>
                <w:noProof/>
                <w:webHidden/>
              </w:rPr>
              <w:tab/>
            </w:r>
            <w:r w:rsidR="002D17DE">
              <w:rPr>
                <w:noProof/>
                <w:webHidden/>
              </w:rPr>
              <w:fldChar w:fldCharType="begin"/>
            </w:r>
            <w:r w:rsidR="002D17DE">
              <w:rPr>
                <w:noProof/>
                <w:webHidden/>
              </w:rPr>
              <w:instrText xml:space="preserve"> PAGEREF _Toc99001431 \h </w:instrText>
            </w:r>
            <w:r w:rsidR="002D17DE">
              <w:rPr>
                <w:noProof/>
                <w:webHidden/>
              </w:rPr>
            </w:r>
            <w:r w:rsidR="002D17DE">
              <w:rPr>
                <w:noProof/>
                <w:webHidden/>
              </w:rPr>
              <w:fldChar w:fldCharType="separate"/>
            </w:r>
            <w:r w:rsidR="00667D68">
              <w:rPr>
                <w:noProof/>
                <w:webHidden/>
              </w:rPr>
              <w:t>35</w:t>
            </w:r>
            <w:r w:rsidR="002D17DE">
              <w:rPr>
                <w:noProof/>
                <w:webHidden/>
              </w:rPr>
              <w:fldChar w:fldCharType="end"/>
            </w:r>
          </w:hyperlink>
        </w:p>
        <w:p w14:paraId="2EB2AD76" w14:textId="1C79B6A4" w:rsidR="002D17DE" w:rsidRDefault="00000000">
          <w:pPr>
            <w:pStyle w:val="Innehll2"/>
            <w:rPr>
              <w:rFonts w:asciiTheme="minorHAnsi" w:eastAsiaTheme="minorEastAsia" w:hAnsiTheme="minorHAnsi"/>
              <w:noProof/>
              <w:lang w:eastAsia="sv-SE"/>
            </w:rPr>
          </w:pPr>
          <w:hyperlink w:anchor="_Toc99001432" w:history="1">
            <w:r w:rsidR="002D17DE" w:rsidRPr="00A27941">
              <w:rPr>
                <w:rStyle w:val="Hyperlnk"/>
                <w:rFonts w:cs="Times New Roman"/>
                <w:noProof/>
                <w:lang w:val="en-US"/>
              </w:rPr>
              <w:t>13.6. Efficacy analysis</w:t>
            </w:r>
            <w:r w:rsidR="002D17DE">
              <w:rPr>
                <w:noProof/>
                <w:webHidden/>
              </w:rPr>
              <w:tab/>
            </w:r>
            <w:r w:rsidR="002D17DE">
              <w:rPr>
                <w:noProof/>
                <w:webHidden/>
              </w:rPr>
              <w:fldChar w:fldCharType="begin"/>
            </w:r>
            <w:r w:rsidR="002D17DE">
              <w:rPr>
                <w:noProof/>
                <w:webHidden/>
              </w:rPr>
              <w:instrText xml:space="preserve"> PAGEREF _Toc99001432 \h </w:instrText>
            </w:r>
            <w:r w:rsidR="002D17DE">
              <w:rPr>
                <w:noProof/>
                <w:webHidden/>
              </w:rPr>
            </w:r>
            <w:r w:rsidR="002D17DE">
              <w:rPr>
                <w:noProof/>
                <w:webHidden/>
              </w:rPr>
              <w:fldChar w:fldCharType="separate"/>
            </w:r>
            <w:r w:rsidR="00667D68">
              <w:rPr>
                <w:noProof/>
                <w:webHidden/>
              </w:rPr>
              <w:t>35</w:t>
            </w:r>
            <w:r w:rsidR="002D17DE">
              <w:rPr>
                <w:noProof/>
                <w:webHidden/>
              </w:rPr>
              <w:fldChar w:fldCharType="end"/>
            </w:r>
          </w:hyperlink>
        </w:p>
        <w:p w14:paraId="17B55725" w14:textId="42BC6C4B" w:rsidR="002D17DE" w:rsidRDefault="00000000">
          <w:pPr>
            <w:pStyle w:val="Innehll2"/>
            <w:rPr>
              <w:rFonts w:asciiTheme="minorHAnsi" w:eastAsiaTheme="minorEastAsia" w:hAnsiTheme="minorHAnsi"/>
              <w:noProof/>
              <w:lang w:eastAsia="sv-SE"/>
            </w:rPr>
          </w:pPr>
          <w:hyperlink w:anchor="_Toc99001433" w:history="1">
            <w:r w:rsidR="002D17DE" w:rsidRPr="00A27941">
              <w:rPr>
                <w:rStyle w:val="Hyperlnk"/>
                <w:rFonts w:cs="Times New Roman"/>
                <w:noProof/>
                <w:lang w:val="en-US"/>
              </w:rPr>
              <w:t>13.7.</w:t>
            </w:r>
            <w:r w:rsidR="002D17DE" w:rsidRPr="00A27941">
              <w:rPr>
                <w:rStyle w:val="Hyperlnk"/>
                <w:rFonts w:cs="Times New Roman"/>
                <w:noProof/>
                <w:shd w:val="clear" w:color="auto" w:fill="FFFFFF"/>
                <w:lang w:val="en-US"/>
              </w:rPr>
              <w:t xml:space="preserve"> Safety analysis</w:t>
            </w:r>
            <w:r w:rsidR="002D17DE">
              <w:rPr>
                <w:noProof/>
                <w:webHidden/>
              </w:rPr>
              <w:tab/>
            </w:r>
            <w:r w:rsidR="002D17DE">
              <w:rPr>
                <w:noProof/>
                <w:webHidden/>
              </w:rPr>
              <w:fldChar w:fldCharType="begin"/>
            </w:r>
            <w:r w:rsidR="002D17DE">
              <w:rPr>
                <w:noProof/>
                <w:webHidden/>
              </w:rPr>
              <w:instrText xml:space="preserve"> PAGEREF _Toc99001433 \h </w:instrText>
            </w:r>
            <w:r w:rsidR="002D17DE">
              <w:rPr>
                <w:noProof/>
                <w:webHidden/>
              </w:rPr>
            </w:r>
            <w:r w:rsidR="002D17DE">
              <w:rPr>
                <w:noProof/>
                <w:webHidden/>
              </w:rPr>
              <w:fldChar w:fldCharType="separate"/>
            </w:r>
            <w:r w:rsidR="00667D68">
              <w:rPr>
                <w:noProof/>
                <w:webHidden/>
              </w:rPr>
              <w:t>36</w:t>
            </w:r>
            <w:r w:rsidR="002D17DE">
              <w:rPr>
                <w:noProof/>
                <w:webHidden/>
              </w:rPr>
              <w:fldChar w:fldCharType="end"/>
            </w:r>
          </w:hyperlink>
        </w:p>
        <w:p w14:paraId="22DCE0AA" w14:textId="1398534B" w:rsidR="002D17DE" w:rsidRDefault="00000000">
          <w:pPr>
            <w:pStyle w:val="Innehll2"/>
            <w:rPr>
              <w:rFonts w:asciiTheme="minorHAnsi" w:eastAsiaTheme="minorEastAsia" w:hAnsiTheme="minorHAnsi"/>
              <w:noProof/>
              <w:lang w:eastAsia="sv-SE"/>
            </w:rPr>
          </w:pPr>
          <w:hyperlink w:anchor="_Toc99001434" w:history="1">
            <w:r w:rsidR="002D17DE" w:rsidRPr="00A27941">
              <w:rPr>
                <w:rStyle w:val="Hyperlnk"/>
                <w:rFonts w:cs="Times New Roman"/>
                <w:noProof/>
                <w:lang w:val="en-US"/>
              </w:rPr>
              <w:t>13.8. Subgroup, sensitivity, and exploratory analyses</w:t>
            </w:r>
            <w:r w:rsidR="002D17DE">
              <w:rPr>
                <w:noProof/>
                <w:webHidden/>
              </w:rPr>
              <w:tab/>
            </w:r>
            <w:r w:rsidR="002D17DE">
              <w:rPr>
                <w:noProof/>
                <w:webHidden/>
              </w:rPr>
              <w:fldChar w:fldCharType="begin"/>
            </w:r>
            <w:r w:rsidR="002D17DE">
              <w:rPr>
                <w:noProof/>
                <w:webHidden/>
              </w:rPr>
              <w:instrText xml:space="preserve"> PAGEREF _Toc99001434 \h </w:instrText>
            </w:r>
            <w:r w:rsidR="002D17DE">
              <w:rPr>
                <w:noProof/>
                <w:webHidden/>
              </w:rPr>
            </w:r>
            <w:r w:rsidR="002D17DE">
              <w:rPr>
                <w:noProof/>
                <w:webHidden/>
              </w:rPr>
              <w:fldChar w:fldCharType="separate"/>
            </w:r>
            <w:r w:rsidR="00667D68">
              <w:rPr>
                <w:noProof/>
                <w:webHidden/>
              </w:rPr>
              <w:t>37</w:t>
            </w:r>
            <w:r w:rsidR="002D17DE">
              <w:rPr>
                <w:noProof/>
                <w:webHidden/>
              </w:rPr>
              <w:fldChar w:fldCharType="end"/>
            </w:r>
          </w:hyperlink>
        </w:p>
        <w:p w14:paraId="0EA39268" w14:textId="467A6473" w:rsidR="002D17DE" w:rsidRDefault="00000000">
          <w:pPr>
            <w:pStyle w:val="Innehll2"/>
            <w:rPr>
              <w:rFonts w:asciiTheme="minorHAnsi" w:eastAsiaTheme="minorEastAsia" w:hAnsiTheme="minorHAnsi"/>
              <w:noProof/>
              <w:lang w:eastAsia="sv-SE"/>
            </w:rPr>
          </w:pPr>
          <w:hyperlink w:anchor="_Toc99001435" w:history="1">
            <w:r w:rsidR="002D17DE" w:rsidRPr="00A27941">
              <w:rPr>
                <w:rStyle w:val="Hyperlnk"/>
                <w:rFonts w:cs="Times New Roman"/>
                <w:noProof/>
                <w:lang w:val="en-US"/>
              </w:rPr>
              <w:t>13.9. Interim analysis</w:t>
            </w:r>
            <w:r w:rsidR="002D17DE">
              <w:rPr>
                <w:noProof/>
                <w:webHidden/>
              </w:rPr>
              <w:tab/>
            </w:r>
            <w:r w:rsidR="002D17DE">
              <w:rPr>
                <w:noProof/>
                <w:webHidden/>
              </w:rPr>
              <w:fldChar w:fldCharType="begin"/>
            </w:r>
            <w:r w:rsidR="002D17DE">
              <w:rPr>
                <w:noProof/>
                <w:webHidden/>
              </w:rPr>
              <w:instrText xml:space="preserve"> PAGEREF _Toc99001435 \h </w:instrText>
            </w:r>
            <w:r w:rsidR="002D17DE">
              <w:rPr>
                <w:noProof/>
                <w:webHidden/>
              </w:rPr>
            </w:r>
            <w:r w:rsidR="002D17DE">
              <w:rPr>
                <w:noProof/>
                <w:webHidden/>
              </w:rPr>
              <w:fldChar w:fldCharType="separate"/>
            </w:r>
            <w:r w:rsidR="00667D68">
              <w:rPr>
                <w:noProof/>
                <w:webHidden/>
              </w:rPr>
              <w:t>38</w:t>
            </w:r>
            <w:r w:rsidR="002D17DE">
              <w:rPr>
                <w:noProof/>
                <w:webHidden/>
              </w:rPr>
              <w:fldChar w:fldCharType="end"/>
            </w:r>
          </w:hyperlink>
        </w:p>
        <w:p w14:paraId="34345F8C" w14:textId="37F79CC6" w:rsidR="002D17DE" w:rsidRDefault="00000000">
          <w:pPr>
            <w:pStyle w:val="Innehll2"/>
            <w:rPr>
              <w:rFonts w:asciiTheme="minorHAnsi" w:eastAsiaTheme="minorEastAsia" w:hAnsiTheme="minorHAnsi"/>
              <w:noProof/>
              <w:lang w:eastAsia="sv-SE"/>
            </w:rPr>
          </w:pPr>
          <w:hyperlink w:anchor="_Toc99001436" w:history="1">
            <w:r w:rsidR="002D17DE" w:rsidRPr="00A27941">
              <w:rPr>
                <w:rStyle w:val="Hyperlnk"/>
                <w:rFonts w:cs="Times New Roman"/>
                <w:noProof/>
                <w:lang w:val="en-US"/>
              </w:rPr>
              <w:t>13.10. Sample size and power calculations</w:t>
            </w:r>
            <w:r w:rsidR="002D17DE">
              <w:rPr>
                <w:noProof/>
                <w:webHidden/>
              </w:rPr>
              <w:tab/>
            </w:r>
            <w:r w:rsidR="002D17DE">
              <w:rPr>
                <w:noProof/>
                <w:webHidden/>
              </w:rPr>
              <w:fldChar w:fldCharType="begin"/>
            </w:r>
            <w:r w:rsidR="002D17DE">
              <w:rPr>
                <w:noProof/>
                <w:webHidden/>
              </w:rPr>
              <w:instrText xml:space="preserve"> PAGEREF _Toc99001436 \h </w:instrText>
            </w:r>
            <w:r w:rsidR="002D17DE">
              <w:rPr>
                <w:noProof/>
                <w:webHidden/>
              </w:rPr>
            </w:r>
            <w:r w:rsidR="002D17DE">
              <w:rPr>
                <w:noProof/>
                <w:webHidden/>
              </w:rPr>
              <w:fldChar w:fldCharType="separate"/>
            </w:r>
            <w:r w:rsidR="00667D68">
              <w:rPr>
                <w:noProof/>
                <w:webHidden/>
              </w:rPr>
              <w:t>38</w:t>
            </w:r>
            <w:r w:rsidR="002D17DE">
              <w:rPr>
                <w:noProof/>
                <w:webHidden/>
              </w:rPr>
              <w:fldChar w:fldCharType="end"/>
            </w:r>
          </w:hyperlink>
        </w:p>
        <w:p w14:paraId="58424770" w14:textId="6A18E4F5" w:rsidR="002D17DE" w:rsidRDefault="00000000">
          <w:pPr>
            <w:pStyle w:val="Innehll1"/>
            <w:rPr>
              <w:rFonts w:asciiTheme="minorHAnsi" w:eastAsiaTheme="minorEastAsia" w:hAnsiTheme="minorHAnsi"/>
              <w:noProof/>
              <w:lang w:eastAsia="sv-SE"/>
            </w:rPr>
          </w:pPr>
          <w:hyperlink w:anchor="_Toc99001437" w:history="1">
            <w:r w:rsidR="002D17DE" w:rsidRPr="00A27941">
              <w:rPr>
                <w:rStyle w:val="Hyperlnk"/>
                <w:rFonts w:cs="Times New Roman"/>
                <w:noProof/>
                <w:lang w:val="en-US"/>
              </w:rPr>
              <w:t>14. Monitoring, Inspection, Deviation, and Early Termination</w:t>
            </w:r>
            <w:r w:rsidR="002D17DE">
              <w:rPr>
                <w:noProof/>
                <w:webHidden/>
              </w:rPr>
              <w:tab/>
            </w:r>
            <w:r w:rsidR="002D17DE">
              <w:rPr>
                <w:noProof/>
                <w:webHidden/>
              </w:rPr>
              <w:fldChar w:fldCharType="begin"/>
            </w:r>
            <w:r w:rsidR="002D17DE">
              <w:rPr>
                <w:noProof/>
                <w:webHidden/>
              </w:rPr>
              <w:instrText xml:space="preserve"> PAGEREF _Toc99001437 \h </w:instrText>
            </w:r>
            <w:r w:rsidR="002D17DE">
              <w:rPr>
                <w:noProof/>
                <w:webHidden/>
              </w:rPr>
            </w:r>
            <w:r w:rsidR="002D17DE">
              <w:rPr>
                <w:noProof/>
                <w:webHidden/>
              </w:rPr>
              <w:fldChar w:fldCharType="separate"/>
            </w:r>
            <w:r w:rsidR="00667D68">
              <w:rPr>
                <w:noProof/>
                <w:webHidden/>
              </w:rPr>
              <w:t>39</w:t>
            </w:r>
            <w:r w:rsidR="002D17DE">
              <w:rPr>
                <w:noProof/>
                <w:webHidden/>
              </w:rPr>
              <w:fldChar w:fldCharType="end"/>
            </w:r>
          </w:hyperlink>
        </w:p>
        <w:p w14:paraId="01BB7BC4" w14:textId="5193546F" w:rsidR="002D17DE" w:rsidRDefault="00000000">
          <w:pPr>
            <w:pStyle w:val="Innehll2"/>
            <w:rPr>
              <w:rFonts w:asciiTheme="minorHAnsi" w:eastAsiaTheme="minorEastAsia" w:hAnsiTheme="minorHAnsi"/>
              <w:noProof/>
              <w:lang w:eastAsia="sv-SE"/>
            </w:rPr>
          </w:pPr>
          <w:hyperlink w:anchor="_Toc99001438" w:history="1">
            <w:r w:rsidR="002D17DE" w:rsidRPr="00A27941">
              <w:rPr>
                <w:rStyle w:val="Hyperlnk"/>
                <w:rFonts w:cs="Times New Roman"/>
                <w:noProof/>
                <w:lang w:val="en-US"/>
              </w:rPr>
              <w:t>14.1. Monitoring</w:t>
            </w:r>
            <w:r w:rsidR="002D17DE">
              <w:rPr>
                <w:noProof/>
                <w:webHidden/>
              </w:rPr>
              <w:tab/>
            </w:r>
            <w:r w:rsidR="002D17DE">
              <w:rPr>
                <w:noProof/>
                <w:webHidden/>
              </w:rPr>
              <w:fldChar w:fldCharType="begin"/>
            </w:r>
            <w:r w:rsidR="002D17DE">
              <w:rPr>
                <w:noProof/>
                <w:webHidden/>
              </w:rPr>
              <w:instrText xml:space="preserve"> PAGEREF _Toc99001438 \h </w:instrText>
            </w:r>
            <w:r w:rsidR="002D17DE">
              <w:rPr>
                <w:noProof/>
                <w:webHidden/>
              </w:rPr>
            </w:r>
            <w:r w:rsidR="002D17DE">
              <w:rPr>
                <w:noProof/>
                <w:webHidden/>
              </w:rPr>
              <w:fldChar w:fldCharType="separate"/>
            </w:r>
            <w:r w:rsidR="00667D68">
              <w:rPr>
                <w:noProof/>
                <w:webHidden/>
              </w:rPr>
              <w:t>39</w:t>
            </w:r>
            <w:r w:rsidR="002D17DE">
              <w:rPr>
                <w:noProof/>
                <w:webHidden/>
              </w:rPr>
              <w:fldChar w:fldCharType="end"/>
            </w:r>
          </w:hyperlink>
        </w:p>
        <w:p w14:paraId="1087CD25" w14:textId="1ED45B2D" w:rsidR="002D17DE" w:rsidRDefault="00000000">
          <w:pPr>
            <w:pStyle w:val="Innehll2"/>
            <w:rPr>
              <w:rFonts w:asciiTheme="minorHAnsi" w:eastAsiaTheme="minorEastAsia" w:hAnsiTheme="minorHAnsi"/>
              <w:noProof/>
              <w:lang w:eastAsia="sv-SE"/>
            </w:rPr>
          </w:pPr>
          <w:hyperlink w:anchor="_Toc99001439" w:history="1">
            <w:r w:rsidR="002D17DE" w:rsidRPr="00A27941">
              <w:rPr>
                <w:rStyle w:val="Hyperlnk"/>
                <w:rFonts w:cs="Times New Roman"/>
                <w:noProof/>
                <w:lang w:val="en-US"/>
              </w:rPr>
              <w:t>14.2. Inspection</w:t>
            </w:r>
            <w:r w:rsidR="002D17DE">
              <w:rPr>
                <w:noProof/>
                <w:webHidden/>
              </w:rPr>
              <w:tab/>
            </w:r>
            <w:r w:rsidR="002D17DE">
              <w:rPr>
                <w:noProof/>
                <w:webHidden/>
              </w:rPr>
              <w:fldChar w:fldCharType="begin"/>
            </w:r>
            <w:r w:rsidR="002D17DE">
              <w:rPr>
                <w:noProof/>
                <w:webHidden/>
              </w:rPr>
              <w:instrText xml:space="preserve"> PAGEREF _Toc99001439 \h </w:instrText>
            </w:r>
            <w:r w:rsidR="002D17DE">
              <w:rPr>
                <w:noProof/>
                <w:webHidden/>
              </w:rPr>
            </w:r>
            <w:r w:rsidR="002D17DE">
              <w:rPr>
                <w:noProof/>
                <w:webHidden/>
              </w:rPr>
              <w:fldChar w:fldCharType="separate"/>
            </w:r>
            <w:r w:rsidR="00667D68">
              <w:rPr>
                <w:noProof/>
                <w:webHidden/>
              </w:rPr>
              <w:t>40</w:t>
            </w:r>
            <w:r w:rsidR="002D17DE">
              <w:rPr>
                <w:noProof/>
                <w:webHidden/>
              </w:rPr>
              <w:fldChar w:fldCharType="end"/>
            </w:r>
          </w:hyperlink>
        </w:p>
        <w:p w14:paraId="44D5CE19" w14:textId="37F50D68" w:rsidR="002D17DE" w:rsidRDefault="00000000">
          <w:pPr>
            <w:pStyle w:val="Innehll2"/>
            <w:rPr>
              <w:rFonts w:asciiTheme="minorHAnsi" w:eastAsiaTheme="minorEastAsia" w:hAnsiTheme="minorHAnsi"/>
              <w:noProof/>
              <w:lang w:eastAsia="sv-SE"/>
            </w:rPr>
          </w:pPr>
          <w:hyperlink w:anchor="_Toc99001440" w:history="1">
            <w:r w:rsidR="002D17DE" w:rsidRPr="00A27941">
              <w:rPr>
                <w:rStyle w:val="Hyperlnk"/>
                <w:rFonts w:cs="Times New Roman"/>
                <w:noProof/>
                <w:lang w:val="en-US"/>
              </w:rPr>
              <w:t>14.3. Deviations and serious violations</w:t>
            </w:r>
            <w:r w:rsidR="002D17DE">
              <w:rPr>
                <w:noProof/>
                <w:webHidden/>
              </w:rPr>
              <w:tab/>
            </w:r>
            <w:r w:rsidR="002D17DE">
              <w:rPr>
                <w:noProof/>
                <w:webHidden/>
              </w:rPr>
              <w:fldChar w:fldCharType="begin"/>
            </w:r>
            <w:r w:rsidR="002D17DE">
              <w:rPr>
                <w:noProof/>
                <w:webHidden/>
              </w:rPr>
              <w:instrText xml:space="preserve"> PAGEREF _Toc99001440 \h </w:instrText>
            </w:r>
            <w:r w:rsidR="002D17DE">
              <w:rPr>
                <w:noProof/>
                <w:webHidden/>
              </w:rPr>
            </w:r>
            <w:r w:rsidR="002D17DE">
              <w:rPr>
                <w:noProof/>
                <w:webHidden/>
              </w:rPr>
              <w:fldChar w:fldCharType="separate"/>
            </w:r>
            <w:r w:rsidR="00667D68">
              <w:rPr>
                <w:noProof/>
                <w:webHidden/>
              </w:rPr>
              <w:t>40</w:t>
            </w:r>
            <w:r w:rsidR="002D17DE">
              <w:rPr>
                <w:noProof/>
                <w:webHidden/>
              </w:rPr>
              <w:fldChar w:fldCharType="end"/>
            </w:r>
          </w:hyperlink>
        </w:p>
        <w:p w14:paraId="595074C4" w14:textId="39DC2E78" w:rsidR="002D17DE" w:rsidRDefault="00000000">
          <w:pPr>
            <w:pStyle w:val="Innehll2"/>
            <w:rPr>
              <w:rFonts w:asciiTheme="minorHAnsi" w:eastAsiaTheme="minorEastAsia" w:hAnsiTheme="minorHAnsi"/>
              <w:noProof/>
              <w:lang w:eastAsia="sv-SE"/>
            </w:rPr>
          </w:pPr>
          <w:hyperlink w:anchor="_Toc99001441" w:history="1">
            <w:r w:rsidR="002D17DE" w:rsidRPr="00A27941">
              <w:rPr>
                <w:rStyle w:val="Hyperlnk"/>
                <w:rFonts w:cs="Times New Roman"/>
                <w:noProof/>
                <w:lang w:val="en-US"/>
              </w:rPr>
              <w:t>14.4. Early termination</w:t>
            </w:r>
            <w:r w:rsidR="002D17DE">
              <w:rPr>
                <w:noProof/>
                <w:webHidden/>
              </w:rPr>
              <w:tab/>
            </w:r>
            <w:r w:rsidR="002D17DE">
              <w:rPr>
                <w:noProof/>
                <w:webHidden/>
              </w:rPr>
              <w:fldChar w:fldCharType="begin"/>
            </w:r>
            <w:r w:rsidR="002D17DE">
              <w:rPr>
                <w:noProof/>
                <w:webHidden/>
              </w:rPr>
              <w:instrText xml:space="preserve"> PAGEREF _Toc99001441 \h </w:instrText>
            </w:r>
            <w:r w:rsidR="002D17DE">
              <w:rPr>
                <w:noProof/>
                <w:webHidden/>
              </w:rPr>
            </w:r>
            <w:r w:rsidR="002D17DE">
              <w:rPr>
                <w:noProof/>
                <w:webHidden/>
              </w:rPr>
              <w:fldChar w:fldCharType="separate"/>
            </w:r>
            <w:r w:rsidR="00667D68">
              <w:rPr>
                <w:noProof/>
                <w:webHidden/>
              </w:rPr>
              <w:t>40</w:t>
            </w:r>
            <w:r w:rsidR="002D17DE">
              <w:rPr>
                <w:noProof/>
                <w:webHidden/>
              </w:rPr>
              <w:fldChar w:fldCharType="end"/>
            </w:r>
          </w:hyperlink>
        </w:p>
        <w:p w14:paraId="7E9C5B51" w14:textId="1C1B0257" w:rsidR="002D17DE" w:rsidRDefault="00000000">
          <w:pPr>
            <w:pStyle w:val="Innehll1"/>
            <w:rPr>
              <w:rFonts w:asciiTheme="minorHAnsi" w:eastAsiaTheme="minorEastAsia" w:hAnsiTheme="minorHAnsi"/>
              <w:noProof/>
              <w:lang w:eastAsia="sv-SE"/>
            </w:rPr>
          </w:pPr>
          <w:hyperlink w:anchor="_Toc99001442" w:history="1">
            <w:r w:rsidR="002D17DE" w:rsidRPr="00A27941">
              <w:rPr>
                <w:rStyle w:val="Hyperlnk"/>
                <w:rFonts w:cs="Times New Roman"/>
                <w:noProof/>
                <w:lang w:val="en-US"/>
              </w:rPr>
              <w:t>15. Ethics</w:t>
            </w:r>
            <w:r w:rsidR="002D17DE">
              <w:rPr>
                <w:noProof/>
                <w:webHidden/>
              </w:rPr>
              <w:tab/>
            </w:r>
            <w:r w:rsidR="002D17DE">
              <w:rPr>
                <w:noProof/>
                <w:webHidden/>
              </w:rPr>
              <w:fldChar w:fldCharType="begin"/>
            </w:r>
            <w:r w:rsidR="002D17DE">
              <w:rPr>
                <w:noProof/>
                <w:webHidden/>
              </w:rPr>
              <w:instrText xml:space="preserve"> PAGEREF _Toc99001442 \h </w:instrText>
            </w:r>
            <w:r w:rsidR="002D17DE">
              <w:rPr>
                <w:noProof/>
                <w:webHidden/>
              </w:rPr>
            </w:r>
            <w:r w:rsidR="002D17DE">
              <w:rPr>
                <w:noProof/>
                <w:webHidden/>
              </w:rPr>
              <w:fldChar w:fldCharType="separate"/>
            </w:r>
            <w:r w:rsidR="00667D68">
              <w:rPr>
                <w:noProof/>
                <w:webHidden/>
              </w:rPr>
              <w:t>40</w:t>
            </w:r>
            <w:r w:rsidR="002D17DE">
              <w:rPr>
                <w:noProof/>
                <w:webHidden/>
              </w:rPr>
              <w:fldChar w:fldCharType="end"/>
            </w:r>
          </w:hyperlink>
        </w:p>
        <w:p w14:paraId="4F6823A4" w14:textId="5335792E" w:rsidR="002D17DE" w:rsidRDefault="00000000">
          <w:pPr>
            <w:pStyle w:val="Innehll2"/>
            <w:rPr>
              <w:rFonts w:asciiTheme="minorHAnsi" w:eastAsiaTheme="minorEastAsia" w:hAnsiTheme="minorHAnsi"/>
              <w:noProof/>
              <w:lang w:eastAsia="sv-SE"/>
            </w:rPr>
          </w:pPr>
          <w:hyperlink w:anchor="_Toc99001443" w:history="1">
            <w:r w:rsidR="002D17DE" w:rsidRPr="00A27941">
              <w:rPr>
                <w:rStyle w:val="Hyperlnk"/>
                <w:rFonts w:cs="Times New Roman"/>
                <w:noProof/>
                <w:lang w:val="en-US"/>
              </w:rPr>
              <w:t>15.1. Compliance with the protocol, GCP, and regulations</w:t>
            </w:r>
            <w:r w:rsidR="002D17DE">
              <w:rPr>
                <w:noProof/>
                <w:webHidden/>
              </w:rPr>
              <w:tab/>
            </w:r>
            <w:r w:rsidR="002D17DE">
              <w:rPr>
                <w:noProof/>
                <w:webHidden/>
              </w:rPr>
              <w:fldChar w:fldCharType="begin"/>
            </w:r>
            <w:r w:rsidR="002D17DE">
              <w:rPr>
                <w:noProof/>
                <w:webHidden/>
              </w:rPr>
              <w:instrText xml:space="preserve"> PAGEREF _Toc99001443 \h </w:instrText>
            </w:r>
            <w:r w:rsidR="002D17DE">
              <w:rPr>
                <w:noProof/>
                <w:webHidden/>
              </w:rPr>
            </w:r>
            <w:r w:rsidR="002D17DE">
              <w:rPr>
                <w:noProof/>
                <w:webHidden/>
              </w:rPr>
              <w:fldChar w:fldCharType="separate"/>
            </w:r>
            <w:r w:rsidR="00667D68">
              <w:rPr>
                <w:noProof/>
                <w:webHidden/>
              </w:rPr>
              <w:t>40</w:t>
            </w:r>
            <w:r w:rsidR="002D17DE">
              <w:rPr>
                <w:noProof/>
                <w:webHidden/>
              </w:rPr>
              <w:fldChar w:fldCharType="end"/>
            </w:r>
          </w:hyperlink>
        </w:p>
        <w:p w14:paraId="692C3619" w14:textId="25063CF4" w:rsidR="002D17DE" w:rsidRDefault="00000000">
          <w:pPr>
            <w:pStyle w:val="Innehll2"/>
            <w:rPr>
              <w:rFonts w:asciiTheme="minorHAnsi" w:eastAsiaTheme="minorEastAsia" w:hAnsiTheme="minorHAnsi"/>
              <w:noProof/>
              <w:lang w:eastAsia="sv-SE"/>
            </w:rPr>
          </w:pPr>
          <w:hyperlink w:anchor="_Toc99001444" w:history="1">
            <w:r w:rsidR="002D17DE" w:rsidRPr="00A27941">
              <w:rPr>
                <w:rStyle w:val="Hyperlnk"/>
                <w:rFonts w:cs="Times New Roman"/>
                <w:noProof/>
                <w:lang w:val="en-US"/>
              </w:rPr>
              <w:t>15.2. Research ethics approval</w:t>
            </w:r>
            <w:r w:rsidR="002D17DE">
              <w:rPr>
                <w:noProof/>
                <w:webHidden/>
              </w:rPr>
              <w:tab/>
            </w:r>
            <w:r w:rsidR="002D17DE">
              <w:rPr>
                <w:noProof/>
                <w:webHidden/>
              </w:rPr>
              <w:fldChar w:fldCharType="begin"/>
            </w:r>
            <w:r w:rsidR="002D17DE">
              <w:rPr>
                <w:noProof/>
                <w:webHidden/>
              </w:rPr>
              <w:instrText xml:space="preserve"> PAGEREF _Toc99001444 \h </w:instrText>
            </w:r>
            <w:r w:rsidR="002D17DE">
              <w:rPr>
                <w:noProof/>
                <w:webHidden/>
              </w:rPr>
            </w:r>
            <w:r w:rsidR="002D17DE">
              <w:rPr>
                <w:noProof/>
                <w:webHidden/>
              </w:rPr>
              <w:fldChar w:fldCharType="separate"/>
            </w:r>
            <w:r w:rsidR="00667D68">
              <w:rPr>
                <w:noProof/>
                <w:webHidden/>
              </w:rPr>
              <w:t>41</w:t>
            </w:r>
            <w:r w:rsidR="002D17DE">
              <w:rPr>
                <w:noProof/>
                <w:webHidden/>
              </w:rPr>
              <w:fldChar w:fldCharType="end"/>
            </w:r>
          </w:hyperlink>
        </w:p>
        <w:p w14:paraId="60245005" w14:textId="40CF2C10" w:rsidR="002D17DE" w:rsidRDefault="00000000">
          <w:pPr>
            <w:pStyle w:val="Innehll2"/>
            <w:rPr>
              <w:rFonts w:asciiTheme="minorHAnsi" w:eastAsiaTheme="minorEastAsia" w:hAnsiTheme="minorHAnsi"/>
              <w:noProof/>
              <w:lang w:eastAsia="sv-SE"/>
            </w:rPr>
          </w:pPr>
          <w:hyperlink w:anchor="_Toc99001445" w:history="1">
            <w:r w:rsidR="002D17DE" w:rsidRPr="00A27941">
              <w:rPr>
                <w:rStyle w:val="Hyperlnk"/>
                <w:rFonts w:cs="Times New Roman"/>
                <w:noProof/>
                <w:lang w:val="en-US"/>
              </w:rPr>
              <w:t>15.3. Protocol amendments</w:t>
            </w:r>
            <w:r w:rsidR="002D17DE">
              <w:rPr>
                <w:noProof/>
                <w:webHidden/>
              </w:rPr>
              <w:tab/>
            </w:r>
            <w:r w:rsidR="002D17DE">
              <w:rPr>
                <w:noProof/>
                <w:webHidden/>
              </w:rPr>
              <w:fldChar w:fldCharType="begin"/>
            </w:r>
            <w:r w:rsidR="002D17DE">
              <w:rPr>
                <w:noProof/>
                <w:webHidden/>
              </w:rPr>
              <w:instrText xml:space="preserve"> PAGEREF _Toc99001445 \h </w:instrText>
            </w:r>
            <w:r w:rsidR="002D17DE">
              <w:rPr>
                <w:noProof/>
                <w:webHidden/>
              </w:rPr>
            </w:r>
            <w:r w:rsidR="002D17DE">
              <w:rPr>
                <w:noProof/>
                <w:webHidden/>
              </w:rPr>
              <w:fldChar w:fldCharType="separate"/>
            </w:r>
            <w:r w:rsidR="00667D68">
              <w:rPr>
                <w:noProof/>
                <w:webHidden/>
              </w:rPr>
              <w:t>41</w:t>
            </w:r>
            <w:r w:rsidR="002D17DE">
              <w:rPr>
                <w:noProof/>
                <w:webHidden/>
              </w:rPr>
              <w:fldChar w:fldCharType="end"/>
            </w:r>
          </w:hyperlink>
        </w:p>
        <w:p w14:paraId="6C1EC214" w14:textId="5F572E82" w:rsidR="002D17DE" w:rsidRDefault="00000000">
          <w:pPr>
            <w:pStyle w:val="Innehll2"/>
            <w:rPr>
              <w:rFonts w:asciiTheme="minorHAnsi" w:eastAsiaTheme="minorEastAsia" w:hAnsiTheme="minorHAnsi"/>
              <w:noProof/>
              <w:lang w:eastAsia="sv-SE"/>
            </w:rPr>
          </w:pPr>
          <w:hyperlink w:anchor="_Toc99001446" w:history="1">
            <w:r w:rsidR="002D17DE" w:rsidRPr="00A27941">
              <w:rPr>
                <w:rStyle w:val="Hyperlnk"/>
                <w:rFonts w:cs="Times New Roman"/>
                <w:noProof/>
                <w:lang w:val="en-US"/>
              </w:rPr>
              <w:t>15.4. Informed consent</w:t>
            </w:r>
            <w:r w:rsidR="002D17DE">
              <w:rPr>
                <w:noProof/>
                <w:webHidden/>
              </w:rPr>
              <w:tab/>
            </w:r>
            <w:r w:rsidR="002D17DE">
              <w:rPr>
                <w:noProof/>
                <w:webHidden/>
              </w:rPr>
              <w:fldChar w:fldCharType="begin"/>
            </w:r>
            <w:r w:rsidR="002D17DE">
              <w:rPr>
                <w:noProof/>
                <w:webHidden/>
              </w:rPr>
              <w:instrText xml:space="preserve"> PAGEREF _Toc99001446 \h </w:instrText>
            </w:r>
            <w:r w:rsidR="002D17DE">
              <w:rPr>
                <w:noProof/>
                <w:webHidden/>
              </w:rPr>
            </w:r>
            <w:r w:rsidR="002D17DE">
              <w:rPr>
                <w:noProof/>
                <w:webHidden/>
              </w:rPr>
              <w:fldChar w:fldCharType="separate"/>
            </w:r>
            <w:r w:rsidR="00667D68">
              <w:rPr>
                <w:noProof/>
                <w:webHidden/>
              </w:rPr>
              <w:t>41</w:t>
            </w:r>
            <w:r w:rsidR="002D17DE">
              <w:rPr>
                <w:noProof/>
                <w:webHidden/>
              </w:rPr>
              <w:fldChar w:fldCharType="end"/>
            </w:r>
          </w:hyperlink>
        </w:p>
        <w:p w14:paraId="7308798A" w14:textId="4EEC04CB" w:rsidR="002D17DE" w:rsidRDefault="00000000">
          <w:pPr>
            <w:pStyle w:val="Innehll2"/>
            <w:rPr>
              <w:rFonts w:asciiTheme="minorHAnsi" w:eastAsiaTheme="minorEastAsia" w:hAnsiTheme="minorHAnsi"/>
              <w:noProof/>
              <w:lang w:eastAsia="sv-SE"/>
            </w:rPr>
          </w:pPr>
          <w:hyperlink w:anchor="_Toc99001447" w:history="1">
            <w:r w:rsidR="002D17DE" w:rsidRPr="00A27941">
              <w:rPr>
                <w:rStyle w:val="Hyperlnk"/>
                <w:rFonts w:cs="Times New Roman"/>
                <w:noProof/>
                <w:lang w:val="en-US"/>
              </w:rPr>
              <w:t>15.5. Medical record registration</w:t>
            </w:r>
            <w:r w:rsidR="002D17DE">
              <w:rPr>
                <w:noProof/>
                <w:webHidden/>
              </w:rPr>
              <w:tab/>
            </w:r>
            <w:r w:rsidR="002D17DE">
              <w:rPr>
                <w:noProof/>
                <w:webHidden/>
              </w:rPr>
              <w:fldChar w:fldCharType="begin"/>
            </w:r>
            <w:r w:rsidR="002D17DE">
              <w:rPr>
                <w:noProof/>
                <w:webHidden/>
              </w:rPr>
              <w:instrText xml:space="preserve"> PAGEREF _Toc99001447 \h </w:instrText>
            </w:r>
            <w:r w:rsidR="002D17DE">
              <w:rPr>
                <w:noProof/>
                <w:webHidden/>
              </w:rPr>
            </w:r>
            <w:r w:rsidR="002D17DE">
              <w:rPr>
                <w:noProof/>
                <w:webHidden/>
              </w:rPr>
              <w:fldChar w:fldCharType="separate"/>
            </w:r>
            <w:r w:rsidR="00667D68">
              <w:rPr>
                <w:noProof/>
                <w:webHidden/>
              </w:rPr>
              <w:t>42</w:t>
            </w:r>
            <w:r w:rsidR="002D17DE">
              <w:rPr>
                <w:noProof/>
                <w:webHidden/>
              </w:rPr>
              <w:fldChar w:fldCharType="end"/>
            </w:r>
          </w:hyperlink>
        </w:p>
        <w:p w14:paraId="272BA223" w14:textId="186800A6" w:rsidR="002D17DE" w:rsidRDefault="00000000">
          <w:pPr>
            <w:pStyle w:val="Innehll2"/>
            <w:rPr>
              <w:rFonts w:asciiTheme="minorHAnsi" w:eastAsiaTheme="minorEastAsia" w:hAnsiTheme="minorHAnsi"/>
              <w:noProof/>
              <w:lang w:eastAsia="sv-SE"/>
            </w:rPr>
          </w:pPr>
          <w:hyperlink w:anchor="_Toc99001448" w:history="1">
            <w:r w:rsidR="002D17DE" w:rsidRPr="00A27941">
              <w:rPr>
                <w:rStyle w:val="Hyperlnk"/>
                <w:rFonts w:cs="Times New Roman"/>
                <w:noProof/>
                <w:lang w:val="en-US"/>
              </w:rPr>
              <w:t>15.6. Insurance</w:t>
            </w:r>
            <w:r w:rsidR="002D17DE">
              <w:rPr>
                <w:noProof/>
                <w:webHidden/>
              </w:rPr>
              <w:tab/>
            </w:r>
            <w:r w:rsidR="002D17DE">
              <w:rPr>
                <w:noProof/>
                <w:webHidden/>
              </w:rPr>
              <w:fldChar w:fldCharType="begin"/>
            </w:r>
            <w:r w:rsidR="002D17DE">
              <w:rPr>
                <w:noProof/>
                <w:webHidden/>
              </w:rPr>
              <w:instrText xml:space="preserve"> PAGEREF _Toc99001448 \h </w:instrText>
            </w:r>
            <w:r w:rsidR="002D17DE">
              <w:rPr>
                <w:noProof/>
                <w:webHidden/>
              </w:rPr>
            </w:r>
            <w:r w:rsidR="002D17DE">
              <w:rPr>
                <w:noProof/>
                <w:webHidden/>
              </w:rPr>
              <w:fldChar w:fldCharType="separate"/>
            </w:r>
            <w:r w:rsidR="00667D68">
              <w:rPr>
                <w:noProof/>
                <w:webHidden/>
              </w:rPr>
              <w:t>42</w:t>
            </w:r>
            <w:r w:rsidR="002D17DE">
              <w:rPr>
                <w:noProof/>
                <w:webHidden/>
              </w:rPr>
              <w:fldChar w:fldCharType="end"/>
            </w:r>
          </w:hyperlink>
        </w:p>
        <w:p w14:paraId="4FF7EE0F" w14:textId="4576AEAE" w:rsidR="002D17DE" w:rsidRDefault="00000000">
          <w:pPr>
            <w:pStyle w:val="Innehll2"/>
            <w:rPr>
              <w:rFonts w:asciiTheme="minorHAnsi" w:eastAsiaTheme="minorEastAsia" w:hAnsiTheme="minorHAnsi"/>
              <w:noProof/>
              <w:lang w:eastAsia="sv-SE"/>
            </w:rPr>
          </w:pPr>
          <w:hyperlink w:anchor="_Toc99001449" w:history="1">
            <w:r w:rsidR="002D17DE" w:rsidRPr="00A27941">
              <w:rPr>
                <w:rStyle w:val="Hyperlnk"/>
                <w:rFonts w:cs="Times New Roman"/>
                <w:noProof/>
                <w:lang w:val="en-US"/>
              </w:rPr>
              <w:t>15.7. Confidentiality</w:t>
            </w:r>
            <w:r w:rsidR="002D17DE">
              <w:rPr>
                <w:noProof/>
                <w:webHidden/>
              </w:rPr>
              <w:tab/>
            </w:r>
            <w:r w:rsidR="002D17DE">
              <w:rPr>
                <w:noProof/>
                <w:webHidden/>
              </w:rPr>
              <w:fldChar w:fldCharType="begin"/>
            </w:r>
            <w:r w:rsidR="002D17DE">
              <w:rPr>
                <w:noProof/>
                <w:webHidden/>
              </w:rPr>
              <w:instrText xml:space="preserve"> PAGEREF _Toc99001449 \h </w:instrText>
            </w:r>
            <w:r w:rsidR="002D17DE">
              <w:rPr>
                <w:noProof/>
                <w:webHidden/>
              </w:rPr>
            </w:r>
            <w:r w:rsidR="002D17DE">
              <w:rPr>
                <w:noProof/>
                <w:webHidden/>
              </w:rPr>
              <w:fldChar w:fldCharType="separate"/>
            </w:r>
            <w:r w:rsidR="00667D68">
              <w:rPr>
                <w:noProof/>
                <w:webHidden/>
              </w:rPr>
              <w:t>42</w:t>
            </w:r>
            <w:r w:rsidR="002D17DE">
              <w:rPr>
                <w:noProof/>
                <w:webHidden/>
              </w:rPr>
              <w:fldChar w:fldCharType="end"/>
            </w:r>
          </w:hyperlink>
        </w:p>
        <w:p w14:paraId="75748B04" w14:textId="7518224C" w:rsidR="002D17DE" w:rsidRDefault="00000000">
          <w:pPr>
            <w:pStyle w:val="Innehll2"/>
            <w:rPr>
              <w:rFonts w:asciiTheme="minorHAnsi" w:eastAsiaTheme="minorEastAsia" w:hAnsiTheme="minorHAnsi"/>
              <w:noProof/>
              <w:lang w:eastAsia="sv-SE"/>
            </w:rPr>
          </w:pPr>
          <w:hyperlink w:anchor="_Toc99001450" w:history="1">
            <w:r w:rsidR="002D17DE" w:rsidRPr="00A27941">
              <w:rPr>
                <w:rStyle w:val="Hyperlnk"/>
                <w:rFonts w:cs="Times New Roman"/>
                <w:noProof/>
                <w:lang w:val="en-US"/>
              </w:rPr>
              <w:t>15.8. Conflicts of interest</w:t>
            </w:r>
            <w:r w:rsidR="002D17DE">
              <w:rPr>
                <w:noProof/>
                <w:webHidden/>
              </w:rPr>
              <w:tab/>
            </w:r>
            <w:r w:rsidR="002D17DE">
              <w:rPr>
                <w:noProof/>
                <w:webHidden/>
              </w:rPr>
              <w:fldChar w:fldCharType="begin"/>
            </w:r>
            <w:r w:rsidR="002D17DE">
              <w:rPr>
                <w:noProof/>
                <w:webHidden/>
              </w:rPr>
              <w:instrText xml:space="preserve"> PAGEREF _Toc99001450 \h </w:instrText>
            </w:r>
            <w:r w:rsidR="002D17DE">
              <w:rPr>
                <w:noProof/>
                <w:webHidden/>
              </w:rPr>
            </w:r>
            <w:r w:rsidR="002D17DE">
              <w:rPr>
                <w:noProof/>
                <w:webHidden/>
              </w:rPr>
              <w:fldChar w:fldCharType="separate"/>
            </w:r>
            <w:r w:rsidR="00667D68">
              <w:rPr>
                <w:noProof/>
                <w:webHidden/>
              </w:rPr>
              <w:t>42</w:t>
            </w:r>
            <w:r w:rsidR="002D17DE">
              <w:rPr>
                <w:noProof/>
                <w:webHidden/>
              </w:rPr>
              <w:fldChar w:fldCharType="end"/>
            </w:r>
          </w:hyperlink>
        </w:p>
        <w:p w14:paraId="130602EE" w14:textId="5B5EF87F" w:rsidR="002D17DE" w:rsidRDefault="00000000">
          <w:pPr>
            <w:pStyle w:val="Innehll2"/>
            <w:rPr>
              <w:rFonts w:asciiTheme="minorHAnsi" w:eastAsiaTheme="minorEastAsia" w:hAnsiTheme="minorHAnsi"/>
              <w:noProof/>
              <w:lang w:eastAsia="sv-SE"/>
            </w:rPr>
          </w:pPr>
          <w:hyperlink w:anchor="_Toc99001451" w:history="1">
            <w:r w:rsidR="002D17DE" w:rsidRPr="00A27941">
              <w:rPr>
                <w:rStyle w:val="Hyperlnk"/>
                <w:rFonts w:cs="Times New Roman"/>
                <w:noProof/>
                <w:lang w:val="en-US"/>
              </w:rPr>
              <w:t>15.9. Post-trial care</w:t>
            </w:r>
            <w:r w:rsidR="002D17DE">
              <w:rPr>
                <w:noProof/>
                <w:webHidden/>
              </w:rPr>
              <w:tab/>
            </w:r>
            <w:r w:rsidR="002D17DE">
              <w:rPr>
                <w:noProof/>
                <w:webHidden/>
              </w:rPr>
              <w:fldChar w:fldCharType="begin"/>
            </w:r>
            <w:r w:rsidR="002D17DE">
              <w:rPr>
                <w:noProof/>
                <w:webHidden/>
              </w:rPr>
              <w:instrText xml:space="preserve"> PAGEREF _Toc99001451 \h </w:instrText>
            </w:r>
            <w:r w:rsidR="002D17DE">
              <w:rPr>
                <w:noProof/>
                <w:webHidden/>
              </w:rPr>
            </w:r>
            <w:r w:rsidR="002D17DE">
              <w:rPr>
                <w:noProof/>
                <w:webHidden/>
              </w:rPr>
              <w:fldChar w:fldCharType="separate"/>
            </w:r>
            <w:r w:rsidR="00667D68">
              <w:rPr>
                <w:noProof/>
                <w:webHidden/>
              </w:rPr>
              <w:t>43</w:t>
            </w:r>
            <w:r w:rsidR="002D17DE">
              <w:rPr>
                <w:noProof/>
                <w:webHidden/>
              </w:rPr>
              <w:fldChar w:fldCharType="end"/>
            </w:r>
          </w:hyperlink>
        </w:p>
        <w:p w14:paraId="68AB1C48" w14:textId="17BE107D" w:rsidR="002D17DE" w:rsidRDefault="00000000">
          <w:pPr>
            <w:pStyle w:val="Innehll2"/>
            <w:rPr>
              <w:rFonts w:asciiTheme="minorHAnsi" w:eastAsiaTheme="minorEastAsia" w:hAnsiTheme="minorHAnsi"/>
              <w:noProof/>
              <w:lang w:eastAsia="sv-SE"/>
            </w:rPr>
          </w:pPr>
          <w:hyperlink w:anchor="_Toc99001452" w:history="1">
            <w:r w:rsidR="002D17DE" w:rsidRPr="00A27941">
              <w:rPr>
                <w:rStyle w:val="Hyperlnk"/>
                <w:rFonts w:cs="Times New Roman"/>
                <w:noProof/>
                <w:lang w:val="en-US"/>
              </w:rPr>
              <w:t>15.10. Data access</w:t>
            </w:r>
            <w:r w:rsidR="002D17DE">
              <w:rPr>
                <w:noProof/>
                <w:webHidden/>
              </w:rPr>
              <w:tab/>
            </w:r>
            <w:r w:rsidR="002D17DE">
              <w:rPr>
                <w:noProof/>
                <w:webHidden/>
              </w:rPr>
              <w:fldChar w:fldCharType="begin"/>
            </w:r>
            <w:r w:rsidR="002D17DE">
              <w:rPr>
                <w:noProof/>
                <w:webHidden/>
              </w:rPr>
              <w:instrText xml:space="preserve"> PAGEREF _Toc99001452 \h </w:instrText>
            </w:r>
            <w:r w:rsidR="002D17DE">
              <w:rPr>
                <w:noProof/>
                <w:webHidden/>
              </w:rPr>
            </w:r>
            <w:r w:rsidR="002D17DE">
              <w:rPr>
                <w:noProof/>
                <w:webHidden/>
              </w:rPr>
              <w:fldChar w:fldCharType="separate"/>
            </w:r>
            <w:r w:rsidR="00667D68">
              <w:rPr>
                <w:noProof/>
                <w:webHidden/>
              </w:rPr>
              <w:t>43</w:t>
            </w:r>
            <w:r w:rsidR="002D17DE">
              <w:rPr>
                <w:noProof/>
                <w:webHidden/>
              </w:rPr>
              <w:fldChar w:fldCharType="end"/>
            </w:r>
          </w:hyperlink>
        </w:p>
        <w:p w14:paraId="0768DC5D" w14:textId="0973740D" w:rsidR="002D17DE" w:rsidRDefault="00000000">
          <w:pPr>
            <w:pStyle w:val="Innehll1"/>
            <w:rPr>
              <w:rFonts w:asciiTheme="minorHAnsi" w:eastAsiaTheme="minorEastAsia" w:hAnsiTheme="minorHAnsi"/>
              <w:noProof/>
              <w:lang w:eastAsia="sv-SE"/>
            </w:rPr>
          </w:pPr>
          <w:hyperlink w:anchor="_Toc99001453" w:history="1">
            <w:r w:rsidR="002D17DE" w:rsidRPr="00A27941">
              <w:rPr>
                <w:rStyle w:val="Hyperlnk"/>
                <w:rFonts w:cs="Times New Roman"/>
                <w:noProof/>
                <w:lang w:val="en-US"/>
              </w:rPr>
              <w:t>16. Dissemination</w:t>
            </w:r>
            <w:r w:rsidR="002D17DE">
              <w:rPr>
                <w:noProof/>
                <w:webHidden/>
              </w:rPr>
              <w:tab/>
            </w:r>
            <w:r w:rsidR="002D17DE">
              <w:rPr>
                <w:noProof/>
                <w:webHidden/>
              </w:rPr>
              <w:fldChar w:fldCharType="begin"/>
            </w:r>
            <w:r w:rsidR="002D17DE">
              <w:rPr>
                <w:noProof/>
                <w:webHidden/>
              </w:rPr>
              <w:instrText xml:space="preserve"> PAGEREF _Toc99001453 \h </w:instrText>
            </w:r>
            <w:r w:rsidR="002D17DE">
              <w:rPr>
                <w:noProof/>
                <w:webHidden/>
              </w:rPr>
            </w:r>
            <w:r w:rsidR="002D17DE">
              <w:rPr>
                <w:noProof/>
                <w:webHidden/>
              </w:rPr>
              <w:fldChar w:fldCharType="separate"/>
            </w:r>
            <w:r w:rsidR="00667D68">
              <w:rPr>
                <w:noProof/>
                <w:webHidden/>
              </w:rPr>
              <w:t>43</w:t>
            </w:r>
            <w:r w:rsidR="002D17DE">
              <w:rPr>
                <w:noProof/>
                <w:webHidden/>
              </w:rPr>
              <w:fldChar w:fldCharType="end"/>
            </w:r>
          </w:hyperlink>
        </w:p>
        <w:p w14:paraId="5CDA85F8" w14:textId="4E88ECE4" w:rsidR="002D17DE" w:rsidRDefault="00000000">
          <w:pPr>
            <w:pStyle w:val="Innehll1"/>
            <w:rPr>
              <w:rFonts w:asciiTheme="minorHAnsi" w:eastAsiaTheme="minorEastAsia" w:hAnsiTheme="minorHAnsi"/>
              <w:noProof/>
              <w:lang w:eastAsia="sv-SE"/>
            </w:rPr>
          </w:pPr>
          <w:hyperlink w:anchor="_Toc99001454" w:history="1">
            <w:r w:rsidR="002D17DE" w:rsidRPr="00A27941">
              <w:rPr>
                <w:rStyle w:val="Hyperlnk"/>
                <w:rFonts w:cs="Times New Roman"/>
                <w:noProof/>
                <w:lang w:val="en-US"/>
              </w:rPr>
              <w:t>17. Risk-benefit evaluation</w:t>
            </w:r>
            <w:r w:rsidR="002D17DE">
              <w:rPr>
                <w:noProof/>
                <w:webHidden/>
              </w:rPr>
              <w:tab/>
            </w:r>
            <w:r w:rsidR="002D17DE">
              <w:rPr>
                <w:noProof/>
                <w:webHidden/>
              </w:rPr>
              <w:fldChar w:fldCharType="begin"/>
            </w:r>
            <w:r w:rsidR="002D17DE">
              <w:rPr>
                <w:noProof/>
                <w:webHidden/>
              </w:rPr>
              <w:instrText xml:space="preserve"> PAGEREF _Toc99001454 \h </w:instrText>
            </w:r>
            <w:r w:rsidR="002D17DE">
              <w:rPr>
                <w:noProof/>
                <w:webHidden/>
              </w:rPr>
            </w:r>
            <w:r w:rsidR="002D17DE">
              <w:rPr>
                <w:noProof/>
                <w:webHidden/>
              </w:rPr>
              <w:fldChar w:fldCharType="separate"/>
            </w:r>
            <w:r w:rsidR="00667D68">
              <w:rPr>
                <w:noProof/>
                <w:webHidden/>
              </w:rPr>
              <w:t>44</w:t>
            </w:r>
            <w:r w:rsidR="002D17DE">
              <w:rPr>
                <w:noProof/>
                <w:webHidden/>
              </w:rPr>
              <w:fldChar w:fldCharType="end"/>
            </w:r>
          </w:hyperlink>
        </w:p>
        <w:p w14:paraId="46525F0C" w14:textId="4A92E627" w:rsidR="002D17DE" w:rsidRDefault="00000000">
          <w:pPr>
            <w:pStyle w:val="Innehll1"/>
            <w:rPr>
              <w:rFonts w:asciiTheme="minorHAnsi" w:eastAsiaTheme="minorEastAsia" w:hAnsiTheme="minorHAnsi"/>
              <w:noProof/>
              <w:lang w:eastAsia="sv-SE"/>
            </w:rPr>
          </w:pPr>
          <w:hyperlink w:anchor="_Toc99001455" w:history="1">
            <w:r w:rsidR="002D17DE" w:rsidRPr="00A27941">
              <w:rPr>
                <w:rStyle w:val="Hyperlnk"/>
                <w:rFonts w:cs="Times New Roman"/>
                <w:noProof/>
                <w:lang w:val="en-US"/>
              </w:rPr>
              <w:t>18. References</w:t>
            </w:r>
            <w:r w:rsidR="002D17DE">
              <w:rPr>
                <w:noProof/>
                <w:webHidden/>
              </w:rPr>
              <w:tab/>
            </w:r>
            <w:r w:rsidR="002D17DE">
              <w:rPr>
                <w:noProof/>
                <w:webHidden/>
              </w:rPr>
              <w:fldChar w:fldCharType="begin"/>
            </w:r>
            <w:r w:rsidR="002D17DE">
              <w:rPr>
                <w:noProof/>
                <w:webHidden/>
              </w:rPr>
              <w:instrText xml:space="preserve"> PAGEREF _Toc99001455 \h </w:instrText>
            </w:r>
            <w:r w:rsidR="002D17DE">
              <w:rPr>
                <w:noProof/>
                <w:webHidden/>
              </w:rPr>
            </w:r>
            <w:r w:rsidR="002D17DE">
              <w:rPr>
                <w:noProof/>
                <w:webHidden/>
              </w:rPr>
              <w:fldChar w:fldCharType="separate"/>
            </w:r>
            <w:r w:rsidR="00667D68">
              <w:rPr>
                <w:noProof/>
                <w:webHidden/>
              </w:rPr>
              <w:t>46</w:t>
            </w:r>
            <w:r w:rsidR="002D17DE">
              <w:rPr>
                <w:noProof/>
                <w:webHidden/>
              </w:rPr>
              <w:fldChar w:fldCharType="end"/>
            </w:r>
          </w:hyperlink>
        </w:p>
        <w:p w14:paraId="61153509" w14:textId="543FC930" w:rsidR="002D17DE" w:rsidRDefault="00000000">
          <w:pPr>
            <w:pStyle w:val="Innehll1"/>
            <w:rPr>
              <w:rFonts w:asciiTheme="minorHAnsi" w:eastAsiaTheme="minorEastAsia" w:hAnsiTheme="minorHAnsi"/>
              <w:noProof/>
              <w:lang w:eastAsia="sv-SE"/>
            </w:rPr>
          </w:pPr>
          <w:hyperlink w:anchor="_Toc99001456" w:history="1">
            <w:r w:rsidR="002D17DE" w:rsidRPr="00A27941">
              <w:rPr>
                <w:rStyle w:val="Hyperlnk"/>
                <w:rFonts w:cs="Times New Roman"/>
                <w:noProof/>
                <w:lang w:val="en-US"/>
              </w:rPr>
              <w:t>19. Appendix 1: Sample Size Calculation</w:t>
            </w:r>
            <w:r w:rsidR="002D17DE">
              <w:rPr>
                <w:noProof/>
                <w:webHidden/>
              </w:rPr>
              <w:tab/>
            </w:r>
            <w:r w:rsidR="002D17DE">
              <w:rPr>
                <w:noProof/>
                <w:webHidden/>
              </w:rPr>
              <w:fldChar w:fldCharType="begin"/>
            </w:r>
            <w:r w:rsidR="002D17DE">
              <w:rPr>
                <w:noProof/>
                <w:webHidden/>
              </w:rPr>
              <w:instrText xml:space="preserve"> PAGEREF _Toc99001456 \h </w:instrText>
            </w:r>
            <w:r w:rsidR="002D17DE">
              <w:rPr>
                <w:noProof/>
                <w:webHidden/>
              </w:rPr>
            </w:r>
            <w:r w:rsidR="002D17DE">
              <w:rPr>
                <w:noProof/>
                <w:webHidden/>
              </w:rPr>
              <w:fldChar w:fldCharType="separate"/>
            </w:r>
            <w:r w:rsidR="00667D68">
              <w:rPr>
                <w:noProof/>
                <w:webHidden/>
              </w:rPr>
              <w:t>50</w:t>
            </w:r>
            <w:r w:rsidR="002D17DE">
              <w:rPr>
                <w:noProof/>
                <w:webHidden/>
              </w:rPr>
              <w:fldChar w:fldCharType="end"/>
            </w:r>
          </w:hyperlink>
        </w:p>
        <w:p w14:paraId="05A086C5" w14:textId="219D785C" w:rsidR="002D17DE" w:rsidRDefault="00000000">
          <w:pPr>
            <w:pStyle w:val="Innehll1"/>
            <w:rPr>
              <w:rFonts w:asciiTheme="minorHAnsi" w:eastAsiaTheme="minorEastAsia" w:hAnsiTheme="minorHAnsi"/>
              <w:noProof/>
              <w:lang w:eastAsia="sv-SE"/>
            </w:rPr>
          </w:pPr>
          <w:hyperlink w:anchor="_Toc99001457" w:history="1">
            <w:r w:rsidR="002D17DE" w:rsidRPr="00A27941">
              <w:rPr>
                <w:rStyle w:val="Hyperlnk"/>
                <w:rFonts w:cs="Times New Roman"/>
                <w:noProof/>
                <w:lang w:val="en-US"/>
              </w:rPr>
              <w:t>20. Appendix 2: Sample Sizes Under Varying Assumptions</w:t>
            </w:r>
            <w:r w:rsidR="002D17DE">
              <w:rPr>
                <w:noProof/>
                <w:webHidden/>
              </w:rPr>
              <w:tab/>
            </w:r>
            <w:r w:rsidR="002D17DE">
              <w:rPr>
                <w:noProof/>
                <w:webHidden/>
              </w:rPr>
              <w:fldChar w:fldCharType="begin"/>
            </w:r>
            <w:r w:rsidR="002D17DE">
              <w:rPr>
                <w:noProof/>
                <w:webHidden/>
              </w:rPr>
              <w:instrText xml:space="preserve"> PAGEREF _Toc99001457 \h </w:instrText>
            </w:r>
            <w:r w:rsidR="002D17DE">
              <w:rPr>
                <w:noProof/>
                <w:webHidden/>
              </w:rPr>
            </w:r>
            <w:r w:rsidR="002D17DE">
              <w:rPr>
                <w:noProof/>
                <w:webHidden/>
              </w:rPr>
              <w:fldChar w:fldCharType="separate"/>
            </w:r>
            <w:r w:rsidR="00667D68">
              <w:rPr>
                <w:noProof/>
                <w:webHidden/>
              </w:rPr>
              <w:t>51</w:t>
            </w:r>
            <w:r w:rsidR="002D17DE">
              <w:rPr>
                <w:noProof/>
                <w:webHidden/>
              </w:rPr>
              <w:fldChar w:fldCharType="end"/>
            </w:r>
          </w:hyperlink>
        </w:p>
        <w:p w14:paraId="6C2A823E" w14:textId="6E98D453" w:rsidR="00C02E54" w:rsidRPr="007B140B" w:rsidRDefault="00C02E54">
          <w:pPr>
            <w:rPr>
              <w:rFonts w:ascii="Times New Roman" w:hAnsi="Times New Roman" w:cs="Times New Roman"/>
              <w:sz w:val="24"/>
              <w:szCs w:val="24"/>
              <w:lang w:val="en-US"/>
            </w:rPr>
          </w:pPr>
          <w:r w:rsidRPr="007B140B">
            <w:rPr>
              <w:rFonts w:ascii="Times New Roman" w:hAnsi="Times New Roman" w:cs="Times New Roman"/>
              <w:b/>
              <w:bCs/>
              <w:sz w:val="24"/>
              <w:szCs w:val="24"/>
              <w:lang w:val="en-US"/>
            </w:rPr>
            <w:fldChar w:fldCharType="end"/>
          </w:r>
        </w:p>
      </w:sdtContent>
    </w:sdt>
    <w:p w14:paraId="5E0398C7" w14:textId="6483D3BD" w:rsidR="001F38C1" w:rsidRPr="007B140B" w:rsidRDefault="001F38C1">
      <w:pPr>
        <w:spacing w:after="0" w:line="240" w:lineRule="auto"/>
        <w:rPr>
          <w:rFonts w:ascii="Times New Roman" w:eastAsiaTheme="majorEastAsia" w:hAnsi="Times New Roman" w:cs="Times New Roman"/>
          <w:b/>
          <w:sz w:val="24"/>
          <w:szCs w:val="24"/>
          <w:lang w:val="en-US"/>
        </w:rPr>
      </w:pPr>
      <w:bookmarkStart w:id="1" w:name="_Toc2083388"/>
      <w:r w:rsidRPr="007B140B">
        <w:rPr>
          <w:rFonts w:ascii="Times New Roman" w:hAnsi="Times New Roman" w:cs="Times New Roman"/>
          <w:sz w:val="24"/>
          <w:szCs w:val="24"/>
          <w:lang w:val="en-US"/>
        </w:rPr>
        <w:br w:type="page"/>
      </w:r>
    </w:p>
    <w:p w14:paraId="0D33355B" w14:textId="0BF7DA29" w:rsidR="006E1676" w:rsidRPr="007B140B" w:rsidRDefault="006E1676">
      <w:pPr>
        <w:pStyle w:val="Rubrik1"/>
        <w:rPr>
          <w:rFonts w:ascii="Times New Roman" w:hAnsi="Times New Roman" w:cs="Times New Roman"/>
          <w:lang w:val="en-US"/>
        </w:rPr>
      </w:pPr>
      <w:bookmarkStart w:id="2" w:name="_Toc99001388"/>
      <w:r w:rsidRPr="007B140B">
        <w:rPr>
          <w:rFonts w:ascii="Times New Roman" w:hAnsi="Times New Roman" w:cs="Times New Roman"/>
          <w:lang w:val="en-US"/>
        </w:rPr>
        <w:lastRenderedPageBreak/>
        <w:t>Signatur</w:t>
      </w:r>
      <w:r w:rsidR="00910CB3" w:rsidRPr="007B140B">
        <w:rPr>
          <w:rFonts w:ascii="Times New Roman" w:hAnsi="Times New Roman" w:cs="Times New Roman"/>
          <w:lang w:val="en-US"/>
        </w:rPr>
        <w:t>e P</w:t>
      </w:r>
      <w:r w:rsidR="00B758A7" w:rsidRPr="007B140B">
        <w:rPr>
          <w:rFonts w:ascii="Times New Roman" w:hAnsi="Times New Roman" w:cs="Times New Roman"/>
          <w:lang w:val="en-US"/>
        </w:rPr>
        <w:t>age</w:t>
      </w:r>
      <w:bookmarkEnd w:id="0"/>
      <w:bookmarkEnd w:id="1"/>
      <w:bookmarkEnd w:id="2"/>
    </w:p>
    <w:p w14:paraId="6D2AE7AB" w14:textId="6FD28E01" w:rsidR="006D45FA" w:rsidRPr="007B140B" w:rsidRDefault="006D45FA" w:rsidP="00E228EB">
      <w:pPr>
        <w:rPr>
          <w:rFonts w:ascii="Times New Roman" w:hAnsi="Times New Roman" w:cs="Times New Roman"/>
          <w:i/>
          <w:color w:val="FF0000"/>
          <w:sz w:val="24"/>
          <w:szCs w:val="24"/>
          <w:lang w:val="en-US"/>
        </w:rPr>
      </w:pPr>
      <w:r w:rsidRPr="007B140B">
        <w:rPr>
          <w:rFonts w:ascii="Times New Roman" w:hAnsi="Times New Roman" w:cs="Times New Roman"/>
          <w:b/>
          <w:sz w:val="24"/>
          <w:szCs w:val="24"/>
          <w:lang w:val="en-US"/>
        </w:rPr>
        <w:t>Sponsor</w:t>
      </w:r>
      <w:r w:rsidR="00A47717" w:rsidRPr="007B140B">
        <w:rPr>
          <w:rFonts w:ascii="Times New Roman" w:hAnsi="Times New Roman" w:cs="Times New Roman"/>
          <w:b/>
          <w:sz w:val="24"/>
          <w:szCs w:val="24"/>
          <w:lang w:val="en-US"/>
        </w:rPr>
        <w:t>/Coordinating Investigator</w:t>
      </w:r>
    </w:p>
    <w:p w14:paraId="1DF30203" w14:textId="1DC2796A" w:rsidR="00FF4242" w:rsidRPr="007B140B" w:rsidRDefault="00A47717" w:rsidP="00E228EB">
      <w:pPr>
        <w:rPr>
          <w:rFonts w:ascii="Times New Roman" w:hAnsi="Times New Roman" w:cs="Times New Roman"/>
          <w:noProof/>
          <w:sz w:val="24"/>
          <w:szCs w:val="24"/>
          <w:lang w:val="en-US"/>
        </w:rPr>
      </w:pPr>
      <w:r w:rsidRPr="007B140B">
        <w:rPr>
          <w:rFonts w:ascii="Times New Roman" w:hAnsi="Times New Roman" w:cs="Times New Roman"/>
          <w:noProof/>
          <w:sz w:val="24"/>
          <w:szCs w:val="24"/>
          <w:lang w:val="en-US"/>
        </w:rPr>
        <w:t>As sponsor</w:t>
      </w:r>
      <w:r w:rsidR="00FF4242" w:rsidRPr="007B140B">
        <w:rPr>
          <w:rFonts w:ascii="Times New Roman" w:hAnsi="Times New Roman" w:cs="Times New Roman"/>
          <w:noProof/>
          <w:sz w:val="24"/>
          <w:szCs w:val="24"/>
          <w:lang w:val="en-US"/>
        </w:rPr>
        <w:t xml:space="preserve"> and coordinating investigator</w:t>
      </w:r>
      <w:r w:rsidRPr="007B140B">
        <w:rPr>
          <w:rFonts w:ascii="Times New Roman" w:hAnsi="Times New Roman" w:cs="Times New Roman"/>
          <w:noProof/>
          <w:sz w:val="24"/>
          <w:szCs w:val="24"/>
          <w:lang w:val="en-US"/>
        </w:rPr>
        <w:t xml:space="preserve">, </w:t>
      </w:r>
      <w:r w:rsidR="0032575F" w:rsidRPr="007B140B">
        <w:rPr>
          <w:rFonts w:ascii="Times New Roman" w:hAnsi="Times New Roman" w:cs="Times New Roman"/>
          <w:noProof/>
          <w:sz w:val="24"/>
          <w:szCs w:val="24"/>
          <w:lang w:val="en-US"/>
        </w:rPr>
        <w:t>I</w:t>
      </w:r>
      <w:r w:rsidR="00FF4242" w:rsidRPr="007B140B">
        <w:rPr>
          <w:rFonts w:ascii="Times New Roman" w:hAnsi="Times New Roman" w:cs="Times New Roman"/>
          <w:noProof/>
          <w:sz w:val="24"/>
          <w:szCs w:val="24"/>
          <w:lang w:val="en-US"/>
        </w:rPr>
        <w:t xml:space="preserve"> am aware that I am </w:t>
      </w:r>
      <w:r w:rsidR="0032575F" w:rsidRPr="007B140B">
        <w:rPr>
          <w:rFonts w:ascii="Times New Roman" w:hAnsi="Times New Roman" w:cs="Times New Roman"/>
          <w:noProof/>
          <w:sz w:val="24"/>
          <w:szCs w:val="24"/>
          <w:lang w:val="en-US"/>
        </w:rPr>
        <w:t xml:space="preserve">responsible for ensuring that this protocol includes all essential </w:t>
      </w:r>
      <w:r w:rsidR="001B126E" w:rsidRPr="007B140B">
        <w:rPr>
          <w:rFonts w:ascii="Times New Roman" w:hAnsi="Times New Roman" w:cs="Times New Roman"/>
          <w:noProof/>
          <w:sz w:val="24"/>
          <w:szCs w:val="24"/>
          <w:lang w:val="en-US"/>
        </w:rPr>
        <w:t>information</w:t>
      </w:r>
      <w:r w:rsidR="00DE6E1E" w:rsidRPr="007B140B">
        <w:rPr>
          <w:rFonts w:ascii="Times New Roman" w:hAnsi="Times New Roman" w:cs="Times New Roman"/>
          <w:noProof/>
          <w:sz w:val="24"/>
          <w:szCs w:val="24"/>
          <w:lang w:val="en-US"/>
        </w:rPr>
        <w:t xml:space="preserve"> </w:t>
      </w:r>
      <w:r w:rsidR="0066416F" w:rsidRPr="007B140B">
        <w:rPr>
          <w:rFonts w:ascii="Times New Roman" w:hAnsi="Times New Roman" w:cs="Times New Roman"/>
          <w:noProof/>
          <w:sz w:val="24"/>
          <w:szCs w:val="24"/>
          <w:lang w:val="en-US"/>
        </w:rPr>
        <w:t xml:space="preserve">for </w:t>
      </w:r>
      <w:r w:rsidR="00F84C26" w:rsidRPr="007B140B">
        <w:rPr>
          <w:rFonts w:ascii="Times New Roman" w:hAnsi="Times New Roman" w:cs="Times New Roman"/>
          <w:noProof/>
          <w:sz w:val="24"/>
          <w:szCs w:val="24"/>
          <w:lang w:val="en-US"/>
        </w:rPr>
        <w:t xml:space="preserve">the </w:t>
      </w:r>
      <w:r w:rsidR="0066416F" w:rsidRPr="007B140B">
        <w:rPr>
          <w:rFonts w:ascii="Times New Roman" w:hAnsi="Times New Roman" w:cs="Times New Roman"/>
          <w:noProof/>
          <w:sz w:val="24"/>
          <w:szCs w:val="24"/>
          <w:lang w:val="en-US"/>
        </w:rPr>
        <w:t>conduct</w:t>
      </w:r>
      <w:r w:rsidR="00F84C26" w:rsidRPr="007B140B">
        <w:rPr>
          <w:rFonts w:ascii="Times New Roman" w:hAnsi="Times New Roman" w:cs="Times New Roman"/>
          <w:noProof/>
          <w:sz w:val="24"/>
          <w:szCs w:val="24"/>
          <w:lang w:val="en-US"/>
        </w:rPr>
        <w:t xml:space="preserve"> of</w:t>
      </w:r>
      <w:r w:rsidR="0066416F" w:rsidRPr="007B140B">
        <w:rPr>
          <w:rFonts w:ascii="Times New Roman" w:hAnsi="Times New Roman" w:cs="Times New Roman"/>
          <w:noProof/>
          <w:sz w:val="24"/>
          <w:szCs w:val="24"/>
          <w:lang w:val="en-US"/>
        </w:rPr>
        <w:t xml:space="preserve"> the</w:t>
      </w:r>
      <w:r w:rsidR="00DE6E1E" w:rsidRPr="007B140B">
        <w:rPr>
          <w:rFonts w:ascii="Times New Roman" w:hAnsi="Times New Roman" w:cs="Times New Roman"/>
          <w:noProof/>
          <w:sz w:val="24"/>
          <w:szCs w:val="24"/>
          <w:lang w:val="en-US"/>
        </w:rPr>
        <w:t xml:space="preserve"> </w:t>
      </w:r>
      <w:r w:rsidR="007B0C8C" w:rsidRPr="007B140B">
        <w:rPr>
          <w:rFonts w:ascii="Times New Roman" w:hAnsi="Times New Roman" w:cs="Times New Roman"/>
          <w:noProof/>
          <w:sz w:val="24"/>
          <w:szCs w:val="24"/>
          <w:lang w:val="en-US"/>
        </w:rPr>
        <w:t>trial</w:t>
      </w:r>
      <w:r w:rsidR="00DE6E1E" w:rsidRPr="007B140B">
        <w:rPr>
          <w:rFonts w:ascii="Times New Roman" w:hAnsi="Times New Roman" w:cs="Times New Roman"/>
          <w:noProof/>
          <w:sz w:val="24"/>
          <w:szCs w:val="24"/>
          <w:lang w:val="en-US"/>
        </w:rPr>
        <w:t xml:space="preserve">. </w:t>
      </w:r>
      <w:r w:rsidR="00FF4242" w:rsidRPr="007B140B">
        <w:rPr>
          <w:rFonts w:ascii="Times New Roman" w:hAnsi="Times New Roman" w:cs="Times New Roman"/>
          <w:noProof/>
          <w:sz w:val="24"/>
          <w:szCs w:val="24"/>
          <w:lang w:val="en-US"/>
        </w:rPr>
        <w:t xml:space="preserve">I agree to conduct the </w:t>
      </w:r>
      <w:r w:rsidR="007B0C8C" w:rsidRPr="007B140B">
        <w:rPr>
          <w:rFonts w:ascii="Times New Roman" w:hAnsi="Times New Roman" w:cs="Times New Roman"/>
          <w:noProof/>
          <w:sz w:val="24"/>
          <w:szCs w:val="24"/>
          <w:lang w:val="en-US"/>
        </w:rPr>
        <w:t>trial</w:t>
      </w:r>
      <w:r w:rsidR="00FF4242" w:rsidRPr="007B140B">
        <w:rPr>
          <w:rFonts w:ascii="Times New Roman" w:hAnsi="Times New Roman" w:cs="Times New Roman"/>
          <w:noProof/>
          <w:sz w:val="24"/>
          <w:szCs w:val="24"/>
          <w:lang w:val="en-US"/>
        </w:rPr>
        <w:t xml:space="preserve"> in compliance with this protocol, the Declaration of Helsinki, ICH GCP (</w:t>
      </w:r>
      <w:r w:rsidR="002B3451" w:rsidRPr="007B140B">
        <w:rPr>
          <w:rFonts w:ascii="Times New Roman" w:hAnsi="Times New Roman" w:cs="Times New Roman"/>
          <w:noProof/>
          <w:sz w:val="24"/>
          <w:szCs w:val="24"/>
          <w:lang w:val="en-US"/>
        </w:rPr>
        <w:t>International Council for Harmonization</w:t>
      </w:r>
      <w:r w:rsidR="00A37EDC" w:rsidRPr="007B140B">
        <w:rPr>
          <w:rFonts w:ascii="Times New Roman" w:hAnsi="Times New Roman" w:cs="Times New Roman"/>
          <w:noProof/>
          <w:sz w:val="24"/>
          <w:szCs w:val="24"/>
          <w:lang w:val="en-US"/>
        </w:rPr>
        <w:t>,</w:t>
      </w:r>
      <w:r w:rsidR="002B3451" w:rsidRPr="007B140B">
        <w:rPr>
          <w:rFonts w:ascii="Times New Roman" w:hAnsi="Times New Roman" w:cs="Times New Roman"/>
          <w:noProof/>
          <w:sz w:val="24"/>
          <w:szCs w:val="24"/>
          <w:lang w:val="en-US"/>
        </w:rPr>
        <w:t xml:space="preserve"> </w:t>
      </w:r>
      <w:r w:rsidR="00FF4242" w:rsidRPr="007B140B">
        <w:rPr>
          <w:rFonts w:ascii="Times New Roman" w:hAnsi="Times New Roman" w:cs="Times New Roman"/>
          <w:noProof/>
          <w:sz w:val="24"/>
          <w:szCs w:val="24"/>
          <w:lang w:val="en-US"/>
        </w:rPr>
        <w:t>Good Clinical Practice)</w:t>
      </w:r>
      <w:r w:rsidR="00273AA9" w:rsidRPr="007B140B">
        <w:rPr>
          <w:rFonts w:ascii="Times New Roman" w:hAnsi="Times New Roman" w:cs="Times New Roman"/>
          <w:noProof/>
          <w:sz w:val="24"/>
          <w:szCs w:val="24"/>
          <w:lang w:val="en-US"/>
        </w:rPr>
        <w:t>,</w:t>
      </w:r>
      <w:r w:rsidR="00FF4242" w:rsidRPr="007B140B">
        <w:rPr>
          <w:rFonts w:ascii="Times New Roman" w:hAnsi="Times New Roman" w:cs="Times New Roman"/>
          <w:noProof/>
          <w:sz w:val="24"/>
          <w:szCs w:val="24"/>
          <w:lang w:val="en-US"/>
        </w:rPr>
        <w:t xml:space="preserve"> and </w:t>
      </w:r>
      <w:r w:rsidR="008F466C" w:rsidRPr="007B140B">
        <w:rPr>
          <w:rFonts w:ascii="Times New Roman" w:hAnsi="Times New Roman" w:cs="Times New Roman"/>
          <w:noProof/>
          <w:sz w:val="24"/>
          <w:szCs w:val="24"/>
          <w:lang w:val="en-US"/>
        </w:rPr>
        <w:t>Swedish</w:t>
      </w:r>
      <w:r w:rsidR="003D5208" w:rsidRPr="007B140B">
        <w:rPr>
          <w:rFonts w:ascii="Times New Roman" w:hAnsi="Times New Roman" w:cs="Times New Roman"/>
          <w:noProof/>
          <w:sz w:val="24"/>
          <w:szCs w:val="24"/>
          <w:lang w:val="en-US"/>
        </w:rPr>
        <w:t xml:space="preserve"> and European</w:t>
      </w:r>
      <w:r w:rsidR="00FF4242" w:rsidRPr="007B140B">
        <w:rPr>
          <w:rFonts w:ascii="Times New Roman" w:hAnsi="Times New Roman" w:cs="Times New Roman"/>
          <w:noProof/>
          <w:sz w:val="24"/>
          <w:szCs w:val="24"/>
          <w:lang w:val="en-US"/>
        </w:rPr>
        <w:t xml:space="preserve"> </w:t>
      </w:r>
      <w:r w:rsidR="007E13AF" w:rsidRPr="007B140B">
        <w:rPr>
          <w:rFonts w:ascii="Times New Roman" w:hAnsi="Times New Roman" w:cs="Times New Roman"/>
          <w:noProof/>
          <w:sz w:val="24"/>
          <w:szCs w:val="24"/>
          <w:lang w:val="en-US"/>
        </w:rPr>
        <w:t xml:space="preserve">Union </w:t>
      </w:r>
      <w:r w:rsidR="00FF4242" w:rsidRPr="007B140B">
        <w:rPr>
          <w:rFonts w:ascii="Times New Roman" w:hAnsi="Times New Roman" w:cs="Times New Roman"/>
          <w:noProof/>
          <w:sz w:val="24"/>
          <w:szCs w:val="24"/>
          <w:lang w:val="en-US"/>
        </w:rPr>
        <w:t>regulations.</w:t>
      </w:r>
    </w:p>
    <w:p w14:paraId="78948DED" w14:textId="04A3843A" w:rsidR="00E228EB" w:rsidRPr="007B140B" w:rsidRDefault="00135D85" w:rsidP="00E228EB">
      <w:pPr>
        <w:rPr>
          <w:rFonts w:ascii="Times New Roman" w:hAnsi="Times New Roman" w:cs="Times New Roman"/>
          <w:noProof/>
          <w:sz w:val="24"/>
          <w:szCs w:val="24"/>
          <w:lang w:val="en-US"/>
        </w:rPr>
      </w:pPr>
      <w:r w:rsidRPr="007B140B">
        <w:rPr>
          <w:rFonts w:ascii="Times New Roman" w:hAnsi="Times New Roman" w:cs="Times New Roman"/>
          <w:noProof/>
          <w:sz w:val="24"/>
          <w:szCs w:val="24"/>
          <w:lang w:val="en-US"/>
        </w:rPr>
        <w:t xml:space="preserve">I will submit this protocol and all other </w:t>
      </w:r>
      <w:r w:rsidR="000D1E4E" w:rsidRPr="007B140B">
        <w:rPr>
          <w:rFonts w:ascii="Times New Roman" w:hAnsi="Times New Roman" w:cs="Times New Roman"/>
          <w:noProof/>
          <w:sz w:val="24"/>
          <w:szCs w:val="24"/>
          <w:lang w:val="en-US"/>
        </w:rPr>
        <w:t>essential</w:t>
      </w:r>
      <w:r w:rsidRPr="007B140B">
        <w:rPr>
          <w:rFonts w:ascii="Times New Roman" w:hAnsi="Times New Roman" w:cs="Times New Roman"/>
          <w:noProof/>
          <w:sz w:val="24"/>
          <w:szCs w:val="24"/>
          <w:lang w:val="en-US"/>
        </w:rPr>
        <w:t xml:space="preserve"> study-related </w:t>
      </w:r>
      <w:r w:rsidR="000D1E4E" w:rsidRPr="007B140B">
        <w:rPr>
          <w:rFonts w:ascii="Times New Roman" w:hAnsi="Times New Roman" w:cs="Times New Roman"/>
          <w:noProof/>
          <w:sz w:val="24"/>
          <w:szCs w:val="24"/>
          <w:lang w:val="en-US"/>
        </w:rPr>
        <w:t>documents</w:t>
      </w:r>
      <w:r w:rsidRPr="007B140B">
        <w:rPr>
          <w:rFonts w:ascii="Times New Roman" w:hAnsi="Times New Roman" w:cs="Times New Roman"/>
          <w:noProof/>
          <w:sz w:val="24"/>
          <w:szCs w:val="24"/>
          <w:lang w:val="en-US"/>
        </w:rPr>
        <w:t xml:space="preserve"> to the </w:t>
      </w:r>
      <w:r w:rsidR="00B74195" w:rsidRPr="007B140B">
        <w:rPr>
          <w:rFonts w:ascii="Times New Roman" w:hAnsi="Times New Roman" w:cs="Times New Roman"/>
          <w:noProof/>
          <w:sz w:val="24"/>
          <w:szCs w:val="24"/>
          <w:lang w:val="en-US"/>
        </w:rPr>
        <w:t>principal</w:t>
      </w:r>
      <w:r w:rsidRPr="007B140B">
        <w:rPr>
          <w:rFonts w:ascii="Times New Roman" w:hAnsi="Times New Roman" w:cs="Times New Roman"/>
          <w:noProof/>
          <w:sz w:val="24"/>
          <w:szCs w:val="24"/>
          <w:lang w:val="en-US"/>
        </w:rPr>
        <w:t xml:space="preserve"> investigators</w:t>
      </w:r>
      <w:r w:rsidR="00B74195" w:rsidRPr="007B140B">
        <w:rPr>
          <w:rFonts w:ascii="Times New Roman" w:hAnsi="Times New Roman" w:cs="Times New Roman"/>
          <w:noProof/>
          <w:sz w:val="24"/>
          <w:szCs w:val="24"/>
          <w:lang w:val="en-US"/>
        </w:rPr>
        <w:t xml:space="preserve"> and other staff </w:t>
      </w:r>
      <w:r w:rsidR="00055D9F" w:rsidRPr="007B140B">
        <w:rPr>
          <w:rFonts w:ascii="Times New Roman" w:hAnsi="Times New Roman" w:cs="Times New Roman"/>
          <w:noProof/>
          <w:sz w:val="24"/>
          <w:szCs w:val="24"/>
          <w:lang w:val="en-US"/>
        </w:rPr>
        <w:t>involved in</w:t>
      </w:r>
      <w:r w:rsidR="00B74195" w:rsidRPr="007B140B">
        <w:rPr>
          <w:rFonts w:ascii="Times New Roman" w:hAnsi="Times New Roman" w:cs="Times New Roman"/>
          <w:noProof/>
          <w:sz w:val="24"/>
          <w:szCs w:val="24"/>
          <w:lang w:val="en-US"/>
        </w:rPr>
        <w:t xml:space="preserve"> </w:t>
      </w:r>
      <w:r w:rsidRPr="007B140B">
        <w:rPr>
          <w:rFonts w:ascii="Times New Roman" w:hAnsi="Times New Roman" w:cs="Times New Roman"/>
          <w:noProof/>
          <w:sz w:val="24"/>
          <w:szCs w:val="24"/>
          <w:lang w:val="en-US"/>
        </w:rPr>
        <w:t xml:space="preserve">this study, so that they can conduct the study </w:t>
      </w:r>
      <w:r w:rsidR="00304B91" w:rsidRPr="007B140B">
        <w:rPr>
          <w:rFonts w:ascii="Times New Roman" w:hAnsi="Times New Roman" w:cs="Times New Roman"/>
          <w:noProof/>
          <w:sz w:val="24"/>
          <w:szCs w:val="24"/>
          <w:lang w:val="en-US"/>
        </w:rPr>
        <w:t>correctly</w:t>
      </w:r>
      <w:r w:rsidR="00E228EB" w:rsidRPr="007B140B">
        <w:rPr>
          <w:rFonts w:ascii="Times New Roman" w:hAnsi="Times New Roman" w:cs="Times New Roman"/>
          <w:noProof/>
          <w:sz w:val="24"/>
          <w:szCs w:val="24"/>
          <w:lang w:val="en-US"/>
        </w:rPr>
        <w:t xml:space="preserve">. </w:t>
      </w:r>
      <w:r w:rsidR="002C72B1" w:rsidRPr="007B140B">
        <w:rPr>
          <w:rFonts w:ascii="Times New Roman" w:hAnsi="Times New Roman" w:cs="Times New Roman"/>
          <w:noProof/>
          <w:sz w:val="24"/>
          <w:szCs w:val="24"/>
          <w:lang w:val="en-US"/>
        </w:rPr>
        <w:t xml:space="preserve">I am aware that this study will be </w:t>
      </w:r>
      <w:r w:rsidR="0017469A" w:rsidRPr="007B140B">
        <w:rPr>
          <w:rFonts w:ascii="Times New Roman" w:hAnsi="Times New Roman" w:cs="Times New Roman"/>
          <w:noProof/>
          <w:sz w:val="24"/>
          <w:szCs w:val="24"/>
          <w:lang w:val="en-US"/>
        </w:rPr>
        <w:t>monitored by an indepdendent monitor</w:t>
      </w:r>
      <w:r w:rsidR="002C72B1" w:rsidRPr="007B140B">
        <w:rPr>
          <w:rFonts w:ascii="Times New Roman" w:hAnsi="Times New Roman" w:cs="Times New Roman"/>
          <w:noProof/>
          <w:sz w:val="24"/>
          <w:szCs w:val="24"/>
          <w:lang w:val="en-US"/>
        </w:rPr>
        <w:t xml:space="preserve"> and possibly </w:t>
      </w:r>
      <w:r w:rsidR="00281B6D" w:rsidRPr="007B140B">
        <w:rPr>
          <w:rFonts w:ascii="Times New Roman" w:hAnsi="Times New Roman" w:cs="Times New Roman"/>
          <w:noProof/>
          <w:sz w:val="24"/>
          <w:szCs w:val="24"/>
          <w:lang w:val="en-US"/>
        </w:rPr>
        <w:t>inspec</w:t>
      </w:r>
      <w:r w:rsidR="0017469A" w:rsidRPr="007B140B">
        <w:rPr>
          <w:rFonts w:ascii="Times New Roman" w:hAnsi="Times New Roman" w:cs="Times New Roman"/>
          <w:noProof/>
          <w:sz w:val="24"/>
          <w:szCs w:val="24"/>
          <w:lang w:val="en-US"/>
        </w:rPr>
        <w:t>ted by the Swedish Medical Products Agency</w:t>
      </w:r>
      <w:r w:rsidR="003D76F9" w:rsidRPr="007B140B">
        <w:rPr>
          <w:rFonts w:ascii="Times New Roman" w:hAnsi="Times New Roman" w:cs="Times New Roman"/>
          <w:noProof/>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6E1676" w:rsidRPr="00390BA5" w14:paraId="37A50BD5" w14:textId="77777777" w:rsidTr="00C00F70">
        <w:trPr>
          <w:trHeight w:val="591"/>
        </w:trPr>
        <w:tc>
          <w:tcPr>
            <w:tcW w:w="8928" w:type="dxa"/>
            <w:tcBorders>
              <w:top w:val="nil"/>
              <w:left w:val="nil"/>
              <w:bottom w:val="single" w:sz="4" w:space="0" w:color="auto"/>
              <w:right w:val="nil"/>
            </w:tcBorders>
          </w:tcPr>
          <w:p w14:paraId="7615A698" w14:textId="77777777" w:rsidR="003A7D00" w:rsidRPr="007B140B" w:rsidRDefault="00D422B6" w:rsidP="000B5EEB">
            <w:pPr>
              <w:rPr>
                <w:rFonts w:ascii="Times New Roman" w:hAnsi="Times New Roman" w:cs="Times New Roman"/>
                <w:sz w:val="24"/>
                <w:szCs w:val="24"/>
                <w:highlight w:val="green"/>
                <w:lang w:val="en-US"/>
              </w:rPr>
            </w:pPr>
            <w:r w:rsidRPr="007B140B">
              <w:rPr>
                <w:rFonts w:ascii="Times New Roman" w:hAnsi="Times New Roman" w:cs="Times New Roman"/>
                <w:noProof/>
                <w:sz w:val="24"/>
                <w:szCs w:val="24"/>
                <w:highlight w:val="green"/>
                <w:lang w:val="en-US"/>
              </w:rPr>
              <w:br/>
            </w:r>
          </w:p>
        </w:tc>
      </w:tr>
      <w:tr w:rsidR="006E1676" w:rsidRPr="00390BA5" w14:paraId="654556A5" w14:textId="77777777" w:rsidTr="00C00F70">
        <w:trPr>
          <w:trHeight w:val="715"/>
        </w:trPr>
        <w:tc>
          <w:tcPr>
            <w:tcW w:w="8928" w:type="dxa"/>
            <w:tcBorders>
              <w:top w:val="single" w:sz="4" w:space="0" w:color="auto"/>
              <w:left w:val="nil"/>
              <w:bottom w:val="single" w:sz="4" w:space="0" w:color="auto"/>
              <w:right w:val="nil"/>
            </w:tcBorders>
          </w:tcPr>
          <w:p w14:paraId="51C3B289" w14:textId="01040524" w:rsidR="006E1676" w:rsidRPr="007B140B" w:rsidRDefault="00A47717" w:rsidP="00515145">
            <w:pPr>
              <w:rPr>
                <w:rFonts w:ascii="Times New Roman" w:hAnsi="Times New Roman" w:cs="Times New Roman"/>
                <w:sz w:val="24"/>
                <w:szCs w:val="24"/>
                <w:lang w:val="en-US"/>
              </w:rPr>
            </w:pPr>
            <w:r w:rsidRPr="007B140B">
              <w:rPr>
                <w:rFonts w:ascii="Times New Roman" w:hAnsi="Times New Roman" w:cs="Times New Roman"/>
                <w:sz w:val="24"/>
                <w:szCs w:val="24"/>
                <w:lang w:val="en-US"/>
              </w:rPr>
              <w:t>Sponsor</w:t>
            </w:r>
            <w:r w:rsidR="00523C60">
              <w:rPr>
                <w:rFonts w:ascii="Times New Roman" w:hAnsi="Times New Roman" w:cs="Times New Roman"/>
                <w:sz w:val="24"/>
                <w:szCs w:val="24"/>
                <w:lang w:val="en-US"/>
              </w:rPr>
              <w:t>’s</w:t>
            </w:r>
            <w:r w:rsidRPr="007B140B">
              <w:rPr>
                <w:rFonts w:ascii="Times New Roman" w:hAnsi="Times New Roman" w:cs="Times New Roman"/>
                <w:sz w:val="24"/>
                <w:szCs w:val="24"/>
                <w:lang w:val="en-US"/>
              </w:rPr>
              <w:t>/</w:t>
            </w:r>
            <w:r w:rsidR="000C424D" w:rsidRPr="007B140B">
              <w:rPr>
                <w:rFonts w:ascii="Times New Roman" w:hAnsi="Times New Roman" w:cs="Times New Roman"/>
                <w:sz w:val="24"/>
                <w:szCs w:val="24"/>
                <w:lang w:val="en-US"/>
              </w:rPr>
              <w:t>Coordinating Investigator’s signature                         Date</w:t>
            </w:r>
          </w:p>
          <w:p w14:paraId="5BA50889" w14:textId="425D2D27" w:rsidR="006E1676" w:rsidRPr="007B140B" w:rsidRDefault="00706534" w:rsidP="002367BA">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Peter Nordström</w:t>
            </w:r>
          </w:p>
        </w:tc>
      </w:tr>
    </w:tbl>
    <w:p w14:paraId="3019E0D8" w14:textId="077BB732" w:rsidR="006D45FA" w:rsidRPr="007B140B" w:rsidRDefault="007919D5" w:rsidP="00CA1C0A">
      <w:p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  </w:t>
      </w:r>
      <w:r w:rsidR="000C424D" w:rsidRPr="007B140B">
        <w:rPr>
          <w:rFonts w:ascii="Times New Roman" w:hAnsi="Times New Roman" w:cs="Times New Roman"/>
          <w:sz w:val="24"/>
          <w:szCs w:val="24"/>
          <w:lang w:val="en-US"/>
        </w:rPr>
        <w:t>Printed name</w:t>
      </w:r>
    </w:p>
    <w:p w14:paraId="20EA0294" w14:textId="77777777" w:rsidR="00D863BD" w:rsidRPr="007B140B" w:rsidRDefault="00D863BD" w:rsidP="00CA1C0A">
      <w:pPr>
        <w:rPr>
          <w:rFonts w:ascii="Times New Roman" w:hAnsi="Times New Roman" w:cs="Times New Roman"/>
          <w:sz w:val="24"/>
          <w:szCs w:val="24"/>
          <w:lang w:val="en-US"/>
        </w:rPr>
      </w:pPr>
      <w:r w:rsidRPr="007B140B">
        <w:rPr>
          <w:rFonts w:ascii="Times New Roman" w:hAnsi="Times New Roman" w:cs="Times New Roman"/>
          <w:sz w:val="24"/>
          <w:szCs w:val="24"/>
          <w:lang w:val="en-US"/>
        </w:rPr>
        <w:br w:type="page"/>
      </w:r>
    </w:p>
    <w:p w14:paraId="09635464" w14:textId="77777777" w:rsidR="009330D7" w:rsidRPr="007B140B" w:rsidRDefault="009330D7" w:rsidP="009330D7">
      <w:pPr>
        <w:pStyle w:val="Rubrik1"/>
        <w:rPr>
          <w:rFonts w:ascii="Times New Roman" w:hAnsi="Times New Roman" w:cs="Times New Roman"/>
          <w:lang w:val="en-US"/>
        </w:rPr>
      </w:pPr>
      <w:bookmarkStart w:id="3" w:name="_Toc99001389"/>
      <w:r w:rsidRPr="007B140B">
        <w:rPr>
          <w:rFonts w:ascii="Times New Roman" w:hAnsi="Times New Roman" w:cs="Times New Roman"/>
          <w:lang w:val="en-US"/>
        </w:rPr>
        <w:lastRenderedPageBreak/>
        <w:t>Protocol Revision History</w:t>
      </w:r>
      <w:bookmarkEnd w:id="3"/>
    </w:p>
    <w:tbl>
      <w:tblPr>
        <w:tblStyle w:val="Tabellrutnt"/>
        <w:tblW w:w="9213" w:type="dxa"/>
        <w:tblInd w:w="-147" w:type="dxa"/>
        <w:tblLook w:val="04A0" w:firstRow="1" w:lastRow="0" w:firstColumn="1" w:lastColumn="0" w:noHBand="0" w:noVBand="1"/>
      </w:tblPr>
      <w:tblGrid>
        <w:gridCol w:w="1366"/>
        <w:gridCol w:w="1016"/>
        <w:gridCol w:w="6831"/>
      </w:tblGrid>
      <w:tr w:rsidR="009330D7" w:rsidRPr="007B140B" w14:paraId="1C5FF5F7" w14:textId="77777777" w:rsidTr="00012B09">
        <w:tc>
          <w:tcPr>
            <w:tcW w:w="1366" w:type="dxa"/>
            <w:vAlign w:val="bottom"/>
          </w:tcPr>
          <w:p w14:paraId="42A92AAA" w14:textId="77777777" w:rsidR="009330D7" w:rsidRPr="007B140B" w:rsidRDefault="009330D7" w:rsidP="00E90E62">
            <w:pPr>
              <w:spacing w:after="0"/>
              <w:rPr>
                <w:rFonts w:ascii="Times New Roman" w:hAnsi="Times New Roman" w:cs="Times New Roman"/>
                <w:b/>
                <w:sz w:val="24"/>
                <w:szCs w:val="24"/>
                <w:lang w:val="en-US"/>
              </w:rPr>
            </w:pPr>
            <w:r w:rsidRPr="007B140B">
              <w:rPr>
                <w:rFonts w:ascii="Times New Roman" w:hAnsi="Times New Roman" w:cs="Times New Roman"/>
                <w:b/>
                <w:sz w:val="24"/>
                <w:szCs w:val="24"/>
                <w:lang w:val="en-US"/>
              </w:rPr>
              <w:t>Date</w:t>
            </w:r>
          </w:p>
        </w:tc>
        <w:tc>
          <w:tcPr>
            <w:tcW w:w="1016" w:type="dxa"/>
            <w:vAlign w:val="bottom"/>
          </w:tcPr>
          <w:p w14:paraId="6ED68748" w14:textId="77777777" w:rsidR="009330D7" w:rsidRPr="007B140B" w:rsidRDefault="009330D7" w:rsidP="00E90E62">
            <w:pPr>
              <w:spacing w:after="0"/>
              <w:rPr>
                <w:rFonts w:ascii="Times New Roman" w:hAnsi="Times New Roman" w:cs="Times New Roman"/>
                <w:b/>
                <w:sz w:val="24"/>
                <w:szCs w:val="24"/>
                <w:lang w:val="en-US"/>
              </w:rPr>
            </w:pPr>
            <w:r w:rsidRPr="007B140B">
              <w:rPr>
                <w:rFonts w:ascii="Times New Roman" w:hAnsi="Times New Roman" w:cs="Times New Roman"/>
                <w:b/>
                <w:sz w:val="24"/>
                <w:szCs w:val="24"/>
                <w:lang w:val="en-US"/>
              </w:rPr>
              <w:t>Version</w:t>
            </w:r>
          </w:p>
        </w:tc>
        <w:tc>
          <w:tcPr>
            <w:tcW w:w="6827" w:type="dxa"/>
            <w:vAlign w:val="bottom"/>
          </w:tcPr>
          <w:p w14:paraId="3710D8F5" w14:textId="77777777" w:rsidR="009330D7" w:rsidRPr="007B140B" w:rsidRDefault="009330D7" w:rsidP="00E90E62">
            <w:pPr>
              <w:spacing w:after="0"/>
              <w:rPr>
                <w:rFonts w:ascii="Times New Roman" w:hAnsi="Times New Roman" w:cs="Times New Roman"/>
                <w:b/>
                <w:sz w:val="24"/>
                <w:szCs w:val="24"/>
                <w:lang w:val="en-US"/>
              </w:rPr>
            </w:pPr>
            <w:r w:rsidRPr="007B140B">
              <w:rPr>
                <w:rFonts w:ascii="Times New Roman" w:hAnsi="Times New Roman" w:cs="Times New Roman"/>
                <w:b/>
                <w:sz w:val="24"/>
                <w:szCs w:val="24"/>
                <w:lang w:val="en-US"/>
              </w:rPr>
              <w:t>Main revisions</w:t>
            </w:r>
          </w:p>
        </w:tc>
      </w:tr>
      <w:tr w:rsidR="00E90E62" w:rsidRPr="007B140B" w14:paraId="5EC95DCC" w14:textId="77777777" w:rsidTr="00012B09">
        <w:tc>
          <w:tcPr>
            <w:tcW w:w="1366" w:type="dxa"/>
            <w:vAlign w:val="bottom"/>
          </w:tcPr>
          <w:p w14:paraId="6392ACED" w14:textId="77777777" w:rsidR="00E90E62" w:rsidRPr="007B140B" w:rsidRDefault="00E90E62" w:rsidP="00E90E62">
            <w:pPr>
              <w:spacing w:after="0"/>
              <w:rPr>
                <w:rFonts w:ascii="Times New Roman" w:hAnsi="Times New Roman" w:cs="Times New Roman"/>
                <w:b/>
                <w:sz w:val="24"/>
                <w:szCs w:val="24"/>
                <w:lang w:val="en-US"/>
              </w:rPr>
            </w:pPr>
          </w:p>
        </w:tc>
        <w:tc>
          <w:tcPr>
            <w:tcW w:w="1016" w:type="dxa"/>
            <w:vAlign w:val="bottom"/>
          </w:tcPr>
          <w:p w14:paraId="0D00DBAA" w14:textId="77777777" w:rsidR="00E90E62" w:rsidRPr="007B140B" w:rsidRDefault="00E90E62" w:rsidP="00E90E62">
            <w:pPr>
              <w:spacing w:after="0"/>
              <w:rPr>
                <w:rFonts w:ascii="Times New Roman" w:hAnsi="Times New Roman" w:cs="Times New Roman"/>
                <w:b/>
                <w:sz w:val="24"/>
                <w:szCs w:val="24"/>
                <w:lang w:val="en-US"/>
              </w:rPr>
            </w:pPr>
          </w:p>
        </w:tc>
        <w:tc>
          <w:tcPr>
            <w:tcW w:w="6827" w:type="dxa"/>
            <w:vAlign w:val="bottom"/>
          </w:tcPr>
          <w:p w14:paraId="74F7BAE2" w14:textId="77777777" w:rsidR="00E90E62" w:rsidRPr="007B140B" w:rsidRDefault="00E90E62" w:rsidP="00E90E62">
            <w:pPr>
              <w:spacing w:after="0"/>
              <w:rPr>
                <w:rFonts w:ascii="Times New Roman" w:hAnsi="Times New Roman" w:cs="Times New Roman"/>
                <w:b/>
                <w:sz w:val="24"/>
                <w:szCs w:val="24"/>
                <w:lang w:val="en-US"/>
              </w:rPr>
            </w:pPr>
          </w:p>
        </w:tc>
      </w:tr>
      <w:tr w:rsidR="009330D7" w:rsidRPr="007B140B" w14:paraId="2EF66E0E" w14:textId="77777777" w:rsidTr="00012B09">
        <w:trPr>
          <w:trHeight w:val="58"/>
        </w:trPr>
        <w:tc>
          <w:tcPr>
            <w:tcW w:w="1366" w:type="dxa"/>
            <w:shd w:val="clear" w:color="auto" w:fill="auto"/>
          </w:tcPr>
          <w:p w14:paraId="286BB8BC" w14:textId="7A12746F" w:rsidR="009330D7" w:rsidRPr="00012B09" w:rsidRDefault="00537E36" w:rsidP="00E90E62">
            <w:pPr>
              <w:rPr>
                <w:rFonts w:ascii="Times New Roman" w:hAnsi="Times New Roman" w:cs="Times New Roman"/>
                <w:lang w:val="en-US"/>
              </w:rPr>
            </w:pPr>
            <w:r w:rsidRPr="00012B09">
              <w:rPr>
                <w:rFonts w:ascii="Times New Roman" w:hAnsi="Times New Roman" w:cs="Times New Roman"/>
                <w:lang w:val="en-US"/>
              </w:rPr>
              <w:t>2020-04-2</w:t>
            </w:r>
            <w:r w:rsidR="008E7906" w:rsidRPr="00012B09">
              <w:rPr>
                <w:rFonts w:ascii="Times New Roman" w:hAnsi="Times New Roman" w:cs="Times New Roman"/>
                <w:lang w:val="en-US"/>
              </w:rPr>
              <w:t>8</w:t>
            </w:r>
          </w:p>
        </w:tc>
        <w:tc>
          <w:tcPr>
            <w:tcW w:w="1016" w:type="dxa"/>
          </w:tcPr>
          <w:p w14:paraId="479ABA05" w14:textId="77777777" w:rsidR="009330D7" w:rsidRPr="00012B09" w:rsidRDefault="009330D7" w:rsidP="00E90E62">
            <w:pPr>
              <w:rPr>
                <w:rFonts w:ascii="Times New Roman" w:hAnsi="Times New Roman" w:cs="Times New Roman"/>
                <w:lang w:val="en-US"/>
              </w:rPr>
            </w:pPr>
            <w:r w:rsidRPr="00012B09">
              <w:rPr>
                <w:rFonts w:ascii="Times New Roman" w:hAnsi="Times New Roman" w:cs="Times New Roman"/>
                <w:lang w:val="en-US"/>
              </w:rPr>
              <w:t>1</w:t>
            </w:r>
          </w:p>
        </w:tc>
        <w:tc>
          <w:tcPr>
            <w:tcW w:w="6827" w:type="dxa"/>
          </w:tcPr>
          <w:p w14:paraId="15DF34BA" w14:textId="77777777" w:rsidR="009330D7" w:rsidRPr="00012B09" w:rsidRDefault="009330D7" w:rsidP="00E90E62">
            <w:pPr>
              <w:rPr>
                <w:rFonts w:ascii="Times New Roman" w:hAnsi="Times New Roman" w:cs="Times New Roman"/>
                <w:lang w:val="en-US"/>
              </w:rPr>
            </w:pPr>
          </w:p>
        </w:tc>
      </w:tr>
      <w:tr w:rsidR="009330D7" w:rsidRPr="00390BA5" w14:paraId="0D8C5F38" w14:textId="77777777" w:rsidTr="00012B09">
        <w:trPr>
          <w:trHeight w:val="1065"/>
        </w:trPr>
        <w:tc>
          <w:tcPr>
            <w:tcW w:w="1366" w:type="dxa"/>
          </w:tcPr>
          <w:p w14:paraId="3EE8E88D" w14:textId="0F1C520F" w:rsidR="009330D7" w:rsidRPr="00012B09" w:rsidRDefault="007B7214" w:rsidP="00E90E62">
            <w:pPr>
              <w:rPr>
                <w:rFonts w:ascii="Times New Roman" w:hAnsi="Times New Roman" w:cs="Times New Roman"/>
                <w:lang w:val="en-US"/>
              </w:rPr>
            </w:pPr>
            <w:r w:rsidRPr="00012B09">
              <w:rPr>
                <w:rFonts w:ascii="Times New Roman" w:hAnsi="Times New Roman" w:cs="Times New Roman"/>
                <w:lang w:val="en-US"/>
              </w:rPr>
              <w:t>2020-10-</w:t>
            </w:r>
            <w:r w:rsidR="00AD3F61" w:rsidRPr="00012B09">
              <w:rPr>
                <w:rFonts w:ascii="Times New Roman" w:hAnsi="Times New Roman" w:cs="Times New Roman"/>
                <w:lang w:val="en-US"/>
              </w:rPr>
              <w:t>04</w:t>
            </w:r>
          </w:p>
        </w:tc>
        <w:tc>
          <w:tcPr>
            <w:tcW w:w="1016" w:type="dxa"/>
          </w:tcPr>
          <w:p w14:paraId="082E3E6B" w14:textId="5AFA5490" w:rsidR="009330D7" w:rsidRPr="00012B09" w:rsidRDefault="003365A9" w:rsidP="00E90E62">
            <w:pPr>
              <w:rPr>
                <w:rFonts w:ascii="Times New Roman" w:hAnsi="Times New Roman" w:cs="Times New Roman"/>
                <w:lang w:val="en-US"/>
              </w:rPr>
            </w:pPr>
            <w:r w:rsidRPr="00012B09">
              <w:rPr>
                <w:rFonts w:ascii="Times New Roman" w:hAnsi="Times New Roman" w:cs="Times New Roman"/>
                <w:lang w:val="en-US"/>
              </w:rPr>
              <w:t>2</w:t>
            </w:r>
          </w:p>
        </w:tc>
        <w:tc>
          <w:tcPr>
            <w:tcW w:w="6827" w:type="dxa"/>
          </w:tcPr>
          <w:p w14:paraId="141E8AB5" w14:textId="0CB2F917" w:rsidR="00BD059F" w:rsidRPr="00012B09" w:rsidRDefault="003A3D27" w:rsidP="00E90E62">
            <w:pPr>
              <w:spacing w:after="0" w:line="240" w:lineRule="auto"/>
              <w:rPr>
                <w:rFonts w:ascii="Times New Roman" w:hAnsi="Times New Roman" w:cs="Times New Roman"/>
                <w:lang w:val="en-US"/>
              </w:rPr>
            </w:pPr>
            <w:r w:rsidRPr="00012B09">
              <w:rPr>
                <w:rFonts w:ascii="Times New Roman" w:hAnsi="Times New Roman" w:cs="Times New Roman"/>
                <w:b/>
                <w:lang w:val="en-US"/>
              </w:rPr>
              <w:t xml:space="preserve">Sections 7.3 and </w:t>
            </w:r>
            <w:r w:rsidR="004D6FCA" w:rsidRPr="00012B09">
              <w:rPr>
                <w:rFonts w:ascii="Times New Roman" w:hAnsi="Times New Roman" w:cs="Times New Roman"/>
                <w:b/>
                <w:lang w:val="en-US"/>
              </w:rPr>
              <w:t>9:</w:t>
            </w:r>
            <w:r w:rsidR="004D6FCA" w:rsidRPr="00012B09">
              <w:rPr>
                <w:rFonts w:ascii="Times New Roman" w:hAnsi="Times New Roman" w:cs="Times New Roman"/>
                <w:lang w:val="en-US"/>
              </w:rPr>
              <w:t xml:space="preserve"> </w:t>
            </w:r>
            <w:r w:rsidR="00867C5B" w:rsidRPr="00012B09">
              <w:rPr>
                <w:rFonts w:ascii="Times New Roman" w:hAnsi="Times New Roman" w:cs="Times New Roman"/>
                <w:lang w:val="en-US"/>
              </w:rPr>
              <w:t>D</w:t>
            </w:r>
            <w:r w:rsidR="003365A9" w:rsidRPr="00012B09">
              <w:rPr>
                <w:rFonts w:ascii="Times New Roman" w:hAnsi="Times New Roman" w:cs="Times New Roman"/>
                <w:lang w:val="en-US"/>
              </w:rPr>
              <w:t xml:space="preserve">ata on physical activity and hand grip strength </w:t>
            </w:r>
            <w:r w:rsidR="00BB09F9" w:rsidRPr="00012B09">
              <w:rPr>
                <w:rFonts w:ascii="Times New Roman" w:hAnsi="Times New Roman" w:cs="Times New Roman"/>
                <w:lang w:val="en-US"/>
              </w:rPr>
              <w:t>will</w:t>
            </w:r>
            <w:r w:rsidR="003365A9" w:rsidRPr="00012B09">
              <w:rPr>
                <w:rFonts w:ascii="Times New Roman" w:hAnsi="Times New Roman" w:cs="Times New Roman"/>
                <w:lang w:val="en-US"/>
              </w:rPr>
              <w:t xml:space="preserve"> be collected at all </w:t>
            </w:r>
            <w:r w:rsidRPr="00012B09">
              <w:rPr>
                <w:rFonts w:ascii="Times New Roman" w:hAnsi="Times New Roman" w:cs="Times New Roman"/>
                <w:lang w:val="en-US"/>
              </w:rPr>
              <w:t xml:space="preserve">study </w:t>
            </w:r>
            <w:r w:rsidR="003365A9" w:rsidRPr="00012B09">
              <w:rPr>
                <w:rFonts w:ascii="Times New Roman" w:hAnsi="Times New Roman" w:cs="Times New Roman"/>
                <w:lang w:val="en-US"/>
              </w:rPr>
              <w:t>centers</w:t>
            </w:r>
            <w:r w:rsidR="00BB09F9" w:rsidRPr="00012B09">
              <w:rPr>
                <w:rFonts w:ascii="Times New Roman" w:hAnsi="Times New Roman" w:cs="Times New Roman"/>
                <w:lang w:val="en-US"/>
              </w:rPr>
              <w:t>, not just</w:t>
            </w:r>
            <w:r w:rsidR="00207B28" w:rsidRPr="00012B09">
              <w:rPr>
                <w:rFonts w:ascii="Times New Roman" w:hAnsi="Times New Roman" w:cs="Times New Roman"/>
                <w:lang w:val="en-US"/>
              </w:rPr>
              <w:t xml:space="preserve"> </w:t>
            </w:r>
            <w:r w:rsidR="00B50F23" w:rsidRPr="00012B09">
              <w:rPr>
                <w:rFonts w:ascii="Times New Roman" w:hAnsi="Times New Roman" w:cs="Times New Roman"/>
                <w:lang w:val="en-US"/>
              </w:rPr>
              <w:t>at</w:t>
            </w:r>
            <w:r w:rsidR="00BB09F9" w:rsidRPr="00012B09">
              <w:rPr>
                <w:rFonts w:ascii="Times New Roman" w:hAnsi="Times New Roman" w:cs="Times New Roman"/>
                <w:lang w:val="en-US"/>
              </w:rPr>
              <w:t xml:space="preserve"> those </w:t>
            </w:r>
            <w:r w:rsidR="00C4171C" w:rsidRPr="00012B09">
              <w:rPr>
                <w:rFonts w:ascii="Times New Roman" w:hAnsi="Times New Roman" w:cs="Times New Roman"/>
                <w:lang w:val="en-US"/>
              </w:rPr>
              <w:t>that</w:t>
            </w:r>
            <w:r w:rsidR="00513E1B" w:rsidRPr="00012B09">
              <w:rPr>
                <w:rFonts w:ascii="Times New Roman" w:hAnsi="Times New Roman" w:cs="Times New Roman"/>
                <w:lang w:val="en-US"/>
              </w:rPr>
              <w:t xml:space="preserve"> currently have</w:t>
            </w:r>
            <w:r w:rsidR="00B50F23" w:rsidRPr="00012B09">
              <w:rPr>
                <w:rFonts w:ascii="Times New Roman" w:hAnsi="Times New Roman" w:cs="Times New Roman"/>
                <w:lang w:val="en-US"/>
              </w:rPr>
              <w:t xml:space="preserve"> </w:t>
            </w:r>
            <w:r w:rsidR="00207B28" w:rsidRPr="00012B09">
              <w:rPr>
                <w:rFonts w:ascii="Times New Roman" w:hAnsi="Times New Roman" w:cs="Times New Roman"/>
                <w:lang w:val="en-US"/>
              </w:rPr>
              <w:t xml:space="preserve">access to </w:t>
            </w:r>
            <w:r w:rsidR="00B50F23" w:rsidRPr="00012B09">
              <w:rPr>
                <w:rFonts w:ascii="Times New Roman" w:hAnsi="Times New Roman" w:cs="Times New Roman"/>
                <w:lang w:val="en-US"/>
              </w:rPr>
              <w:t xml:space="preserve">the </w:t>
            </w:r>
            <w:r w:rsidR="00207B28" w:rsidRPr="00012B09">
              <w:rPr>
                <w:rFonts w:ascii="Times New Roman" w:hAnsi="Times New Roman" w:cs="Times New Roman"/>
                <w:lang w:val="en-US"/>
              </w:rPr>
              <w:t xml:space="preserve">necessary </w:t>
            </w:r>
            <w:r w:rsidR="00BB09F9" w:rsidRPr="00012B09">
              <w:rPr>
                <w:rFonts w:ascii="Times New Roman" w:hAnsi="Times New Roman" w:cs="Times New Roman"/>
                <w:lang w:val="en-US"/>
              </w:rPr>
              <w:t>equipment</w:t>
            </w:r>
            <w:r w:rsidR="003365A9" w:rsidRPr="00012B09">
              <w:rPr>
                <w:rFonts w:ascii="Times New Roman" w:hAnsi="Times New Roman" w:cs="Times New Roman"/>
                <w:lang w:val="en-US"/>
              </w:rPr>
              <w:t>.</w:t>
            </w:r>
          </w:p>
          <w:p w14:paraId="717A8288" w14:textId="5582C458" w:rsidR="00BD059F" w:rsidRPr="00012B09" w:rsidRDefault="00BD059F" w:rsidP="00E90E62">
            <w:pPr>
              <w:spacing w:after="0" w:line="240" w:lineRule="auto"/>
              <w:rPr>
                <w:rFonts w:ascii="Times New Roman" w:hAnsi="Times New Roman" w:cs="Times New Roman"/>
                <w:lang w:val="en-US"/>
              </w:rPr>
            </w:pPr>
            <w:r w:rsidRPr="00012B09">
              <w:rPr>
                <w:rFonts w:ascii="Times New Roman" w:hAnsi="Times New Roman" w:cs="Times New Roman"/>
                <w:b/>
                <w:lang w:val="en-US"/>
              </w:rPr>
              <w:t>Sections 3.3, 7.3, 9</w:t>
            </w:r>
            <w:r w:rsidR="00F21ADB" w:rsidRPr="00012B09">
              <w:rPr>
                <w:rFonts w:ascii="Times New Roman" w:hAnsi="Times New Roman" w:cs="Times New Roman"/>
                <w:b/>
                <w:lang w:val="en-US"/>
              </w:rPr>
              <w:t xml:space="preserve">, </w:t>
            </w:r>
            <w:r w:rsidR="00122E92" w:rsidRPr="00012B09">
              <w:rPr>
                <w:rFonts w:ascii="Times New Roman" w:hAnsi="Times New Roman" w:cs="Times New Roman"/>
                <w:b/>
                <w:lang w:val="en-US"/>
              </w:rPr>
              <w:t xml:space="preserve">and </w:t>
            </w:r>
            <w:r w:rsidR="00F21ADB" w:rsidRPr="00012B09">
              <w:rPr>
                <w:rFonts w:ascii="Times New Roman" w:hAnsi="Times New Roman" w:cs="Times New Roman"/>
                <w:b/>
                <w:lang w:val="en-US"/>
              </w:rPr>
              <w:t>13.6:</w:t>
            </w:r>
            <w:r w:rsidR="00F21ADB" w:rsidRPr="00012B09">
              <w:rPr>
                <w:rFonts w:ascii="Times New Roman" w:hAnsi="Times New Roman" w:cs="Times New Roman"/>
                <w:lang w:val="en-US"/>
              </w:rPr>
              <w:t xml:space="preserve"> Health-related quality of life outcomes have been added.</w:t>
            </w:r>
          </w:p>
          <w:p w14:paraId="14B33E09" w14:textId="262E4E7D" w:rsidR="00765900" w:rsidRPr="00012B09" w:rsidRDefault="00765900" w:rsidP="00E90E62">
            <w:pPr>
              <w:spacing w:after="0" w:line="240" w:lineRule="auto"/>
              <w:rPr>
                <w:rFonts w:ascii="Times New Roman" w:hAnsi="Times New Roman" w:cs="Times New Roman"/>
                <w:lang w:val="en-US"/>
              </w:rPr>
            </w:pPr>
            <w:r w:rsidRPr="00012B09">
              <w:rPr>
                <w:rFonts w:ascii="Times New Roman" w:hAnsi="Times New Roman" w:cs="Times New Roman"/>
                <w:b/>
                <w:lang w:val="en-US"/>
              </w:rPr>
              <w:t xml:space="preserve">Section 3.3: </w:t>
            </w:r>
            <w:r w:rsidRPr="00012B09">
              <w:rPr>
                <w:rFonts w:ascii="Times New Roman" w:hAnsi="Times New Roman" w:cs="Times New Roman"/>
                <w:lang w:val="en-US"/>
              </w:rPr>
              <w:t>The exploratory objective of comparing the effects of one versus two infusions has removed, as such an analysis may be biased when it is based on a comparison of more and less adherent participants.</w:t>
            </w:r>
          </w:p>
          <w:p w14:paraId="5985D658" w14:textId="1CB6E3EC" w:rsidR="002B772E" w:rsidRPr="00012B09" w:rsidRDefault="002B772E" w:rsidP="00E90E62">
            <w:pPr>
              <w:spacing w:after="0" w:line="240" w:lineRule="auto"/>
              <w:rPr>
                <w:rFonts w:ascii="Times New Roman" w:hAnsi="Times New Roman" w:cs="Times New Roman"/>
                <w:lang w:val="en-US"/>
              </w:rPr>
            </w:pPr>
            <w:r w:rsidRPr="00012B09">
              <w:rPr>
                <w:rFonts w:ascii="Times New Roman" w:hAnsi="Times New Roman" w:cs="Times New Roman"/>
                <w:b/>
                <w:lang w:val="en-US"/>
              </w:rPr>
              <w:t>Section 3.3:</w:t>
            </w:r>
            <w:r w:rsidRPr="00012B09">
              <w:rPr>
                <w:rFonts w:ascii="Times New Roman" w:hAnsi="Times New Roman" w:cs="Times New Roman"/>
                <w:lang w:val="en-US"/>
              </w:rPr>
              <w:t xml:space="preserve"> An exploratory objective has been added to investigate </w:t>
            </w:r>
            <w:r w:rsidR="003F048E" w:rsidRPr="00012B09">
              <w:rPr>
                <w:rFonts w:ascii="Times New Roman" w:hAnsi="Times New Roman" w:cs="Times New Roman"/>
                <w:lang w:val="en-US"/>
              </w:rPr>
              <w:t>a possible</w:t>
            </w:r>
            <w:r w:rsidRPr="00012B09">
              <w:rPr>
                <w:rFonts w:ascii="Times New Roman" w:hAnsi="Times New Roman" w:cs="Times New Roman"/>
                <w:lang w:val="en-US"/>
              </w:rPr>
              <w:t xml:space="preserve"> interaction effect between zoledronic acid and FRAX score.</w:t>
            </w:r>
          </w:p>
          <w:p w14:paraId="221233C9" w14:textId="22E81D86" w:rsidR="00F70631" w:rsidRPr="00012B09" w:rsidRDefault="004D048A" w:rsidP="00E90E62">
            <w:pPr>
              <w:spacing w:after="0" w:line="240" w:lineRule="auto"/>
              <w:rPr>
                <w:rFonts w:ascii="Times New Roman" w:hAnsi="Times New Roman" w:cs="Times New Roman"/>
                <w:lang w:val="en-US"/>
              </w:rPr>
            </w:pPr>
            <w:r w:rsidRPr="00012B09">
              <w:rPr>
                <w:rFonts w:ascii="Times New Roman" w:hAnsi="Times New Roman" w:cs="Times New Roman"/>
                <w:b/>
                <w:lang w:val="en-US"/>
              </w:rPr>
              <w:t>Section</w:t>
            </w:r>
            <w:r w:rsidR="005D4F0D" w:rsidRPr="00012B09">
              <w:rPr>
                <w:rFonts w:ascii="Times New Roman" w:hAnsi="Times New Roman" w:cs="Times New Roman"/>
                <w:b/>
                <w:lang w:val="en-US"/>
              </w:rPr>
              <w:t>s</w:t>
            </w:r>
            <w:r w:rsidRPr="00012B09">
              <w:rPr>
                <w:rFonts w:ascii="Times New Roman" w:hAnsi="Times New Roman" w:cs="Times New Roman"/>
                <w:b/>
                <w:lang w:val="en-US"/>
              </w:rPr>
              <w:t xml:space="preserve"> </w:t>
            </w:r>
            <w:r w:rsidR="002573E2" w:rsidRPr="00012B09">
              <w:rPr>
                <w:rFonts w:ascii="Times New Roman" w:hAnsi="Times New Roman" w:cs="Times New Roman"/>
                <w:b/>
                <w:lang w:val="en-US"/>
              </w:rPr>
              <w:t>7.1-</w:t>
            </w:r>
            <w:r w:rsidR="00E7370D" w:rsidRPr="00012B09">
              <w:rPr>
                <w:rFonts w:ascii="Times New Roman" w:hAnsi="Times New Roman" w:cs="Times New Roman"/>
                <w:b/>
                <w:lang w:val="en-US"/>
              </w:rPr>
              <w:t>7.2:</w:t>
            </w:r>
            <w:r w:rsidR="00E7370D" w:rsidRPr="00012B09">
              <w:rPr>
                <w:rFonts w:ascii="Times New Roman" w:hAnsi="Times New Roman" w:cs="Times New Roman"/>
                <w:lang w:val="en-US"/>
              </w:rPr>
              <w:t xml:space="preserve"> Non-vertebral fracture has been </w:t>
            </w:r>
            <w:r w:rsidR="00394BAD" w:rsidRPr="00012B09">
              <w:rPr>
                <w:rFonts w:ascii="Times New Roman" w:hAnsi="Times New Roman" w:cs="Times New Roman"/>
                <w:lang w:val="en-US"/>
              </w:rPr>
              <w:t>added</w:t>
            </w:r>
            <w:r w:rsidR="00E7370D" w:rsidRPr="00012B09">
              <w:rPr>
                <w:rFonts w:ascii="Times New Roman" w:hAnsi="Times New Roman" w:cs="Times New Roman"/>
                <w:lang w:val="en-US"/>
              </w:rPr>
              <w:t xml:space="preserve"> as a secondary outcome.</w:t>
            </w:r>
            <w:r w:rsidR="002573E2" w:rsidRPr="00012B09">
              <w:rPr>
                <w:rFonts w:ascii="Times New Roman" w:hAnsi="Times New Roman" w:cs="Times New Roman"/>
                <w:lang w:val="en-US"/>
              </w:rPr>
              <w:t xml:space="preserve"> The outcome of fall without fracture has been </w:t>
            </w:r>
            <w:r w:rsidR="005D4F0D" w:rsidRPr="00012B09">
              <w:rPr>
                <w:rFonts w:ascii="Times New Roman" w:hAnsi="Times New Roman" w:cs="Times New Roman"/>
                <w:lang w:val="en-US"/>
              </w:rPr>
              <w:t>redefined</w:t>
            </w:r>
            <w:r w:rsidR="002573E2" w:rsidRPr="00012B09">
              <w:rPr>
                <w:rFonts w:ascii="Times New Roman" w:hAnsi="Times New Roman" w:cs="Times New Roman"/>
                <w:lang w:val="en-US"/>
              </w:rPr>
              <w:t xml:space="preserve"> to include only falls from standing height or less. </w:t>
            </w:r>
            <w:r w:rsidR="00206432" w:rsidRPr="00012B09">
              <w:rPr>
                <w:rFonts w:ascii="Times New Roman" w:hAnsi="Times New Roman" w:cs="Times New Roman"/>
                <w:lang w:val="en-US"/>
              </w:rPr>
              <w:t>International Classification of Diseases (</w:t>
            </w:r>
            <w:r w:rsidR="00731264" w:rsidRPr="00012B09">
              <w:rPr>
                <w:rFonts w:ascii="Times New Roman" w:hAnsi="Times New Roman" w:cs="Times New Roman"/>
                <w:lang w:val="en-US"/>
              </w:rPr>
              <w:t>ICD</w:t>
            </w:r>
            <w:r w:rsidR="00206432" w:rsidRPr="00012B09">
              <w:rPr>
                <w:rFonts w:ascii="Times New Roman" w:hAnsi="Times New Roman" w:cs="Times New Roman"/>
                <w:lang w:val="en-US"/>
              </w:rPr>
              <w:t>)</w:t>
            </w:r>
            <w:r w:rsidR="00F70631" w:rsidRPr="00012B09">
              <w:rPr>
                <w:rFonts w:ascii="Times New Roman" w:hAnsi="Times New Roman" w:cs="Times New Roman"/>
                <w:lang w:val="en-US"/>
              </w:rPr>
              <w:t xml:space="preserve"> codes have been included for </w:t>
            </w:r>
            <w:r w:rsidR="005D4F0D" w:rsidRPr="00012B09">
              <w:rPr>
                <w:rFonts w:ascii="Times New Roman" w:hAnsi="Times New Roman" w:cs="Times New Roman"/>
                <w:lang w:val="en-US"/>
              </w:rPr>
              <w:t>all</w:t>
            </w:r>
            <w:r w:rsidR="00F70631" w:rsidRPr="00012B09">
              <w:rPr>
                <w:rFonts w:ascii="Times New Roman" w:hAnsi="Times New Roman" w:cs="Times New Roman"/>
                <w:lang w:val="en-US"/>
              </w:rPr>
              <w:t xml:space="preserve"> primary and secondary outcomes.</w:t>
            </w:r>
            <w:r w:rsidR="00343FB8" w:rsidRPr="00012B09">
              <w:rPr>
                <w:rFonts w:ascii="Times New Roman" w:hAnsi="Times New Roman" w:cs="Times New Roman"/>
                <w:lang w:val="en-US"/>
              </w:rPr>
              <w:t xml:space="preserve"> </w:t>
            </w:r>
          </w:p>
          <w:p w14:paraId="3DC66BB0" w14:textId="13D937E0" w:rsidR="00886854" w:rsidRPr="00012B09" w:rsidRDefault="00886854" w:rsidP="00E90E62">
            <w:pPr>
              <w:spacing w:after="0" w:line="240" w:lineRule="auto"/>
              <w:rPr>
                <w:rFonts w:ascii="Times New Roman" w:hAnsi="Times New Roman" w:cs="Times New Roman"/>
                <w:lang w:val="en-US"/>
              </w:rPr>
            </w:pPr>
            <w:r w:rsidRPr="00012B09">
              <w:rPr>
                <w:rFonts w:ascii="Times New Roman" w:hAnsi="Times New Roman" w:cs="Times New Roman"/>
                <w:b/>
                <w:lang w:val="en-US"/>
              </w:rPr>
              <w:t>Section</w:t>
            </w:r>
            <w:r w:rsidR="00343FB8" w:rsidRPr="00012B09">
              <w:rPr>
                <w:rFonts w:ascii="Times New Roman" w:hAnsi="Times New Roman" w:cs="Times New Roman"/>
                <w:b/>
                <w:lang w:val="en-US"/>
              </w:rPr>
              <w:t>s</w:t>
            </w:r>
            <w:r w:rsidRPr="00012B09">
              <w:rPr>
                <w:rFonts w:ascii="Times New Roman" w:hAnsi="Times New Roman" w:cs="Times New Roman"/>
                <w:b/>
                <w:lang w:val="en-US"/>
              </w:rPr>
              <w:t xml:space="preserve"> 5.1</w:t>
            </w:r>
            <w:r w:rsidR="00343FB8" w:rsidRPr="00012B09">
              <w:rPr>
                <w:rFonts w:ascii="Times New Roman" w:hAnsi="Times New Roman" w:cs="Times New Roman"/>
                <w:b/>
                <w:lang w:val="en-US"/>
              </w:rPr>
              <w:t xml:space="preserve"> and 13.2</w:t>
            </w:r>
            <w:r w:rsidRPr="00012B09">
              <w:rPr>
                <w:rFonts w:ascii="Times New Roman" w:hAnsi="Times New Roman" w:cs="Times New Roman"/>
                <w:b/>
                <w:lang w:val="en-US"/>
              </w:rPr>
              <w:t>:</w:t>
            </w:r>
            <w:r w:rsidRPr="00012B09">
              <w:rPr>
                <w:rFonts w:ascii="Times New Roman" w:hAnsi="Times New Roman" w:cs="Times New Roman"/>
                <w:lang w:val="en-US"/>
              </w:rPr>
              <w:t xml:space="preserve"> </w:t>
            </w:r>
            <w:r w:rsidR="00774A28" w:rsidRPr="00012B09">
              <w:rPr>
                <w:rFonts w:ascii="Times New Roman" w:hAnsi="Times New Roman" w:cs="Times New Roman"/>
                <w:lang w:val="en-US"/>
              </w:rPr>
              <w:t>The definition of f</w:t>
            </w:r>
            <w:r w:rsidR="003B0982" w:rsidRPr="00012B09">
              <w:rPr>
                <w:rFonts w:ascii="Times New Roman" w:hAnsi="Times New Roman" w:cs="Times New Roman"/>
                <w:lang w:val="en-US"/>
              </w:rPr>
              <w:t>all</w:t>
            </w:r>
            <w:r w:rsidR="003442C6" w:rsidRPr="00012B09">
              <w:rPr>
                <w:rFonts w:ascii="Times New Roman" w:hAnsi="Times New Roman" w:cs="Times New Roman"/>
                <w:lang w:val="en-US"/>
              </w:rPr>
              <w:t xml:space="preserve"> from standing height or less</w:t>
            </w:r>
            <w:r w:rsidR="00774A28" w:rsidRPr="00012B09">
              <w:rPr>
                <w:rFonts w:ascii="Times New Roman" w:hAnsi="Times New Roman" w:cs="Times New Roman"/>
                <w:lang w:val="en-US"/>
              </w:rPr>
              <w:t xml:space="preserve"> has been specified with </w:t>
            </w:r>
            <w:r w:rsidR="00731264" w:rsidRPr="00012B09">
              <w:rPr>
                <w:rFonts w:ascii="Times New Roman" w:hAnsi="Times New Roman" w:cs="Times New Roman"/>
                <w:lang w:val="en-US"/>
              </w:rPr>
              <w:t>ICD-10</w:t>
            </w:r>
            <w:r w:rsidR="00774A28" w:rsidRPr="00012B09">
              <w:rPr>
                <w:rFonts w:ascii="Times New Roman" w:hAnsi="Times New Roman" w:cs="Times New Roman"/>
                <w:lang w:val="en-US"/>
              </w:rPr>
              <w:t xml:space="preserve"> codes</w:t>
            </w:r>
            <w:r w:rsidR="003442C6" w:rsidRPr="00012B09">
              <w:rPr>
                <w:rFonts w:ascii="Times New Roman" w:hAnsi="Times New Roman" w:cs="Times New Roman"/>
                <w:lang w:val="en-US"/>
              </w:rPr>
              <w:t xml:space="preserve">. </w:t>
            </w:r>
            <w:r w:rsidRPr="00012B09">
              <w:rPr>
                <w:rFonts w:ascii="Times New Roman" w:hAnsi="Times New Roman" w:cs="Times New Roman"/>
                <w:lang w:val="en-US"/>
              </w:rPr>
              <w:t xml:space="preserve">Falls on stairs or steps have been excluded from </w:t>
            </w:r>
            <w:r w:rsidR="00774A28" w:rsidRPr="00012B09">
              <w:rPr>
                <w:rFonts w:ascii="Times New Roman" w:hAnsi="Times New Roman" w:cs="Times New Roman"/>
                <w:lang w:val="en-US"/>
              </w:rPr>
              <w:t>the</w:t>
            </w:r>
            <w:r w:rsidRPr="00012B09">
              <w:rPr>
                <w:rFonts w:ascii="Times New Roman" w:hAnsi="Times New Roman" w:cs="Times New Roman"/>
                <w:lang w:val="en-US"/>
              </w:rPr>
              <w:t xml:space="preserve"> definition</w:t>
            </w:r>
            <w:r w:rsidR="00774A28" w:rsidRPr="00012B09">
              <w:rPr>
                <w:rFonts w:ascii="Times New Roman" w:hAnsi="Times New Roman" w:cs="Times New Roman"/>
                <w:lang w:val="en-US"/>
              </w:rPr>
              <w:t>.</w:t>
            </w:r>
          </w:p>
          <w:p w14:paraId="63C72272" w14:textId="544E643B" w:rsidR="002C1F25" w:rsidRPr="00012B09" w:rsidRDefault="002C1F25" w:rsidP="00E90E62">
            <w:pPr>
              <w:spacing w:after="0" w:line="240" w:lineRule="auto"/>
              <w:rPr>
                <w:rFonts w:ascii="Times New Roman" w:hAnsi="Times New Roman" w:cs="Times New Roman"/>
                <w:lang w:val="en-US"/>
              </w:rPr>
            </w:pPr>
            <w:r w:rsidRPr="00012B09">
              <w:rPr>
                <w:rFonts w:ascii="Times New Roman" w:hAnsi="Times New Roman" w:cs="Times New Roman"/>
                <w:b/>
                <w:lang w:val="en-US"/>
              </w:rPr>
              <w:t>Section 9:</w:t>
            </w:r>
            <w:r w:rsidRPr="00012B09">
              <w:rPr>
                <w:rFonts w:ascii="Times New Roman" w:hAnsi="Times New Roman" w:cs="Times New Roman"/>
                <w:lang w:val="en-US"/>
              </w:rPr>
              <w:t xml:space="preserve"> All baseline testing has been moved to the screening visit so that baseline data will be </w:t>
            </w:r>
            <w:r w:rsidR="00D72EC3" w:rsidRPr="00012B09">
              <w:rPr>
                <w:rFonts w:ascii="Times New Roman" w:hAnsi="Times New Roman" w:cs="Times New Roman"/>
                <w:lang w:val="en-US"/>
              </w:rPr>
              <w:t>collected</w:t>
            </w:r>
            <w:r w:rsidRPr="00012B09">
              <w:rPr>
                <w:rFonts w:ascii="Times New Roman" w:hAnsi="Times New Roman" w:cs="Times New Roman"/>
                <w:lang w:val="en-US"/>
              </w:rPr>
              <w:t xml:space="preserve"> for all </w:t>
            </w:r>
            <w:r w:rsidR="002573E2" w:rsidRPr="00012B09">
              <w:rPr>
                <w:rFonts w:ascii="Times New Roman" w:hAnsi="Times New Roman" w:cs="Times New Roman"/>
                <w:lang w:val="en-US"/>
              </w:rPr>
              <w:t>patients</w:t>
            </w:r>
            <w:r w:rsidRPr="00012B09">
              <w:rPr>
                <w:rFonts w:ascii="Times New Roman" w:hAnsi="Times New Roman" w:cs="Times New Roman"/>
                <w:lang w:val="en-US"/>
              </w:rPr>
              <w:t xml:space="preserve"> who provide written informed consent, </w:t>
            </w:r>
            <w:r w:rsidR="00206432" w:rsidRPr="00012B09">
              <w:rPr>
                <w:rFonts w:ascii="Times New Roman" w:hAnsi="Times New Roman" w:cs="Times New Roman"/>
                <w:lang w:val="en-US"/>
              </w:rPr>
              <w:t>instead of</w:t>
            </w:r>
            <w:r w:rsidRPr="00012B09">
              <w:rPr>
                <w:rFonts w:ascii="Times New Roman" w:hAnsi="Times New Roman" w:cs="Times New Roman"/>
                <w:lang w:val="en-US"/>
              </w:rPr>
              <w:t xml:space="preserve"> only </w:t>
            </w:r>
            <w:r w:rsidR="00E33893" w:rsidRPr="00012B09">
              <w:rPr>
                <w:rFonts w:ascii="Times New Roman" w:hAnsi="Times New Roman" w:cs="Times New Roman"/>
                <w:lang w:val="en-US"/>
              </w:rPr>
              <w:t xml:space="preserve">for </w:t>
            </w:r>
            <w:r w:rsidRPr="00012B09">
              <w:rPr>
                <w:rFonts w:ascii="Times New Roman" w:hAnsi="Times New Roman" w:cs="Times New Roman"/>
                <w:lang w:val="en-US"/>
              </w:rPr>
              <w:t>those who are eligible and randomized.</w:t>
            </w:r>
            <w:r w:rsidR="00006024" w:rsidRPr="00012B09">
              <w:rPr>
                <w:rFonts w:ascii="Times New Roman" w:hAnsi="Times New Roman" w:cs="Times New Roman"/>
                <w:lang w:val="en-US"/>
              </w:rPr>
              <w:t xml:space="preserve"> This change also simplifies the randomization visit.</w:t>
            </w:r>
            <w:r w:rsidR="001051C8" w:rsidRPr="00012B09">
              <w:rPr>
                <w:rFonts w:ascii="Times New Roman" w:hAnsi="Times New Roman" w:cs="Times New Roman"/>
                <w:lang w:val="en-US"/>
              </w:rPr>
              <w:t xml:space="preserve"> Similarly, all testing at Visit 2 (time of second infusion) has been moved to Visit 1 to simplify </w:t>
            </w:r>
            <w:r w:rsidR="003B0982" w:rsidRPr="00012B09">
              <w:rPr>
                <w:rFonts w:ascii="Times New Roman" w:hAnsi="Times New Roman" w:cs="Times New Roman"/>
                <w:lang w:val="en-US"/>
              </w:rPr>
              <w:t>Visit 2</w:t>
            </w:r>
            <w:r w:rsidR="001051C8" w:rsidRPr="00012B09">
              <w:rPr>
                <w:rFonts w:ascii="Times New Roman" w:hAnsi="Times New Roman" w:cs="Times New Roman"/>
                <w:lang w:val="en-US"/>
              </w:rPr>
              <w:t xml:space="preserve"> and to ensure that </w:t>
            </w:r>
            <w:r w:rsidR="00C4171C" w:rsidRPr="00012B09">
              <w:rPr>
                <w:rFonts w:ascii="Times New Roman" w:hAnsi="Times New Roman" w:cs="Times New Roman"/>
                <w:lang w:val="en-US"/>
              </w:rPr>
              <w:t>follow-up data are collected for</w:t>
            </w:r>
            <w:r w:rsidR="001051C8" w:rsidRPr="00012B09">
              <w:rPr>
                <w:rFonts w:ascii="Times New Roman" w:hAnsi="Times New Roman" w:cs="Times New Roman"/>
                <w:lang w:val="en-US"/>
              </w:rPr>
              <w:t xml:space="preserve"> patients who withdraw from the study because of ineligibility for the second infusion.</w:t>
            </w:r>
          </w:p>
          <w:p w14:paraId="1B59EBE9" w14:textId="30BFCAE8" w:rsidR="002F7107" w:rsidRPr="00012B09" w:rsidRDefault="002F7107" w:rsidP="00E90E62">
            <w:pPr>
              <w:spacing w:after="0" w:line="240" w:lineRule="auto"/>
              <w:rPr>
                <w:rFonts w:ascii="Times New Roman" w:hAnsi="Times New Roman" w:cs="Times New Roman"/>
                <w:lang w:val="en-US"/>
              </w:rPr>
            </w:pPr>
            <w:r w:rsidRPr="00012B09">
              <w:rPr>
                <w:rFonts w:ascii="Times New Roman" w:hAnsi="Times New Roman" w:cs="Times New Roman"/>
                <w:b/>
                <w:lang w:val="en-US"/>
              </w:rPr>
              <w:t xml:space="preserve">Section 9: </w:t>
            </w:r>
            <w:r w:rsidRPr="00012B09">
              <w:rPr>
                <w:rFonts w:ascii="Times New Roman" w:hAnsi="Times New Roman" w:cs="Times New Roman"/>
                <w:lang w:val="en-US"/>
              </w:rPr>
              <w:t>Renewal of vitamin D prescriptions may be done at every follow-up contact.</w:t>
            </w:r>
            <w:r w:rsidR="00F37ECC" w:rsidRPr="00012B09">
              <w:rPr>
                <w:rFonts w:ascii="Times New Roman" w:hAnsi="Times New Roman" w:cs="Times New Roman"/>
                <w:lang w:val="en-US"/>
              </w:rPr>
              <w:t xml:space="preserve"> Each investigator will decide </w:t>
            </w:r>
            <w:r w:rsidR="00EA6295" w:rsidRPr="00012B09">
              <w:rPr>
                <w:rFonts w:ascii="Times New Roman" w:hAnsi="Times New Roman" w:cs="Times New Roman"/>
                <w:lang w:val="en-US"/>
              </w:rPr>
              <w:t>whether</w:t>
            </w:r>
            <w:r w:rsidR="00F37ECC" w:rsidRPr="00012B09">
              <w:rPr>
                <w:rFonts w:ascii="Times New Roman" w:hAnsi="Times New Roman" w:cs="Times New Roman"/>
                <w:lang w:val="en-US"/>
              </w:rPr>
              <w:t xml:space="preserve"> a participant has taken enough monthly vitamin D</w:t>
            </w:r>
            <w:r w:rsidR="00AC118A" w:rsidRPr="00012B09">
              <w:rPr>
                <w:rFonts w:ascii="Times New Roman" w:hAnsi="Times New Roman" w:cs="Times New Roman"/>
                <w:lang w:val="en-US"/>
              </w:rPr>
              <w:t xml:space="preserve"> not to require a second loading dose of vitamin D</w:t>
            </w:r>
            <w:r w:rsidR="00F37ECC" w:rsidRPr="00012B09">
              <w:rPr>
                <w:rFonts w:ascii="Times New Roman" w:hAnsi="Times New Roman" w:cs="Times New Roman"/>
                <w:lang w:val="en-US"/>
              </w:rPr>
              <w:t>.</w:t>
            </w:r>
          </w:p>
          <w:p w14:paraId="2448BCD9" w14:textId="3DCBD5AE" w:rsidR="00545870" w:rsidRPr="00012B09" w:rsidRDefault="00BA3740" w:rsidP="00E90E62">
            <w:pPr>
              <w:spacing w:after="0" w:line="240" w:lineRule="auto"/>
              <w:rPr>
                <w:rFonts w:ascii="Times New Roman" w:hAnsi="Times New Roman" w:cs="Times New Roman"/>
                <w:lang w:val="en-US"/>
              </w:rPr>
            </w:pPr>
            <w:r w:rsidRPr="00012B09">
              <w:rPr>
                <w:rFonts w:ascii="Times New Roman" w:hAnsi="Times New Roman" w:cs="Times New Roman"/>
                <w:b/>
                <w:lang w:val="en-US"/>
              </w:rPr>
              <w:t>Section</w:t>
            </w:r>
            <w:r w:rsidR="00545870" w:rsidRPr="00012B09">
              <w:rPr>
                <w:rFonts w:ascii="Times New Roman" w:hAnsi="Times New Roman" w:cs="Times New Roman"/>
                <w:b/>
                <w:lang w:val="en-US"/>
              </w:rPr>
              <w:t xml:space="preserve"> 13.6: </w:t>
            </w:r>
            <w:r w:rsidR="00545870" w:rsidRPr="00012B09">
              <w:rPr>
                <w:rFonts w:ascii="Times New Roman" w:hAnsi="Times New Roman" w:cs="Times New Roman"/>
                <w:lang w:val="en-US"/>
              </w:rPr>
              <w:t>T</w:t>
            </w:r>
            <w:r w:rsidR="00D57C3C" w:rsidRPr="00012B09">
              <w:rPr>
                <w:rFonts w:ascii="Times New Roman" w:hAnsi="Times New Roman" w:cs="Times New Roman"/>
                <w:lang w:val="en-US"/>
              </w:rPr>
              <w:t>he t</w:t>
            </w:r>
            <w:r w:rsidR="00545870" w:rsidRPr="00012B09">
              <w:rPr>
                <w:rFonts w:ascii="Times New Roman" w:hAnsi="Times New Roman" w:cs="Times New Roman"/>
                <w:lang w:val="en-US"/>
              </w:rPr>
              <w:t xml:space="preserve">reatment-by-baseline value interaction terms have been removed from </w:t>
            </w:r>
            <w:r w:rsidR="00E33893" w:rsidRPr="00012B09">
              <w:rPr>
                <w:rFonts w:ascii="Times New Roman" w:hAnsi="Times New Roman" w:cs="Times New Roman"/>
                <w:lang w:val="en-US"/>
              </w:rPr>
              <w:t xml:space="preserve">the </w:t>
            </w:r>
            <w:r w:rsidR="00545870" w:rsidRPr="00012B09">
              <w:rPr>
                <w:rFonts w:ascii="Times New Roman" w:hAnsi="Times New Roman" w:cs="Times New Roman"/>
                <w:lang w:val="en-US"/>
              </w:rPr>
              <w:t>analysis of covariance models</w:t>
            </w:r>
            <w:r w:rsidR="00A00BDE" w:rsidRPr="00012B09">
              <w:rPr>
                <w:rFonts w:ascii="Times New Roman" w:hAnsi="Times New Roman" w:cs="Times New Roman"/>
                <w:lang w:val="en-US"/>
              </w:rPr>
              <w:t xml:space="preserve">, as </w:t>
            </w:r>
            <w:r w:rsidR="003B0982" w:rsidRPr="00012B09">
              <w:rPr>
                <w:rFonts w:ascii="Times New Roman" w:hAnsi="Times New Roman" w:cs="Times New Roman"/>
                <w:lang w:val="en-US"/>
              </w:rPr>
              <w:t>their inclusion</w:t>
            </w:r>
            <w:r w:rsidR="00A00BDE" w:rsidRPr="00012B09">
              <w:rPr>
                <w:rFonts w:ascii="Times New Roman" w:hAnsi="Times New Roman" w:cs="Times New Roman"/>
                <w:lang w:val="en-US"/>
              </w:rPr>
              <w:t xml:space="preserve"> </w:t>
            </w:r>
            <w:r w:rsidR="00545870" w:rsidRPr="00012B09">
              <w:rPr>
                <w:rFonts w:ascii="Times New Roman" w:hAnsi="Times New Roman" w:cs="Times New Roman"/>
                <w:lang w:val="en-US"/>
              </w:rPr>
              <w:t xml:space="preserve">is </w:t>
            </w:r>
            <w:r w:rsidR="00D57C3C" w:rsidRPr="00012B09">
              <w:rPr>
                <w:rFonts w:ascii="Times New Roman" w:hAnsi="Times New Roman" w:cs="Times New Roman"/>
                <w:lang w:val="en-US"/>
              </w:rPr>
              <w:t xml:space="preserve">not </w:t>
            </w:r>
            <w:r w:rsidR="00545870" w:rsidRPr="00012B09">
              <w:rPr>
                <w:rFonts w:ascii="Times New Roman" w:hAnsi="Times New Roman" w:cs="Times New Roman"/>
                <w:lang w:val="en-US"/>
              </w:rPr>
              <w:t>customary.</w:t>
            </w:r>
          </w:p>
          <w:p w14:paraId="560DF21A" w14:textId="0920E535" w:rsidR="002821D7" w:rsidRPr="00012B09" w:rsidRDefault="00BA3740" w:rsidP="00E90E62">
            <w:pPr>
              <w:spacing w:after="0" w:line="240" w:lineRule="auto"/>
              <w:rPr>
                <w:rFonts w:ascii="Times New Roman" w:hAnsi="Times New Roman" w:cs="Times New Roman"/>
                <w:lang w:val="en-US"/>
              </w:rPr>
            </w:pPr>
            <w:r w:rsidRPr="00012B09">
              <w:rPr>
                <w:rFonts w:ascii="Times New Roman" w:hAnsi="Times New Roman" w:cs="Times New Roman"/>
                <w:b/>
                <w:lang w:val="en-US"/>
              </w:rPr>
              <w:t>Section 13.7:</w:t>
            </w:r>
            <w:r w:rsidRPr="00012B09">
              <w:rPr>
                <w:rFonts w:ascii="Times New Roman" w:hAnsi="Times New Roman" w:cs="Times New Roman"/>
                <w:lang w:val="en-US"/>
              </w:rPr>
              <w:t xml:space="preserve"> Post-infusion symptoms occurring ≤3 days after each infusion will be </w:t>
            </w:r>
            <w:r w:rsidR="00BA089C" w:rsidRPr="00012B09">
              <w:rPr>
                <w:rFonts w:ascii="Times New Roman" w:hAnsi="Times New Roman" w:cs="Times New Roman"/>
                <w:lang w:val="en-US"/>
              </w:rPr>
              <w:t>reported</w:t>
            </w:r>
            <w:r w:rsidRPr="00012B09">
              <w:rPr>
                <w:rFonts w:ascii="Times New Roman" w:hAnsi="Times New Roman" w:cs="Times New Roman"/>
                <w:lang w:val="en-US"/>
              </w:rPr>
              <w:t>.</w:t>
            </w:r>
          </w:p>
          <w:p w14:paraId="40134126" w14:textId="77777777" w:rsidR="00BA3740" w:rsidRPr="00012B09" w:rsidRDefault="002821D7" w:rsidP="00E90E62">
            <w:pPr>
              <w:spacing w:after="0" w:line="240" w:lineRule="auto"/>
              <w:rPr>
                <w:rFonts w:ascii="Times New Roman" w:hAnsi="Times New Roman" w:cs="Times New Roman"/>
                <w:lang w:val="en-US"/>
              </w:rPr>
            </w:pPr>
            <w:r w:rsidRPr="00012B09">
              <w:rPr>
                <w:rFonts w:ascii="Times New Roman" w:hAnsi="Times New Roman" w:cs="Times New Roman"/>
                <w:b/>
                <w:lang w:val="en-US"/>
              </w:rPr>
              <w:t>Section 13.1:</w:t>
            </w:r>
            <w:r w:rsidRPr="00012B09">
              <w:rPr>
                <w:rFonts w:ascii="Times New Roman" w:hAnsi="Times New Roman" w:cs="Times New Roman"/>
                <w:lang w:val="en-US"/>
              </w:rPr>
              <w:t xml:space="preserve"> </w:t>
            </w:r>
            <w:r w:rsidR="00B22E12" w:rsidRPr="00012B09">
              <w:rPr>
                <w:rFonts w:ascii="Times New Roman" w:hAnsi="Times New Roman" w:cs="Times New Roman"/>
                <w:lang w:val="en-US"/>
              </w:rPr>
              <w:t xml:space="preserve">The </w:t>
            </w:r>
            <w:r w:rsidR="002949B5" w:rsidRPr="00012B09">
              <w:rPr>
                <w:rFonts w:ascii="Times New Roman" w:hAnsi="Times New Roman" w:cs="Times New Roman"/>
                <w:lang w:val="en-US"/>
              </w:rPr>
              <w:t>reporting of t</w:t>
            </w:r>
            <w:r w:rsidRPr="00012B09">
              <w:rPr>
                <w:rFonts w:ascii="Times New Roman" w:hAnsi="Times New Roman" w:cs="Times New Roman"/>
                <w:lang w:val="en-US"/>
              </w:rPr>
              <w:t>he recruitment process</w:t>
            </w:r>
            <w:r w:rsidR="00B22E12" w:rsidRPr="00012B09">
              <w:rPr>
                <w:rFonts w:ascii="Times New Roman" w:hAnsi="Times New Roman" w:cs="Times New Roman"/>
                <w:lang w:val="en-US"/>
              </w:rPr>
              <w:t xml:space="preserve"> has been expanded</w:t>
            </w:r>
            <w:r w:rsidRPr="00012B09">
              <w:rPr>
                <w:rFonts w:ascii="Times New Roman" w:hAnsi="Times New Roman" w:cs="Times New Roman"/>
                <w:lang w:val="en-US"/>
              </w:rPr>
              <w:t>.</w:t>
            </w:r>
          </w:p>
          <w:p w14:paraId="15F691AC" w14:textId="77777777" w:rsidR="002760AE" w:rsidRPr="00012B09" w:rsidRDefault="002760AE" w:rsidP="00E90E62">
            <w:pPr>
              <w:spacing w:after="0" w:line="240" w:lineRule="auto"/>
              <w:rPr>
                <w:rFonts w:ascii="Times New Roman" w:hAnsi="Times New Roman" w:cs="Times New Roman"/>
                <w:lang w:val="en-US"/>
              </w:rPr>
            </w:pPr>
            <w:r w:rsidRPr="00012B09">
              <w:rPr>
                <w:rFonts w:ascii="Times New Roman" w:hAnsi="Times New Roman" w:cs="Times New Roman"/>
                <w:b/>
                <w:lang w:val="en-US"/>
              </w:rPr>
              <w:t>Section 6.1:</w:t>
            </w:r>
            <w:r w:rsidRPr="00012B09">
              <w:rPr>
                <w:rFonts w:ascii="Times New Roman" w:hAnsi="Times New Roman" w:cs="Times New Roman"/>
                <w:lang w:val="en-US"/>
              </w:rPr>
              <w:t xml:space="preserve"> Premature unblinding will not lead to automatic discontinuation of treatment.</w:t>
            </w:r>
          </w:p>
          <w:p w14:paraId="472F1164" w14:textId="5FDF265C" w:rsidR="007E2527" w:rsidRPr="00012B09" w:rsidRDefault="007E2527" w:rsidP="00E90E62">
            <w:pPr>
              <w:spacing w:after="0" w:line="240" w:lineRule="auto"/>
              <w:rPr>
                <w:rFonts w:ascii="Times New Roman" w:hAnsi="Times New Roman" w:cs="Times New Roman"/>
                <w:lang w:val="en-US"/>
              </w:rPr>
            </w:pPr>
            <w:r w:rsidRPr="00012B09">
              <w:rPr>
                <w:rFonts w:ascii="Times New Roman" w:hAnsi="Times New Roman" w:cs="Times New Roman"/>
                <w:b/>
                <w:lang w:val="en-US"/>
              </w:rPr>
              <w:t xml:space="preserve">Sections 10 and 15.9: </w:t>
            </w:r>
            <w:r w:rsidRPr="00012B09">
              <w:rPr>
                <w:rFonts w:ascii="Times New Roman" w:hAnsi="Times New Roman" w:cs="Times New Roman"/>
                <w:lang w:val="en-US"/>
              </w:rPr>
              <w:t xml:space="preserve">Participants will be informed of their treatment assignment when they </w:t>
            </w:r>
            <w:r w:rsidR="00D91313" w:rsidRPr="00012B09">
              <w:rPr>
                <w:rFonts w:ascii="Times New Roman" w:hAnsi="Times New Roman" w:cs="Times New Roman"/>
                <w:lang w:val="en-US"/>
              </w:rPr>
              <w:t>complete</w:t>
            </w:r>
            <w:r w:rsidRPr="00012B09">
              <w:rPr>
                <w:rFonts w:ascii="Times New Roman" w:hAnsi="Times New Roman" w:cs="Times New Roman"/>
                <w:lang w:val="en-US"/>
              </w:rPr>
              <w:t xml:space="preserve"> follow-up or when they withdraw from the study, instead of at the end of the </w:t>
            </w:r>
            <w:r w:rsidR="00902F12" w:rsidRPr="00012B09">
              <w:rPr>
                <w:rFonts w:ascii="Times New Roman" w:hAnsi="Times New Roman" w:cs="Times New Roman"/>
                <w:lang w:val="en-US"/>
              </w:rPr>
              <w:t xml:space="preserve">Main Phase of the </w:t>
            </w:r>
            <w:r w:rsidRPr="00012B09">
              <w:rPr>
                <w:rFonts w:ascii="Times New Roman" w:hAnsi="Times New Roman" w:cs="Times New Roman"/>
                <w:lang w:val="en-US"/>
              </w:rPr>
              <w:t>trial</w:t>
            </w:r>
            <w:r w:rsidR="00F87070" w:rsidRPr="00012B09">
              <w:rPr>
                <w:rFonts w:ascii="Times New Roman" w:hAnsi="Times New Roman" w:cs="Times New Roman"/>
                <w:lang w:val="en-US"/>
              </w:rPr>
              <w:t>, which may be two years later</w:t>
            </w:r>
            <w:r w:rsidRPr="00012B09">
              <w:rPr>
                <w:rFonts w:ascii="Times New Roman" w:hAnsi="Times New Roman" w:cs="Times New Roman"/>
                <w:lang w:val="en-US"/>
              </w:rPr>
              <w:t>.</w:t>
            </w:r>
          </w:p>
          <w:p w14:paraId="711D5680" w14:textId="00410961" w:rsidR="00AB29CE" w:rsidRPr="00012B09" w:rsidRDefault="00C7057B" w:rsidP="00E90E62">
            <w:pPr>
              <w:spacing w:after="0" w:line="240" w:lineRule="auto"/>
              <w:rPr>
                <w:rFonts w:ascii="Times New Roman" w:hAnsi="Times New Roman" w:cs="Times New Roman"/>
                <w:lang w:val="en-US"/>
              </w:rPr>
            </w:pPr>
            <w:r w:rsidRPr="00012B09">
              <w:rPr>
                <w:rFonts w:ascii="Times New Roman" w:hAnsi="Times New Roman" w:cs="Times New Roman"/>
                <w:b/>
                <w:lang w:val="en-US"/>
              </w:rPr>
              <w:t xml:space="preserve">Sections 9 and 15.4: </w:t>
            </w:r>
            <w:r w:rsidRPr="00012B09">
              <w:rPr>
                <w:rFonts w:ascii="Times New Roman" w:hAnsi="Times New Roman" w:cs="Times New Roman"/>
                <w:lang w:val="en-US"/>
              </w:rPr>
              <w:t>Participants will have the option of letting a next of kin act as a proxy respondent in follow-up interviews if the participant is unable to respond</w:t>
            </w:r>
            <w:r w:rsidR="00A62EB2" w:rsidRPr="00012B09">
              <w:rPr>
                <w:rFonts w:ascii="Times New Roman" w:hAnsi="Times New Roman" w:cs="Times New Roman"/>
                <w:lang w:val="en-US"/>
              </w:rPr>
              <w:t xml:space="preserve"> himself or herself</w:t>
            </w:r>
            <w:r w:rsidRPr="00012B09">
              <w:rPr>
                <w:rFonts w:ascii="Times New Roman" w:hAnsi="Times New Roman" w:cs="Times New Roman"/>
                <w:lang w:val="en-US"/>
              </w:rPr>
              <w:t>.</w:t>
            </w:r>
          </w:p>
        </w:tc>
      </w:tr>
      <w:tr w:rsidR="009330D7" w:rsidRPr="00390BA5" w14:paraId="5A6A5B6F" w14:textId="77777777" w:rsidTr="00012B09">
        <w:tc>
          <w:tcPr>
            <w:tcW w:w="1366" w:type="dxa"/>
          </w:tcPr>
          <w:p w14:paraId="5D2D9E6A" w14:textId="1AAFC994" w:rsidR="009330D7" w:rsidRPr="00012B09" w:rsidRDefault="008B36FA" w:rsidP="00E90E62">
            <w:pPr>
              <w:rPr>
                <w:rFonts w:ascii="Times New Roman" w:hAnsi="Times New Roman" w:cs="Times New Roman"/>
                <w:lang w:val="en-US"/>
              </w:rPr>
            </w:pPr>
            <w:r w:rsidRPr="00012B09">
              <w:rPr>
                <w:rFonts w:ascii="Times New Roman" w:hAnsi="Times New Roman" w:cs="Times New Roman"/>
                <w:lang w:val="en-US"/>
              </w:rPr>
              <w:lastRenderedPageBreak/>
              <w:t>2021-01-15</w:t>
            </w:r>
          </w:p>
        </w:tc>
        <w:tc>
          <w:tcPr>
            <w:tcW w:w="1016" w:type="dxa"/>
          </w:tcPr>
          <w:p w14:paraId="3A2335C1" w14:textId="4BE391FB" w:rsidR="009330D7" w:rsidRPr="00012B09" w:rsidRDefault="008B36FA" w:rsidP="00E90E62">
            <w:pPr>
              <w:rPr>
                <w:rFonts w:ascii="Times New Roman" w:hAnsi="Times New Roman" w:cs="Times New Roman"/>
                <w:lang w:val="en-US"/>
              </w:rPr>
            </w:pPr>
            <w:r w:rsidRPr="00012B09">
              <w:rPr>
                <w:rFonts w:ascii="Times New Roman" w:hAnsi="Times New Roman" w:cs="Times New Roman"/>
                <w:lang w:val="en-US"/>
              </w:rPr>
              <w:t>3</w:t>
            </w:r>
          </w:p>
        </w:tc>
        <w:tc>
          <w:tcPr>
            <w:tcW w:w="6827" w:type="dxa"/>
          </w:tcPr>
          <w:p w14:paraId="0B51B25F" w14:textId="59F64197" w:rsidR="009330D7" w:rsidRPr="00012B09" w:rsidRDefault="003904F7" w:rsidP="00E90E62">
            <w:pPr>
              <w:spacing w:after="0" w:line="240" w:lineRule="auto"/>
              <w:rPr>
                <w:rFonts w:ascii="Times New Roman" w:hAnsi="Times New Roman" w:cs="Times New Roman"/>
                <w:lang w:val="en-US"/>
              </w:rPr>
            </w:pPr>
            <w:r w:rsidRPr="00012B09">
              <w:rPr>
                <w:rFonts w:ascii="Times New Roman" w:hAnsi="Times New Roman" w:cs="Times New Roman"/>
                <w:b/>
                <w:lang w:val="en-US"/>
              </w:rPr>
              <w:t>Section 4</w:t>
            </w:r>
            <w:r w:rsidR="006A0EC4" w:rsidRPr="00012B09">
              <w:rPr>
                <w:rFonts w:ascii="Times New Roman" w:hAnsi="Times New Roman" w:cs="Times New Roman"/>
                <w:b/>
                <w:lang w:val="en-US"/>
              </w:rPr>
              <w:t xml:space="preserve"> and 17</w:t>
            </w:r>
            <w:r w:rsidRPr="00012B09">
              <w:rPr>
                <w:rFonts w:ascii="Times New Roman" w:hAnsi="Times New Roman" w:cs="Times New Roman"/>
                <w:b/>
                <w:lang w:val="en-US"/>
              </w:rPr>
              <w:t>:</w:t>
            </w:r>
            <w:r w:rsidRPr="00012B09">
              <w:rPr>
                <w:rFonts w:ascii="Times New Roman" w:hAnsi="Times New Roman" w:cs="Times New Roman"/>
                <w:lang w:val="en-US"/>
              </w:rPr>
              <w:t xml:space="preserve"> The start of </w:t>
            </w:r>
            <w:r w:rsidR="00C14850" w:rsidRPr="00012B09">
              <w:rPr>
                <w:rFonts w:ascii="Times New Roman" w:hAnsi="Times New Roman" w:cs="Times New Roman"/>
                <w:lang w:val="en-US"/>
              </w:rPr>
              <w:t>the trial</w:t>
            </w:r>
            <w:r w:rsidRPr="00012B09">
              <w:rPr>
                <w:rFonts w:ascii="Times New Roman" w:hAnsi="Times New Roman" w:cs="Times New Roman"/>
                <w:lang w:val="en-US"/>
              </w:rPr>
              <w:t xml:space="preserve"> has been delayed.</w:t>
            </w:r>
          </w:p>
          <w:p w14:paraId="090DA364" w14:textId="60F10073" w:rsidR="003904F7" w:rsidRPr="00012B09" w:rsidRDefault="003904F7" w:rsidP="00E90E62">
            <w:pPr>
              <w:spacing w:after="0" w:line="240" w:lineRule="auto"/>
              <w:rPr>
                <w:rFonts w:ascii="Times New Roman" w:hAnsi="Times New Roman" w:cs="Times New Roman"/>
                <w:b/>
                <w:lang w:val="en-US"/>
              </w:rPr>
            </w:pPr>
            <w:r w:rsidRPr="00012B09">
              <w:rPr>
                <w:rFonts w:ascii="Times New Roman" w:hAnsi="Times New Roman" w:cs="Times New Roman"/>
                <w:b/>
                <w:lang w:val="en-US"/>
              </w:rPr>
              <w:t xml:space="preserve">Sections 4 and 9: </w:t>
            </w:r>
            <w:r w:rsidRPr="00012B09">
              <w:rPr>
                <w:rFonts w:ascii="Times New Roman" w:hAnsi="Times New Roman" w:cs="Times New Roman"/>
                <w:lang w:val="en-US"/>
              </w:rPr>
              <w:t>The End of Trial has been redefined as the 10-year registry follow-up.</w:t>
            </w:r>
            <w:r w:rsidRPr="00012B09">
              <w:rPr>
                <w:rFonts w:ascii="Times New Roman" w:hAnsi="Times New Roman" w:cs="Times New Roman"/>
                <w:b/>
                <w:lang w:val="en-US"/>
              </w:rPr>
              <w:t xml:space="preserve"> </w:t>
            </w:r>
          </w:p>
          <w:p w14:paraId="73D20081" w14:textId="72D5C7F5" w:rsidR="00B13EF6" w:rsidRPr="00012B09" w:rsidRDefault="00B13EF6" w:rsidP="00E90E62">
            <w:pPr>
              <w:spacing w:after="0" w:line="240" w:lineRule="auto"/>
              <w:rPr>
                <w:rFonts w:ascii="Times New Roman" w:hAnsi="Times New Roman" w:cs="Times New Roman"/>
                <w:lang w:val="en-US"/>
              </w:rPr>
            </w:pPr>
            <w:r w:rsidRPr="00012B09">
              <w:rPr>
                <w:rFonts w:ascii="Times New Roman" w:hAnsi="Times New Roman" w:cs="Times New Roman"/>
                <w:b/>
                <w:lang w:val="en-US"/>
              </w:rPr>
              <w:t xml:space="preserve">Section 5.1: </w:t>
            </w:r>
            <w:r w:rsidRPr="00012B09">
              <w:rPr>
                <w:rFonts w:ascii="Times New Roman" w:hAnsi="Times New Roman" w:cs="Times New Roman"/>
                <w:lang w:val="en-US"/>
              </w:rPr>
              <w:t xml:space="preserve">An inclusion criterion has been added to ensure that </w:t>
            </w:r>
            <w:proofErr w:type="gramStart"/>
            <w:r w:rsidRPr="00012B09">
              <w:rPr>
                <w:rFonts w:ascii="Times New Roman" w:hAnsi="Times New Roman" w:cs="Times New Roman"/>
                <w:lang w:val="en-US"/>
              </w:rPr>
              <w:t>principle</w:t>
            </w:r>
            <w:proofErr w:type="gramEnd"/>
            <w:r w:rsidRPr="00012B09">
              <w:rPr>
                <w:rFonts w:ascii="Times New Roman" w:hAnsi="Times New Roman" w:cs="Times New Roman"/>
                <w:lang w:val="en-US"/>
              </w:rPr>
              <w:t xml:space="preserve"> investigators are authorized to verify self-reported outcomes through medical records.</w:t>
            </w:r>
          </w:p>
        </w:tc>
      </w:tr>
      <w:tr w:rsidR="009330D7" w:rsidRPr="00390BA5" w14:paraId="2F651AF1" w14:textId="77777777" w:rsidTr="00012B09">
        <w:tc>
          <w:tcPr>
            <w:tcW w:w="1366" w:type="dxa"/>
          </w:tcPr>
          <w:p w14:paraId="3D4293DB" w14:textId="5B08DC37" w:rsidR="009330D7" w:rsidRPr="00012B09" w:rsidRDefault="00F841BA" w:rsidP="00E90E62">
            <w:pPr>
              <w:rPr>
                <w:rFonts w:ascii="Times New Roman" w:hAnsi="Times New Roman" w:cs="Times New Roman"/>
                <w:lang w:val="en-US"/>
              </w:rPr>
            </w:pPr>
            <w:r w:rsidRPr="00012B09">
              <w:rPr>
                <w:rFonts w:ascii="Times New Roman" w:hAnsi="Times New Roman" w:cs="Times New Roman"/>
                <w:lang w:val="en-US"/>
              </w:rPr>
              <w:t>202</w:t>
            </w:r>
            <w:r w:rsidR="003540EE" w:rsidRPr="00012B09">
              <w:rPr>
                <w:rFonts w:ascii="Times New Roman" w:hAnsi="Times New Roman" w:cs="Times New Roman"/>
                <w:lang w:val="en-US"/>
              </w:rPr>
              <w:t>1</w:t>
            </w:r>
            <w:r w:rsidRPr="00012B09">
              <w:rPr>
                <w:rFonts w:ascii="Times New Roman" w:hAnsi="Times New Roman" w:cs="Times New Roman"/>
                <w:lang w:val="en-US"/>
              </w:rPr>
              <w:t>-</w:t>
            </w:r>
            <w:r w:rsidR="002A0511" w:rsidRPr="00012B09">
              <w:rPr>
                <w:rFonts w:ascii="Times New Roman" w:hAnsi="Times New Roman" w:cs="Times New Roman"/>
                <w:lang w:val="en-US"/>
              </w:rPr>
              <w:t>05-06</w:t>
            </w:r>
          </w:p>
        </w:tc>
        <w:tc>
          <w:tcPr>
            <w:tcW w:w="1016" w:type="dxa"/>
          </w:tcPr>
          <w:p w14:paraId="3E2F0CEE" w14:textId="41BF60D7" w:rsidR="009330D7" w:rsidRPr="00012B09" w:rsidRDefault="00D315CE" w:rsidP="00E90E62">
            <w:pPr>
              <w:rPr>
                <w:rFonts w:ascii="Times New Roman" w:hAnsi="Times New Roman" w:cs="Times New Roman"/>
                <w:lang w:val="en-US"/>
              </w:rPr>
            </w:pPr>
            <w:r w:rsidRPr="00012B09">
              <w:rPr>
                <w:rFonts w:ascii="Times New Roman" w:hAnsi="Times New Roman" w:cs="Times New Roman"/>
                <w:lang w:val="en-US"/>
              </w:rPr>
              <w:t>4</w:t>
            </w:r>
          </w:p>
        </w:tc>
        <w:tc>
          <w:tcPr>
            <w:tcW w:w="6827" w:type="dxa"/>
          </w:tcPr>
          <w:p w14:paraId="6236748B" w14:textId="68D277DC" w:rsidR="00BA0F9B" w:rsidRPr="00012B09" w:rsidRDefault="00014299" w:rsidP="00E90E62">
            <w:pPr>
              <w:spacing w:after="0"/>
              <w:rPr>
                <w:rFonts w:ascii="Times New Roman" w:hAnsi="Times New Roman" w:cs="Times New Roman"/>
                <w:lang w:val="en-US"/>
              </w:rPr>
            </w:pPr>
            <w:r w:rsidRPr="00012B09">
              <w:rPr>
                <w:rFonts w:ascii="Times New Roman" w:hAnsi="Times New Roman" w:cs="Times New Roman"/>
                <w:b/>
                <w:lang w:val="en-US"/>
              </w:rPr>
              <w:t>Section</w:t>
            </w:r>
            <w:r w:rsidR="002F1E22" w:rsidRPr="00012B09">
              <w:rPr>
                <w:rFonts w:ascii="Times New Roman" w:hAnsi="Times New Roman" w:cs="Times New Roman"/>
                <w:b/>
                <w:lang w:val="en-US"/>
              </w:rPr>
              <w:t>s</w:t>
            </w:r>
            <w:r w:rsidRPr="00012B09">
              <w:rPr>
                <w:rFonts w:ascii="Times New Roman" w:hAnsi="Times New Roman" w:cs="Times New Roman"/>
                <w:b/>
                <w:lang w:val="en-US"/>
              </w:rPr>
              <w:t xml:space="preserve"> 6</w:t>
            </w:r>
            <w:r w:rsidR="002F1E22" w:rsidRPr="00012B09">
              <w:rPr>
                <w:rFonts w:ascii="Times New Roman" w:hAnsi="Times New Roman" w:cs="Times New Roman"/>
                <w:b/>
                <w:lang w:val="en-US"/>
              </w:rPr>
              <w:t xml:space="preserve"> and 9</w:t>
            </w:r>
            <w:r w:rsidRPr="00012B09">
              <w:rPr>
                <w:rFonts w:ascii="Times New Roman" w:hAnsi="Times New Roman" w:cs="Times New Roman"/>
                <w:b/>
                <w:lang w:val="en-US"/>
              </w:rPr>
              <w:t>:</w:t>
            </w:r>
            <w:r w:rsidRPr="00012B09">
              <w:rPr>
                <w:rFonts w:ascii="Times New Roman" w:hAnsi="Times New Roman" w:cs="Times New Roman"/>
                <w:lang w:val="en-US"/>
              </w:rPr>
              <w:t xml:space="preserve"> Monthly vitamin D will not be prescribed. Instead, a</w:t>
            </w:r>
            <w:r w:rsidR="009972F3" w:rsidRPr="00012B09">
              <w:rPr>
                <w:rFonts w:ascii="Times New Roman" w:hAnsi="Times New Roman" w:cs="Times New Roman"/>
                <w:lang w:val="en-US"/>
              </w:rPr>
              <w:t>ll participants will receive a</w:t>
            </w:r>
            <w:r w:rsidRPr="00012B09">
              <w:rPr>
                <w:rFonts w:ascii="Times New Roman" w:hAnsi="Times New Roman" w:cs="Times New Roman"/>
                <w:lang w:val="en-US"/>
              </w:rPr>
              <w:t xml:space="preserve"> loading dose of vitamin D before each infusion. </w:t>
            </w:r>
            <w:r w:rsidR="008C6AAF" w:rsidRPr="00012B09">
              <w:rPr>
                <w:rFonts w:ascii="Times New Roman" w:hAnsi="Times New Roman" w:cs="Times New Roman"/>
                <w:lang w:val="en-US"/>
              </w:rPr>
              <w:t>P</w:t>
            </w:r>
            <w:r w:rsidRPr="00012B09">
              <w:rPr>
                <w:rFonts w:ascii="Times New Roman" w:hAnsi="Times New Roman" w:cs="Times New Roman"/>
                <w:lang w:val="en-US"/>
              </w:rPr>
              <w:t xml:space="preserve">articipants will </w:t>
            </w:r>
            <w:r w:rsidR="008C6AAF" w:rsidRPr="00012B09">
              <w:rPr>
                <w:rFonts w:ascii="Times New Roman" w:hAnsi="Times New Roman" w:cs="Times New Roman"/>
                <w:lang w:val="en-US"/>
              </w:rPr>
              <w:t xml:space="preserve">also </w:t>
            </w:r>
            <w:r w:rsidRPr="00012B09">
              <w:rPr>
                <w:rFonts w:ascii="Times New Roman" w:hAnsi="Times New Roman" w:cs="Times New Roman"/>
                <w:lang w:val="en-US"/>
              </w:rPr>
              <w:t xml:space="preserve">be recommended </w:t>
            </w:r>
            <w:r w:rsidR="001928CB" w:rsidRPr="00012B09">
              <w:rPr>
                <w:rFonts w:ascii="Times New Roman" w:hAnsi="Times New Roman" w:cs="Times New Roman"/>
                <w:lang w:val="en-US"/>
              </w:rPr>
              <w:t xml:space="preserve">to </w:t>
            </w:r>
            <w:r w:rsidR="009A7F13" w:rsidRPr="00012B09">
              <w:rPr>
                <w:rFonts w:ascii="Times New Roman" w:hAnsi="Times New Roman" w:cs="Times New Roman"/>
                <w:lang w:val="en-US"/>
              </w:rPr>
              <w:t xml:space="preserve">have a sufficient intake of calcium and </w:t>
            </w:r>
            <w:r w:rsidRPr="00012B09">
              <w:rPr>
                <w:rFonts w:ascii="Times New Roman" w:hAnsi="Times New Roman" w:cs="Times New Roman"/>
                <w:lang w:val="en-US"/>
              </w:rPr>
              <w:t>vitamin D.</w:t>
            </w:r>
            <w:r w:rsidR="00FD23CF" w:rsidRPr="00012B09">
              <w:rPr>
                <w:rFonts w:ascii="Times New Roman" w:hAnsi="Times New Roman" w:cs="Times New Roman"/>
                <w:lang w:val="en-US"/>
              </w:rPr>
              <w:t xml:space="preserve"> Participants will not receive advice about nutrition and exercise for preventing fractures, due to limited evidence</w:t>
            </w:r>
            <w:r w:rsidR="00B643F2" w:rsidRPr="00012B09">
              <w:rPr>
                <w:rFonts w:ascii="Times New Roman" w:hAnsi="Times New Roman" w:cs="Times New Roman"/>
                <w:lang w:val="en-US"/>
              </w:rPr>
              <w:t xml:space="preserve"> of effectiveness</w:t>
            </w:r>
            <w:r w:rsidR="00FD23CF" w:rsidRPr="00012B09">
              <w:rPr>
                <w:rFonts w:ascii="Times New Roman" w:hAnsi="Times New Roman" w:cs="Times New Roman"/>
                <w:lang w:val="en-US"/>
              </w:rPr>
              <w:t>.</w:t>
            </w:r>
          </w:p>
          <w:p w14:paraId="3ABBDA12" w14:textId="5C1DD0E0" w:rsidR="008C6AAF" w:rsidRPr="00012B09" w:rsidRDefault="00BA0F9B" w:rsidP="00E90E62">
            <w:pPr>
              <w:spacing w:after="0"/>
              <w:rPr>
                <w:rFonts w:ascii="Times New Roman" w:hAnsi="Times New Roman" w:cs="Times New Roman"/>
                <w:lang w:val="en-US"/>
              </w:rPr>
            </w:pPr>
            <w:r w:rsidRPr="00012B09">
              <w:rPr>
                <w:rFonts w:ascii="Times New Roman" w:hAnsi="Times New Roman" w:cs="Times New Roman"/>
                <w:b/>
                <w:lang w:val="en-US"/>
              </w:rPr>
              <w:t xml:space="preserve">Section 6.1: </w:t>
            </w:r>
            <w:r w:rsidR="00935C26" w:rsidRPr="00012B09">
              <w:rPr>
                <w:rFonts w:ascii="Times New Roman" w:hAnsi="Times New Roman" w:cs="Times New Roman"/>
                <w:b/>
                <w:lang w:val="en-US"/>
              </w:rPr>
              <w:t xml:space="preserve"> </w:t>
            </w:r>
            <w:r w:rsidRPr="00012B09">
              <w:rPr>
                <w:rFonts w:ascii="Times New Roman" w:hAnsi="Times New Roman" w:cs="Times New Roman"/>
                <w:lang w:val="en-US"/>
              </w:rPr>
              <w:t>Participants with hypocalcemia or hypercalcemia will be disqualified from receiving the second infusion.</w:t>
            </w:r>
          </w:p>
          <w:p w14:paraId="0245850A" w14:textId="39A5C091" w:rsidR="009330D7" w:rsidRPr="00012B09" w:rsidRDefault="008C6AAF" w:rsidP="00E90E62">
            <w:pPr>
              <w:spacing w:after="0"/>
              <w:rPr>
                <w:rFonts w:ascii="Times New Roman" w:hAnsi="Times New Roman" w:cs="Times New Roman"/>
                <w:lang w:val="en-US"/>
              </w:rPr>
            </w:pPr>
            <w:r w:rsidRPr="00012B09">
              <w:rPr>
                <w:rFonts w:ascii="Times New Roman" w:hAnsi="Times New Roman" w:cs="Times New Roman"/>
                <w:b/>
                <w:lang w:val="en-US"/>
              </w:rPr>
              <w:t>Section 6:</w:t>
            </w:r>
            <w:r w:rsidRPr="00012B09">
              <w:rPr>
                <w:rFonts w:ascii="Times New Roman" w:hAnsi="Times New Roman" w:cs="Times New Roman"/>
                <w:lang w:val="en-US"/>
              </w:rPr>
              <w:t xml:space="preserve"> </w:t>
            </w:r>
            <w:r w:rsidR="00935C26" w:rsidRPr="00012B09">
              <w:rPr>
                <w:rFonts w:ascii="Times New Roman" w:hAnsi="Times New Roman" w:cs="Times New Roman"/>
                <w:lang w:val="en-US"/>
              </w:rPr>
              <w:t>The ingredient list for zoledronic acid</w:t>
            </w:r>
            <w:r w:rsidRPr="00012B09">
              <w:rPr>
                <w:rFonts w:ascii="Times New Roman" w:hAnsi="Times New Roman" w:cs="Times New Roman"/>
                <w:lang w:val="en-US"/>
              </w:rPr>
              <w:t xml:space="preserve"> is redundant and</w:t>
            </w:r>
            <w:r w:rsidR="00935C26" w:rsidRPr="00012B09">
              <w:rPr>
                <w:rFonts w:ascii="Times New Roman" w:hAnsi="Times New Roman" w:cs="Times New Roman"/>
                <w:lang w:val="en-US"/>
              </w:rPr>
              <w:t xml:space="preserve"> has been deleted.</w:t>
            </w:r>
          </w:p>
          <w:p w14:paraId="766578FB" w14:textId="0CD670E3" w:rsidR="00864575" w:rsidRPr="00012B09" w:rsidRDefault="006D2ADD" w:rsidP="00E90E62">
            <w:pPr>
              <w:spacing w:after="0"/>
              <w:rPr>
                <w:rFonts w:ascii="Times New Roman" w:hAnsi="Times New Roman" w:cs="Times New Roman"/>
                <w:lang w:val="en-US"/>
              </w:rPr>
            </w:pPr>
            <w:r w:rsidRPr="00012B09">
              <w:rPr>
                <w:rFonts w:ascii="Times New Roman" w:hAnsi="Times New Roman" w:cs="Times New Roman"/>
                <w:b/>
                <w:lang w:val="en-US"/>
              </w:rPr>
              <w:t>Section</w:t>
            </w:r>
            <w:r w:rsidR="0058253D" w:rsidRPr="00012B09">
              <w:rPr>
                <w:rFonts w:ascii="Times New Roman" w:hAnsi="Times New Roman" w:cs="Times New Roman"/>
                <w:b/>
                <w:lang w:val="en-US"/>
              </w:rPr>
              <w:t>s 7.1 and</w:t>
            </w:r>
            <w:r w:rsidRPr="00012B09">
              <w:rPr>
                <w:rFonts w:ascii="Times New Roman" w:hAnsi="Times New Roman" w:cs="Times New Roman"/>
                <w:b/>
                <w:lang w:val="en-US"/>
              </w:rPr>
              <w:t xml:space="preserve"> 7.2: </w:t>
            </w:r>
            <w:r w:rsidRPr="00012B09">
              <w:rPr>
                <w:rFonts w:ascii="Times New Roman" w:hAnsi="Times New Roman" w:cs="Times New Roman"/>
                <w:lang w:val="en-US"/>
              </w:rPr>
              <w:t xml:space="preserve">ICD-10 code T08 has been added for vertebral fractures. </w:t>
            </w:r>
          </w:p>
          <w:p w14:paraId="465940DF" w14:textId="50A5EDEC" w:rsidR="00864575" w:rsidRPr="00012B09" w:rsidRDefault="00864575" w:rsidP="00E90E62">
            <w:pPr>
              <w:spacing w:after="0"/>
              <w:rPr>
                <w:rFonts w:ascii="Times New Roman" w:hAnsi="Times New Roman" w:cs="Times New Roman"/>
                <w:lang w:val="en-US"/>
              </w:rPr>
            </w:pPr>
            <w:r w:rsidRPr="00012B09">
              <w:rPr>
                <w:rFonts w:ascii="Times New Roman" w:hAnsi="Times New Roman" w:cs="Times New Roman"/>
                <w:b/>
                <w:lang w:val="en-US"/>
              </w:rPr>
              <w:t xml:space="preserve">Sections </w:t>
            </w:r>
            <w:r w:rsidR="00763695" w:rsidRPr="00012B09">
              <w:rPr>
                <w:rFonts w:ascii="Times New Roman" w:hAnsi="Times New Roman" w:cs="Times New Roman"/>
                <w:lang w:val="en-US"/>
              </w:rPr>
              <w:t xml:space="preserve">7, </w:t>
            </w:r>
            <w:r w:rsidRPr="00012B09">
              <w:rPr>
                <w:rFonts w:ascii="Times New Roman" w:hAnsi="Times New Roman" w:cs="Times New Roman"/>
                <w:b/>
                <w:lang w:val="en-US"/>
              </w:rPr>
              <w:t>9</w:t>
            </w:r>
            <w:r w:rsidR="00763695" w:rsidRPr="00012B09">
              <w:rPr>
                <w:rFonts w:ascii="Times New Roman" w:hAnsi="Times New Roman" w:cs="Times New Roman"/>
                <w:b/>
                <w:lang w:val="en-US"/>
              </w:rPr>
              <w:t>, 13.6, and 15.4</w:t>
            </w:r>
            <w:r w:rsidRPr="00012B09">
              <w:rPr>
                <w:rFonts w:ascii="Times New Roman" w:hAnsi="Times New Roman" w:cs="Times New Roman"/>
                <w:b/>
                <w:lang w:val="en-US"/>
              </w:rPr>
              <w:t>:</w:t>
            </w:r>
            <w:r w:rsidR="008064F8" w:rsidRPr="00012B09">
              <w:rPr>
                <w:rFonts w:ascii="Times New Roman" w:hAnsi="Times New Roman" w:cs="Times New Roman"/>
                <w:b/>
                <w:lang w:val="en-US"/>
              </w:rPr>
              <w:t xml:space="preserve"> </w:t>
            </w:r>
            <w:r w:rsidR="008064F8" w:rsidRPr="00012B09">
              <w:rPr>
                <w:rFonts w:ascii="Times New Roman" w:hAnsi="Times New Roman" w:cs="Times New Roman"/>
                <w:lang w:val="en-US"/>
              </w:rPr>
              <w:t>To increase the efficiency of the study, a</w:t>
            </w:r>
            <w:r w:rsidR="00F32AD0" w:rsidRPr="00012B09">
              <w:rPr>
                <w:rFonts w:ascii="Times New Roman" w:hAnsi="Times New Roman" w:cs="Times New Roman"/>
                <w:lang w:val="en-US"/>
              </w:rPr>
              <w:t xml:space="preserve">ll outcome events </w:t>
            </w:r>
            <w:r w:rsidRPr="00012B09">
              <w:rPr>
                <w:rFonts w:ascii="Times New Roman" w:hAnsi="Times New Roman" w:cs="Times New Roman"/>
                <w:lang w:val="en-US"/>
              </w:rPr>
              <w:t>will be collected through registries</w:t>
            </w:r>
            <w:r w:rsidR="00A21862" w:rsidRPr="00012B09">
              <w:rPr>
                <w:rFonts w:ascii="Times New Roman" w:hAnsi="Times New Roman" w:cs="Times New Roman"/>
                <w:lang w:val="en-US"/>
              </w:rPr>
              <w:t xml:space="preserve"> and medical records</w:t>
            </w:r>
            <w:r w:rsidRPr="00012B09">
              <w:rPr>
                <w:rFonts w:ascii="Times New Roman" w:hAnsi="Times New Roman" w:cs="Times New Roman"/>
                <w:lang w:val="en-US"/>
              </w:rPr>
              <w:t xml:space="preserve">, </w:t>
            </w:r>
            <w:r w:rsidR="00763695" w:rsidRPr="00012B09">
              <w:rPr>
                <w:rFonts w:ascii="Times New Roman" w:hAnsi="Times New Roman" w:cs="Times New Roman"/>
                <w:lang w:val="en-US"/>
              </w:rPr>
              <w:t>instead of</w:t>
            </w:r>
            <w:r w:rsidRPr="00012B09">
              <w:rPr>
                <w:rFonts w:ascii="Times New Roman" w:hAnsi="Times New Roman" w:cs="Times New Roman"/>
                <w:lang w:val="en-US"/>
              </w:rPr>
              <w:t xml:space="preserve"> through participant interview.</w:t>
            </w:r>
            <w:r w:rsidR="00F32AD0" w:rsidRPr="00012B09">
              <w:rPr>
                <w:rFonts w:ascii="Times New Roman" w:hAnsi="Times New Roman" w:cs="Times New Roman"/>
                <w:lang w:val="en-US"/>
              </w:rPr>
              <w:t xml:space="preserve"> </w:t>
            </w:r>
            <w:r w:rsidR="005E1DCA" w:rsidRPr="00012B09">
              <w:rPr>
                <w:rFonts w:ascii="Times New Roman" w:hAnsi="Times New Roman" w:cs="Times New Roman"/>
                <w:lang w:val="en-US"/>
              </w:rPr>
              <w:t>Partici</w:t>
            </w:r>
            <w:r w:rsidR="00F32AD0" w:rsidRPr="00012B09">
              <w:rPr>
                <w:rFonts w:ascii="Times New Roman" w:hAnsi="Times New Roman" w:cs="Times New Roman"/>
                <w:lang w:val="en-US"/>
              </w:rPr>
              <w:t>pa</w:t>
            </w:r>
            <w:r w:rsidR="005E1DCA" w:rsidRPr="00012B09">
              <w:rPr>
                <w:rFonts w:ascii="Times New Roman" w:hAnsi="Times New Roman" w:cs="Times New Roman"/>
                <w:lang w:val="en-US"/>
              </w:rPr>
              <w:t>nts will not be able to opt out of the 10-year registry follow-up</w:t>
            </w:r>
            <w:r w:rsidR="00B84BD5" w:rsidRPr="00012B09">
              <w:rPr>
                <w:rFonts w:ascii="Times New Roman" w:hAnsi="Times New Roman" w:cs="Times New Roman"/>
                <w:lang w:val="en-US"/>
              </w:rPr>
              <w:t>, unless they withdraw from the trial entirely</w:t>
            </w:r>
            <w:r w:rsidR="005E1DCA" w:rsidRPr="00012B09">
              <w:rPr>
                <w:rFonts w:ascii="Times New Roman" w:hAnsi="Times New Roman" w:cs="Times New Roman"/>
                <w:lang w:val="en-US"/>
              </w:rPr>
              <w:t>.</w:t>
            </w:r>
            <w:r w:rsidRPr="00012B09">
              <w:rPr>
                <w:rFonts w:ascii="Times New Roman" w:hAnsi="Times New Roman" w:cs="Times New Roman"/>
                <w:lang w:val="en-US"/>
              </w:rPr>
              <w:t xml:space="preserve"> </w:t>
            </w:r>
            <w:r w:rsidR="009A3360" w:rsidRPr="00012B09">
              <w:rPr>
                <w:rFonts w:ascii="Times New Roman" w:hAnsi="Times New Roman" w:cs="Times New Roman"/>
                <w:lang w:val="en-US"/>
              </w:rPr>
              <w:t>Data will not be collected from SWEDEHEART, the Swedish Stroke Register, or the Swedish Cancer register, as data on myocardial infarction, stroke, and cancer are all available from the National Patient Register.</w:t>
            </w:r>
          </w:p>
          <w:p w14:paraId="6C92F7F0" w14:textId="5C48C705" w:rsidR="00EC4760" w:rsidRPr="00012B09" w:rsidRDefault="00EC4760" w:rsidP="00E90E62">
            <w:pPr>
              <w:spacing w:after="0"/>
              <w:rPr>
                <w:rFonts w:ascii="Times New Roman" w:hAnsi="Times New Roman" w:cs="Times New Roman"/>
                <w:lang w:val="en-US"/>
              </w:rPr>
            </w:pPr>
            <w:r w:rsidRPr="00012B09">
              <w:rPr>
                <w:rFonts w:ascii="Times New Roman" w:hAnsi="Times New Roman" w:cs="Times New Roman"/>
                <w:b/>
                <w:lang w:val="en-US"/>
              </w:rPr>
              <w:t xml:space="preserve">Section 7.2 and 13.6: </w:t>
            </w:r>
            <w:r w:rsidRPr="00012B09">
              <w:rPr>
                <w:rFonts w:ascii="Times New Roman" w:hAnsi="Times New Roman" w:cs="Times New Roman"/>
                <w:lang w:val="en-US"/>
              </w:rPr>
              <w:t>Falls will be analyzed as a time-to-event outcome, since registry-dat</w:t>
            </w:r>
            <w:r w:rsidR="00117D19" w:rsidRPr="00012B09">
              <w:rPr>
                <w:rFonts w:ascii="Times New Roman" w:hAnsi="Times New Roman" w:cs="Times New Roman"/>
                <w:lang w:val="en-US"/>
              </w:rPr>
              <w:t>a provide exact dates of falls</w:t>
            </w:r>
            <w:r w:rsidRPr="00012B09">
              <w:rPr>
                <w:rFonts w:ascii="Times New Roman" w:hAnsi="Times New Roman" w:cs="Times New Roman"/>
                <w:lang w:val="en-US"/>
              </w:rPr>
              <w:t>.</w:t>
            </w:r>
          </w:p>
          <w:p w14:paraId="7789B4A8" w14:textId="70599F78" w:rsidR="00682C6A" w:rsidRPr="00012B09" w:rsidRDefault="00682C6A" w:rsidP="00E90E62">
            <w:pPr>
              <w:spacing w:after="0"/>
              <w:rPr>
                <w:rFonts w:ascii="Times New Roman" w:hAnsi="Times New Roman" w:cs="Times New Roman"/>
                <w:lang w:val="en-US"/>
              </w:rPr>
            </w:pPr>
            <w:r w:rsidRPr="00012B09">
              <w:rPr>
                <w:rFonts w:ascii="Times New Roman" w:hAnsi="Times New Roman" w:cs="Times New Roman"/>
                <w:b/>
                <w:lang w:val="en-US"/>
              </w:rPr>
              <w:t>Section</w:t>
            </w:r>
            <w:r w:rsidR="00763695" w:rsidRPr="00012B09">
              <w:rPr>
                <w:rFonts w:ascii="Times New Roman" w:hAnsi="Times New Roman" w:cs="Times New Roman"/>
                <w:b/>
                <w:lang w:val="en-US"/>
              </w:rPr>
              <w:t>s</w:t>
            </w:r>
            <w:r w:rsidRPr="00012B09">
              <w:rPr>
                <w:rFonts w:ascii="Times New Roman" w:hAnsi="Times New Roman" w:cs="Times New Roman"/>
                <w:b/>
                <w:lang w:val="en-US"/>
              </w:rPr>
              <w:t xml:space="preserve"> 9</w:t>
            </w:r>
            <w:r w:rsidR="00763695" w:rsidRPr="00012B09">
              <w:rPr>
                <w:rFonts w:ascii="Times New Roman" w:hAnsi="Times New Roman" w:cs="Times New Roman"/>
                <w:b/>
                <w:lang w:val="en-US"/>
              </w:rPr>
              <w:t xml:space="preserve"> and 15.4</w:t>
            </w:r>
            <w:r w:rsidRPr="00012B09">
              <w:rPr>
                <w:rFonts w:ascii="Times New Roman" w:hAnsi="Times New Roman" w:cs="Times New Roman"/>
                <w:b/>
                <w:lang w:val="en-US"/>
              </w:rPr>
              <w:t xml:space="preserve">: </w:t>
            </w:r>
            <w:r w:rsidRPr="00012B09">
              <w:rPr>
                <w:rFonts w:ascii="Times New Roman" w:hAnsi="Times New Roman" w:cs="Times New Roman"/>
                <w:lang w:val="en-US"/>
              </w:rPr>
              <w:t xml:space="preserve">Participants who develop cognitive or physical disabilities that </w:t>
            </w:r>
            <w:r w:rsidR="00763695" w:rsidRPr="00012B09">
              <w:rPr>
                <w:rFonts w:ascii="Times New Roman" w:hAnsi="Times New Roman" w:cs="Times New Roman"/>
                <w:lang w:val="en-US"/>
              </w:rPr>
              <w:t>prevent</w:t>
            </w:r>
            <w:r w:rsidRPr="00012B09">
              <w:rPr>
                <w:rFonts w:ascii="Times New Roman" w:hAnsi="Times New Roman" w:cs="Times New Roman"/>
                <w:lang w:val="en-US"/>
              </w:rPr>
              <w:t xml:space="preserve"> c</w:t>
            </w:r>
            <w:r w:rsidR="008064F8" w:rsidRPr="00012B09">
              <w:rPr>
                <w:rFonts w:ascii="Times New Roman" w:hAnsi="Times New Roman" w:cs="Times New Roman"/>
                <w:lang w:val="en-US"/>
              </w:rPr>
              <w:t>ontinued in-person follow-up or</w:t>
            </w:r>
            <w:r w:rsidR="00763695" w:rsidRPr="00012B09">
              <w:rPr>
                <w:rFonts w:ascii="Times New Roman" w:hAnsi="Times New Roman" w:cs="Times New Roman"/>
                <w:lang w:val="en-US"/>
              </w:rPr>
              <w:t xml:space="preserve"> telephone interview </w:t>
            </w:r>
            <w:r w:rsidRPr="00012B09">
              <w:rPr>
                <w:rFonts w:ascii="Times New Roman" w:hAnsi="Times New Roman" w:cs="Times New Roman"/>
                <w:lang w:val="en-US"/>
              </w:rPr>
              <w:t>will be followed-up through registries and medical records only.</w:t>
            </w:r>
            <w:r w:rsidR="00763695" w:rsidRPr="00012B09">
              <w:rPr>
                <w:rFonts w:ascii="Times New Roman" w:hAnsi="Times New Roman" w:cs="Times New Roman"/>
                <w:lang w:val="en-US"/>
              </w:rPr>
              <w:t xml:space="preserve"> Next of kin will not be interviewed.</w:t>
            </w:r>
          </w:p>
          <w:p w14:paraId="43A54B50" w14:textId="29ACC78B" w:rsidR="00E3420D" w:rsidRPr="00012B09" w:rsidRDefault="00E3420D" w:rsidP="00E90E62">
            <w:pPr>
              <w:spacing w:after="0"/>
              <w:rPr>
                <w:rFonts w:ascii="Times New Roman" w:hAnsi="Times New Roman" w:cs="Times New Roman"/>
                <w:lang w:val="en-US"/>
              </w:rPr>
            </w:pPr>
            <w:r w:rsidRPr="00012B09">
              <w:rPr>
                <w:rFonts w:ascii="Times New Roman" w:hAnsi="Times New Roman" w:cs="Times New Roman"/>
                <w:b/>
                <w:lang w:val="en-US"/>
              </w:rPr>
              <w:t xml:space="preserve">Section 11: </w:t>
            </w:r>
            <w:r w:rsidR="007D7DA7" w:rsidRPr="00012B09">
              <w:rPr>
                <w:rFonts w:ascii="Times New Roman" w:hAnsi="Times New Roman" w:cs="Times New Roman"/>
                <w:lang w:val="en-US"/>
              </w:rPr>
              <w:t>The r</w:t>
            </w:r>
            <w:r w:rsidRPr="00012B09">
              <w:rPr>
                <w:rFonts w:ascii="Times New Roman" w:hAnsi="Times New Roman" w:cs="Times New Roman"/>
                <w:lang w:val="en-US"/>
              </w:rPr>
              <w:t>outines for excluding participants during the trial have been clarified.</w:t>
            </w:r>
          </w:p>
          <w:p w14:paraId="40909200" w14:textId="22B6EA4D" w:rsidR="00BF5AE1" w:rsidRPr="00012B09" w:rsidRDefault="00BF5AE1" w:rsidP="00E90E62">
            <w:pPr>
              <w:spacing w:after="0"/>
              <w:rPr>
                <w:rFonts w:ascii="Times New Roman" w:hAnsi="Times New Roman" w:cs="Times New Roman"/>
                <w:lang w:val="en-US"/>
              </w:rPr>
            </w:pPr>
            <w:r w:rsidRPr="00012B09">
              <w:rPr>
                <w:rFonts w:ascii="Times New Roman" w:hAnsi="Times New Roman" w:cs="Times New Roman"/>
                <w:b/>
                <w:lang w:val="en-US"/>
              </w:rPr>
              <w:t xml:space="preserve">Section 7.4: </w:t>
            </w:r>
            <w:r w:rsidRPr="00012B09">
              <w:rPr>
                <w:rFonts w:ascii="Times New Roman" w:hAnsi="Times New Roman" w:cs="Times New Roman"/>
                <w:lang w:val="en-US"/>
              </w:rPr>
              <w:t xml:space="preserve">Possible cases of atypical femoral fracture or osteonecrosis of the jaw will be </w:t>
            </w:r>
            <w:r w:rsidR="004D2EEB" w:rsidRPr="00012B09">
              <w:rPr>
                <w:rFonts w:ascii="Times New Roman" w:hAnsi="Times New Roman" w:cs="Times New Roman"/>
                <w:lang w:val="en-US"/>
              </w:rPr>
              <w:t>verified</w:t>
            </w:r>
            <w:r w:rsidRPr="00012B09">
              <w:rPr>
                <w:rFonts w:ascii="Times New Roman" w:hAnsi="Times New Roman" w:cs="Times New Roman"/>
                <w:lang w:val="en-US"/>
              </w:rPr>
              <w:t xml:space="preserve"> by medical record review.</w:t>
            </w:r>
            <w:r w:rsidR="0020473E" w:rsidRPr="00012B09">
              <w:rPr>
                <w:rFonts w:ascii="Times New Roman" w:hAnsi="Times New Roman" w:cs="Times New Roman"/>
                <w:lang w:val="en-US"/>
              </w:rPr>
              <w:t xml:space="preserve"> ICD-10-SE codes have been included for pre-specified safety outcomes. Serious atrial fibrillation has been re</w:t>
            </w:r>
            <w:r w:rsidR="007404D2" w:rsidRPr="00012B09">
              <w:rPr>
                <w:rFonts w:ascii="Times New Roman" w:hAnsi="Times New Roman" w:cs="Times New Roman"/>
                <w:lang w:val="en-US"/>
              </w:rPr>
              <w:t>moved as a safety outcome, as</w:t>
            </w:r>
            <w:r w:rsidR="0020473E" w:rsidRPr="00012B09">
              <w:rPr>
                <w:rFonts w:ascii="Times New Roman" w:hAnsi="Times New Roman" w:cs="Times New Roman"/>
                <w:lang w:val="en-US"/>
              </w:rPr>
              <w:t xml:space="preserve"> </w:t>
            </w:r>
            <w:r w:rsidR="00D52980" w:rsidRPr="00012B09">
              <w:rPr>
                <w:rFonts w:ascii="Times New Roman" w:hAnsi="Times New Roman" w:cs="Times New Roman"/>
                <w:lang w:val="en-US"/>
              </w:rPr>
              <w:t>data on adverse event severity</w:t>
            </w:r>
            <w:r w:rsidR="006675A8" w:rsidRPr="00012B09">
              <w:rPr>
                <w:rFonts w:ascii="Times New Roman" w:hAnsi="Times New Roman" w:cs="Times New Roman"/>
                <w:lang w:val="en-US"/>
              </w:rPr>
              <w:t xml:space="preserve"> will not be </w:t>
            </w:r>
            <w:r w:rsidR="00D52980" w:rsidRPr="00012B09">
              <w:rPr>
                <w:rFonts w:ascii="Times New Roman" w:hAnsi="Times New Roman" w:cs="Times New Roman"/>
                <w:lang w:val="en-US"/>
              </w:rPr>
              <w:t>collected</w:t>
            </w:r>
            <w:r w:rsidR="0020473E" w:rsidRPr="00012B09">
              <w:rPr>
                <w:rFonts w:ascii="Times New Roman" w:hAnsi="Times New Roman" w:cs="Times New Roman"/>
                <w:lang w:val="en-US"/>
              </w:rPr>
              <w:t>.</w:t>
            </w:r>
            <w:r w:rsidR="00687CCB" w:rsidRPr="00012B09">
              <w:rPr>
                <w:rFonts w:ascii="Times New Roman" w:hAnsi="Times New Roman" w:cs="Times New Roman"/>
                <w:lang w:val="en-US"/>
              </w:rPr>
              <w:t xml:space="preserve"> </w:t>
            </w:r>
            <w:r w:rsidR="00D52980" w:rsidRPr="00012B09">
              <w:rPr>
                <w:rFonts w:ascii="Times New Roman" w:hAnsi="Times New Roman" w:cs="Times New Roman"/>
                <w:lang w:val="en-US"/>
              </w:rPr>
              <w:t>The f</w:t>
            </w:r>
            <w:r w:rsidR="00687CCB" w:rsidRPr="00012B09">
              <w:rPr>
                <w:rFonts w:ascii="Times New Roman" w:hAnsi="Times New Roman" w:cs="Times New Roman"/>
                <w:lang w:val="en-US"/>
              </w:rPr>
              <w:t>ive different post-infusion symptoms have been collapsed to one safety outcome.</w:t>
            </w:r>
          </w:p>
          <w:p w14:paraId="5BEEC1AF" w14:textId="1EA53C5A" w:rsidR="005D2A00" w:rsidRPr="00012B09" w:rsidRDefault="005D2A00" w:rsidP="00E90E62">
            <w:pPr>
              <w:spacing w:after="0"/>
              <w:rPr>
                <w:rFonts w:ascii="Times New Roman" w:hAnsi="Times New Roman" w:cs="Times New Roman"/>
                <w:lang w:val="en-US"/>
              </w:rPr>
            </w:pPr>
            <w:r w:rsidRPr="00012B09">
              <w:rPr>
                <w:rFonts w:ascii="Times New Roman" w:hAnsi="Times New Roman" w:cs="Times New Roman"/>
                <w:b/>
                <w:lang w:val="en-US"/>
              </w:rPr>
              <w:t>Section 8.1:</w:t>
            </w:r>
            <w:r w:rsidRPr="00012B09">
              <w:rPr>
                <w:rFonts w:ascii="Times New Roman" w:hAnsi="Times New Roman" w:cs="Times New Roman"/>
                <w:lang w:val="en-US"/>
              </w:rPr>
              <w:t xml:space="preserve"> </w:t>
            </w:r>
            <w:r w:rsidR="00B76DB7" w:rsidRPr="00012B09">
              <w:rPr>
                <w:rFonts w:ascii="Times New Roman" w:hAnsi="Times New Roman" w:cs="Times New Roman"/>
                <w:lang w:val="en-US"/>
              </w:rPr>
              <w:t>It has been clarified that a</w:t>
            </w:r>
            <w:r w:rsidRPr="00012B09">
              <w:rPr>
                <w:rFonts w:ascii="Times New Roman" w:hAnsi="Times New Roman" w:cs="Times New Roman"/>
                <w:lang w:val="en-US"/>
              </w:rPr>
              <w:t xml:space="preserve">ctions taken in response to adverse events </w:t>
            </w:r>
            <w:r w:rsidR="00B76DB7" w:rsidRPr="00012B09">
              <w:rPr>
                <w:rFonts w:ascii="Times New Roman" w:hAnsi="Times New Roman" w:cs="Times New Roman"/>
                <w:lang w:val="en-US"/>
              </w:rPr>
              <w:t>are actions that concern</w:t>
            </w:r>
            <w:r w:rsidRPr="00012B09">
              <w:rPr>
                <w:rFonts w:ascii="Times New Roman" w:hAnsi="Times New Roman" w:cs="Times New Roman"/>
                <w:lang w:val="en-US"/>
              </w:rPr>
              <w:t xml:space="preserve"> the investigational products</w:t>
            </w:r>
            <w:r w:rsidR="00B76DB7" w:rsidRPr="00012B09">
              <w:rPr>
                <w:rFonts w:ascii="Times New Roman" w:hAnsi="Times New Roman" w:cs="Times New Roman"/>
                <w:lang w:val="en-US"/>
              </w:rPr>
              <w:t>, not other actions</w:t>
            </w:r>
            <w:r w:rsidRPr="00012B09">
              <w:rPr>
                <w:rFonts w:ascii="Times New Roman" w:hAnsi="Times New Roman" w:cs="Times New Roman"/>
                <w:lang w:val="en-US"/>
              </w:rPr>
              <w:t>.</w:t>
            </w:r>
          </w:p>
          <w:p w14:paraId="438D9C11" w14:textId="43E91239" w:rsidR="00C37EE1" w:rsidRPr="00012B09" w:rsidRDefault="00763DB0" w:rsidP="00E90E62">
            <w:pPr>
              <w:spacing w:after="0"/>
              <w:rPr>
                <w:rFonts w:ascii="Times New Roman" w:hAnsi="Times New Roman" w:cs="Times New Roman"/>
                <w:lang w:val="en-US"/>
              </w:rPr>
            </w:pPr>
            <w:r w:rsidRPr="00012B09">
              <w:rPr>
                <w:rFonts w:ascii="Times New Roman" w:hAnsi="Times New Roman" w:cs="Times New Roman"/>
                <w:b/>
                <w:lang w:val="en-US"/>
              </w:rPr>
              <w:t>Sections 3.3</w:t>
            </w:r>
            <w:r w:rsidR="00615260" w:rsidRPr="00012B09">
              <w:rPr>
                <w:rFonts w:ascii="Times New Roman" w:hAnsi="Times New Roman" w:cs="Times New Roman"/>
                <w:b/>
                <w:lang w:val="en-US"/>
              </w:rPr>
              <w:t>, 9, 12.2, 13.2</w:t>
            </w:r>
            <w:r w:rsidR="00E36C81" w:rsidRPr="00012B09">
              <w:rPr>
                <w:rFonts w:ascii="Times New Roman" w:hAnsi="Times New Roman" w:cs="Times New Roman"/>
                <w:b/>
                <w:lang w:val="en-US"/>
              </w:rPr>
              <w:t>, 13.8</w:t>
            </w:r>
            <w:r w:rsidRPr="00012B09">
              <w:rPr>
                <w:rFonts w:ascii="Times New Roman" w:hAnsi="Times New Roman" w:cs="Times New Roman"/>
                <w:b/>
                <w:lang w:val="en-US"/>
              </w:rPr>
              <w:t>:</w:t>
            </w:r>
            <w:r w:rsidR="00615260" w:rsidRPr="00012B09">
              <w:rPr>
                <w:rFonts w:ascii="Times New Roman" w:hAnsi="Times New Roman" w:cs="Times New Roman"/>
                <w:b/>
                <w:lang w:val="en-US"/>
              </w:rPr>
              <w:t xml:space="preserve"> </w:t>
            </w:r>
            <w:r w:rsidR="00615260" w:rsidRPr="00012B09">
              <w:rPr>
                <w:rFonts w:ascii="Times New Roman" w:hAnsi="Times New Roman" w:cs="Times New Roman"/>
                <w:lang w:val="en-US"/>
              </w:rPr>
              <w:t>For simplicity, baseline data on physical activity will not be collected.</w:t>
            </w:r>
            <w:r w:rsidR="00E925B3" w:rsidRPr="00012B09">
              <w:rPr>
                <w:rFonts w:ascii="Times New Roman" w:hAnsi="Times New Roman" w:cs="Times New Roman"/>
                <w:lang w:val="en-US"/>
              </w:rPr>
              <w:t xml:space="preserve"> </w:t>
            </w:r>
          </w:p>
          <w:p w14:paraId="22444976" w14:textId="5F644074" w:rsidR="00763DB0" w:rsidRPr="00012B09" w:rsidRDefault="00C37EE1" w:rsidP="00E90E62">
            <w:pPr>
              <w:spacing w:after="0"/>
              <w:rPr>
                <w:rFonts w:ascii="Times New Roman" w:hAnsi="Times New Roman" w:cs="Times New Roman"/>
                <w:lang w:val="en-US"/>
              </w:rPr>
            </w:pPr>
            <w:r w:rsidRPr="00012B09">
              <w:rPr>
                <w:rFonts w:ascii="Times New Roman" w:hAnsi="Times New Roman" w:cs="Times New Roman"/>
                <w:b/>
                <w:lang w:val="en-US"/>
              </w:rPr>
              <w:lastRenderedPageBreak/>
              <w:t>Section</w:t>
            </w:r>
            <w:r w:rsidR="002A6D8C" w:rsidRPr="00012B09">
              <w:rPr>
                <w:rFonts w:ascii="Times New Roman" w:hAnsi="Times New Roman" w:cs="Times New Roman"/>
                <w:b/>
                <w:lang w:val="en-US"/>
              </w:rPr>
              <w:t>s</w:t>
            </w:r>
            <w:r w:rsidRPr="00012B09">
              <w:rPr>
                <w:rFonts w:ascii="Times New Roman" w:hAnsi="Times New Roman" w:cs="Times New Roman"/>
                <w:b/>
                <w:lang w:val="en-US"/>
              </w:rPr>
              <w:t xml:space="preserve"> 3.3, 13.2</w:t>
            </w:r>
            <w:r w:rsidR="00E36C81" w:rsidRPr="00012B09">
              <w:rPr>
                <w:rFonts w:ascii="Times New Roman" w:hAnsi="Times New Roman" w:cs="Times New Roman"/>
                <w:b/>
                <w:lang w:val="en-US"/>
              </w:rPr>
              <w:t>, 13.8</w:t>
            </w:r>
            <w:r w:rsidRPr="00012B09">
              <w:rPr>
                <w:rFonts w:ascii="Times New Roman" w:hAnsi="Times New Roman" w:cs="Times New Roman"/>
                <w:b/>
                <w:lang w:val="en-US"/>
              </w:rPr>
              <w:t>:</w:t>
            </w:r>
            <w:r w:rsidRPr="00012B09">
              <w:rPr>
                <w:rFonts w:ascii="Times New Roman" w:hAnsi="Times New Roman" w:cs="Times New Roman"/>
                <w:lang w:val="en-US"/>
              </w:rPr>
              <w:t xml:space="preserve"> </w:t>
            </w:r>
            <w:r w:rsidR="00974646" w:rsidRPr="00012B09">
              <w:rPr>
                <w:rFonts w:ascii="Times New Roman" w:hAnsi="Times New Roman" w:cs="Times New Roman"/>
                <w:lang w:val="en-US"/>
              </w:rPr>
              <w:t xml:space="preserve">For </w:t>
            </w:r>
            <w:r w:rsidRPr="00012B09">
              <w:rPr>
                <w:rFonts w:ascii="Times New Roman" w:hAnsi="Times New Roman" w:cs="Times New Roman"/>
                <w:lang w:val="en-US"/>
              </w:rPr>
              <w:t>simplicity</w:t>
            </w:r>
            <w:r w:rsidR="00974646" w:rsidRPr="00012B09">
              <w:rPr>
                <w:rFonts w:ascii="Times New Roman" w:hAnsi="Times New Roman" w:cs="Times New Roman"/>
                <w:lang w:val="en-US"/>
              </w:rPr>
              <w:t xml:space="preserve">, the exploratory objective to investigate a possible interaction effect between zoledronic acid and </w:t>
            </w:r>
            <w:r w:rsidR="0086172B" w:rsidRPr="00012B09">
              <w:rPr>
                <w:rFonts w:ascii="Times New Roman" w:hAnsi="Times New Roman" w:cs="Times New Roman"/>
                <w:lang w:val="en-US"/>
              </w:rPr>
              <w:t xml:space="preserve">the </w:t>
            </w:r>
            <w:r w:rsidR="00974646" w:rsidRPr="00012B09">
              <w:rPr>
                <w:rFonts w:ascii="Times New Roman" w:hAnsi="Times New Roman" w:cs="Times New Roman"/>
                <w:lang w:val="en-US"/>
              </w:rPr>
              <w:t>FRAX score has been removed.</w:t>
            </w:r>
            <w:r w:rsidR="002A6D8C" w:rsidRPr="00012B09">
              <w:rPr>
                <w:rFonts w:ascii="Times New Roman" w:hAnsi="Times New Roman" w:cs="Times New Roman"/>
                <w:lang w:val="en-US"/>
              </w:rPr>
              <w:t xml:space="preserve"> The FRAX score is less useful when, as in the current study, bone mineral density </w:t>
            </w:r>
            <w:r w:rsidR="00B11299" w:rsidRPr="00012B09">
              <w:rPr>
                <w:rFonts w:ascii="Times New Roman" w:hAnsi="Times New Roman" w:cs="Times New Roman"/>
                <w:lang w:val="en-US"/>
              </w:rPr>
              <w:t>is</w:t>
            </w:r>
            <w:r w:rsidR="002A6D8C" w:rsidRPr="00012B09">
              <w:rPr>
                <w:rFonts w:ascii="Times New Roman" w:hAnsi="Times New Roman" w:cs="Times New Roman"/>
                <w:lang w:val="en-US"/>
              </w:rPr>
              <w:t xml:space="preserve"> not assessed.</w:t>
            </w:r>
          </w:p>
          <w:p w14:paraId="4B74A2B1" w14:textId="3603DC98" w:rsidR="00F44BD8" w:rsidRPr="00012B09" w:rsidRDefault="00F44BD8" w:rsidP="00E90E62">
            <w:pPr>
              <w:spacing w:after="0"/>
              <w:rPr>
                <w:rFonts w:ascii="Times New Roman" w:hAnsi="Times New Roman" w:cs="Times New Roman"/>
                <w:lang w:val="en-US"/>
              </w:rPr>
            </w:pPr>
            <w:r w:rsidRPr="00012B09">
              <w:rPr>
                <w:rFonts w:ascii="Times New Roman" w:hAnsi="Times New Roman" w:cs="Times New Roman"/>
                <w:b/>
                <w:lang w:val="en-US"/>
              </w:rPr>
              <w:t>Section 13.2:</w:t>
            </w:r>
            <w:r w:rsidRPr="00012B09">
              <w:rPr>
                <w:rFonts w:ascii="Times New Roman" w:hAnsi="Times New Roman" w:cs="Times New Roman"/>
                <w:lang w:val="en-US"/>
              </w:rPr>
              <w:t xml:space="preserve"> The baseline variables have been updated.</w:t>
            </w:r>
          </w:p>
          <w:p w14:paraId="4D329633" w14:textId="0FB2260A" w:rsidR="007F0BF7" w:rsidRPr="00012B09" w:rsidRDefault="007F0BF7" w:rsidP="00E90E62">
            <w:pPr>
              <w:spacing w:after="0"/>
              <w:rPr>
                <w:rFonts w:ascii="Times New Roman" w:hAnsi="Times New Roman" w:cs="Times New Roman"/>
                <w:lang w:val="en-US"/>
              </w:rPr>
            </w:pPr>
            <w:r w:rsidRPr="00012B09">
              <w:rPr>
                <w:rFonts w:ascii="Times New Roman" w:hAnsi="Times New Roman" w:cs="Times New Roman"/>
                <w:b/>
                <w:lang w:val="en-US"/>
              </w:rPr>
              <w:t>Section 13.3:</w:t>
            </w:r>
            <w:r w:rsidRPr="00012B09">
              <w:rPr>
                <w:rFonts w:ascii="Times New Roman" w:hAnsi="Times New Roman" w:cs="Times New Roman"/>
                <w:lang w:val="en-US"/>
              </w:rPr>
              <w:t xml:space="preserve"> The </w:t>
            </w:r>
            <w:r w:rsidR="00231779" w:rsidRPr="00012B09">
              <w:rPr>
                <w:rFonts w:ascii="Times New Roman" w:hAnsi="Times New Roman" w:cs="Times New Roman"/>
                <w:lang w:val="en-US"/>
              </w:rPr>
              <w:t xml:space="preserve">analysis of </w:t>
            </w:r>
            <w:r w:rsidR="002704E7" w:rsidRPr="00012B09">
              <w:rPr>
                <w:rFonts w:ascii="Times New Roman" w:hAnsi="Times New Roman" w:cs="Times New Roman"/>
                <w:lang w:val="en-US"/>
              </w:rPr>
              <w:t>investigational</w:t>
            </w:r>
            <w:r w:rsidRPr="00012B09">
              <w:rPr>
                <w:rFonts w:ascii="Times New Roman" w:hAnsi="Times New Roman" w:cs="Times New Roman"/>
                <w:lang w:val="en-US"/>
              </w:rPr>
              <w:t xml:space="preserve"> products has been simplified.</w:t>
            </w:r>
          </w:p>
          <w:p w14:paraId="56339A4B" w14:textId="41266416" w:rsidR="00D32F8A" w:rsidRPr="00012B09" w:rsidRDefault="00D32F8A" w:rsidP="00E90E62">
            <w:pPr>
              <w:spacing w:after="0"/>
              <w:rPr>
                <w:rFonts w:ascii="Times New Roman" w:hAnsi="Times New Roman" w:cs="Times New Roman"/>
                <w:lang w:val="en-US"/>
              </w:rPr>
            </w:pPr>
            <w:r w:rsidRPr="00012B09">
              <w:rPr>
                <w:rFonts w:ascii="Times New Roman" w:hAnsi="Times New Roman" w:cs="Times New Roman"/>
                <w:b/>
                <w:lang w:val="en-US"/>
              </w:rPr>
              <w:t>Section 5.1:</w:t>
            </w:r>
            <w:r w:rsidRPr="00012B09">
              <w:rPr>
                <w:rFonts w:ascii="Times New Roman" w:hAnsi="Times New Roman" w:cs="Times New Roman"/>
                <w:lang w:val="en-US"/>
              </w:rPr>
              <w:t xml:space="preserve"> The inclusion criterion </w:t>
            </w:r>
            <w:r w:rsidR="00D904D4" w:rsidRPr="00012B09">
              <w:rPr>
                <w:rFonts w:ascii="Times New Roman" w:hAnsi="Times New Roman" w:cs="Times New Roman"/>
                <w:lang w:val="en-US"/>
              </w:rPr>
              <w:t>requiring</w:t>
            </w:r>
            <w:r w:rsidRPr="00012B09">
              <w:rPr>
                <w:rFonts w:ascii="Times New Roman" w:hAnsi="Times New Roman" w:cs="Times New Roman"/>
                <w:lang w:val="en-US"/>
              </w:rPr>
              <w:t xml:space="preserve"> </w:t>
            </w:r>
            <w:r w:rsidR="0043129C" w:rsidRPr="00012B09">
              <w:rPr>
                <w:rFonts w:ascii="Times New Roman" w:hAnsi="Times New Roman" w:cs="Times New Roman"/>
                <w:lang w:val="en-US"/>
              </w:rPr>
              <w:t xml:space="preserve">that participants </w:t>
            </w:r>
            <w:r w:rsidRPr="00012B09">
              <w:rPr>
                <w:rFonts w:ascii="Times New Roman" w:hAnsi="Times New Roman" w:cs="Times New Roman"/>
                <w:lang w:val="en-US"/>
              </w:rPr>
              <w:t xml:space="preserve">consent to </w:t>
            </w:r>
            <w:r w:rsidR="00F85D0D" w:rsidRPr="00012B09">
              <w:rPr>
                <w:rFonts w:ascii="Times New Roman" w:hAnsi="Times New Roman" w:cs="Times New Roman"/>
                <w:lang w:val="en-US"/>
              </w:rPr>
              <w:t>medical-record review of their self-reported outcomes</w:t>
            </w:r>
            <w:r w:rsidR="00D904D4" w:rsidRPr="00012B09">
              <w:rPr>
                <w:rFonts w:ascii="Times New Roman" w:hAnsi="Times New Roman" w:cs="Times New Roman"/>
                <w:lang w:val="en-US"/>
              </w:rPr>
              <w:t xml:space="preserve"> has</w:t>
            </w:r>
            <w:r w:rsidR="002C5F9A" w:rsidRPr="00012B09">
              <w:rPr>
                <w:rFonts w:ascii="Times New Roman" w:hAnsi="Times New Roman" w:cs="Times New Roman"/>
                <w:lang w:val="en-US"/>
              </w:rPr>
              <w:t xml:space="preserve"> been removed</w:t>
            </w:r>
            <w:r w:rsidR="00F85D0D" w:rsidRPr="00012B09">
              <w:rPr>
                <w:rFonts w:ascii="Times New Roman" w:hAnsi="Times New Roman" w:cs="Times New Roman"/>
                <w:lang w:val="en-US"/>
              </w:rPr>
              <w:t xml:space="preserve">, as </w:t>
            </w:r>
            <w:r w:rsidR="005D152C" w:rsidRPr="00012B09">
              <w:rPr>
                <w:rFonts w:ascii="Times New Roman" w:hAnsi="Times New Roman" w:cs="Times New Roman"/>
                <w:lang w:val="en-US"/>
              </w:rPr>
              <w:t xml:space="preserve">this </w:t>
            </w:r>
            <w:r w:rsidR="00240923" w:rsidRPr="00012B09">
              <w:rPr>
                <w:rFonts w:ascii="Times New Roman" w:hAnsi="Times New Roman" w:cs="Times New Roman"/>
                <w:lang w:val="en-US"/>
              </w:rPr>
              <w:t>requirement</w:t>
            </w:r>
            <w:r w:rsidR="00F85D0D" w:rsidRPr="00012B09">
              <w:rPr>
                <w:rFonts w:ascii="Times New Roman" w:hAnsi="Times New Roman" w:cs="Times New Roman"/>
                <w:lang w:val="en-US"/>
              </w:rPr>
              <w:t xml:space="preserve"> is </w:t>
            </w:r>
            <w:r w:rsidR="00240923" w:rsidRPr="00012B09">
              <w:rPr>
                <w:rFonts w:ascii="Times New Roman" w:hAnsi="Times New Roman" w:cs="Times New Roman"/>
                <w:lang w:val="en-US"/>
              </w:rPr>
              <w:t>covered by</w:t>
            </w:r>
            <w:r w:rsidR="00F85D0D" w:rsidRPr="00012B09">
              <w:rPr>
                <w:rFonts w:ascii="Times New Roman" w:hAnsi="Times New Roman" w:cs="Times New Roman"/>
                <w:lang w:val="en-US"/>
              </w:rPr>
              <w:t xml:space="preserve"> the </w:t>
            </w:r>
            <w:r w:rsidR="00240923" w:rsidRPr="00012B09">
              <w:rPr>
                <w:rFonts w:ascii="Times New Roman" w:hAnsi="Times New Roman" w:cs="Times New Roman"/>
                <w:lang w:val="en-US"/>
              </w:rPr>
              <w:t>criterion on informed consent</w:t>
            </w:r>
            <w:r w:rsidRPr="00012B09">
              <w:rPr>
                <w:rFonts w:ascii="Times New Roman" w:hAnsi="Times New Roman" w:cs="Times New Roman"/>
                <w:lang w:val="en-US"/>
              </w:rPr>
              <w:t>.</w:t>
            </w:r>
            <w:r w:rsidR="008C4032" w:rsidRPr="00012B09">
              <w:rPr>
                <w:rFonts w:ascii="Times New Roman" w:hAnsi="Times New Roman" w:cs="Times New Roman"/>
                <w:lang w:val="en-US"/>
              </w:rPr>
              <w:t xml:space="preserve"> It has been clarified that </w:t>
            </w:r>
            <w:r w:rsidR="00ED797B" w:rsidRPr="00012B09">
              <w:rPr>
                <w:rFonts w:ascii="Times New Roman" w:hAnsi="Times New Roman" w:cs="Times New Roman"/>
                <w:lang w:val="en-US"/>
              </w:rPr>
              <w:t>“</w:t>
            </w:r>
            <w:r w:rsidR="008C4032" w:rsidRPr="00012B09">
              <w:rPr>
                <w:rFonts w:ascii="Times New Roman" w:hAnsi="Times New Roman" w:cs="Times New Roman"/>
                <w:lang w:val="en-US"/>
              </w:rPr>
              <w:t>age</w:t>
            </w:r>
            <w:r w:rsidR="00ED797B" w:rsidRPr="00012B09">
              <w:rPr>
                <w:rFonts w:ascii="Times New Roman" w:hAnsi="Times New Roman" w:cs="Times New Roman"/>
                <w:lang w:val="en-US"/>
              </w:rPr>
              <w:t xml:space="preserve"> ≥65”</w:t>
            </w:r>
            <w:r w:rsidR="00AF38F7" w:rsidRPr="00012B09">
              <w:rPr>
                <w:rFonts w:ascii="Times New Roman" w:hAnsi="Times New Roman" w:cs="Times New Roman"/>
                <w:lang w:val="en-US"/>
              </w:rPr>
              <w:t xml:space="preserve"> </w:t>
            </w:r>
            <w:r w:rsidR="00ED797B" w:rsidRPr="00012B09">
              <w:rPr>
                <w:rFonts w:ascii="Times New Roman" w:hAnsi="Times New Roman" w:cs="Times New Roman"/>
                <w:lang w:val="en-US"/>
              </w:rPr>
              <w:t xml:space="preserve">refers to </w:t>
            </w:r>
            <w:r w:rsidR="008C4032" w:rsidRPr="00012B09">
              <w:rPr>
                <w:rFonts w:ascii="Times New Roman" w:hAnsi="Times New Roman" w:cs="Times New Roman"/>
                <w:lang w:val="en-US"/>
              </w:rPr>
              <w:t>age at the time of fracture.</w:t>
            </w:r>
          </w:p>
          <w:p w14:paraId="57D55BA0" w14:textId="39062998" w:rsidR="008D5AE8" w:rsidRPr="00012B09" w:rsidRDefault="008D5AE8" w:rsidP="00E90E62">
            <w:pPr>
              <w:spacing w:after="0"/>
              <w:rPr>
                <w:rFonts w:ascii="Times New Roman" w:hAnsi="Times New Roman" w:cs="Times New Roman"/>
                <w:lang w:val="en-US"/>
              </w:rPr>
            </w:pPr>
            <w:r w:rsidRPr="00012B09">
              <w:rPr>
                <w:rFonts w:ascii="Times New Roman" w:hAnsi="Times New Roman" w:cs="Times New Roman"/>
                <w:b/>
                <w:lang w:val="en-US"/>
              </w:rPr>
              <w:t xml:space="preserve">Section 11: </w:t>
            </w:r>
            <w:r w:rsidR="007539D5" w:rsidRPr="00012B09">
              <w:rPr>
                <w:rFonts w:ascii="Times New Roman" w:hAnsi="Times New Roman" w:cs="Times New Roman"/>
                <w:lang w:val="en-US"/>
              </w:rPr>
              <w:t>During</w:t>
            </w:r>
            <w:r w:rsidR="00E30F76" w:rsidRPr="00012B09">
              <w:rPr>
                <w:rFonts w:ascii="Times New Roman" w:hAnsi="Times New Roman" w:cs="Times New Roman"/>
                <w:lang w:val="en-US"/>
              </w:rPr>
              <w:t xml:space="preserve"> recruitment,</w:t>
            </w:r>
            <w:r w:rsidR="00E30F76" w:rsidRPr="00012B09">
              <w:rPr>
                <w:rFonts w:ascii="Times New Roman" w:hAnsi="Times New Roman" w:cs="Times New Roman"/>
                <w:b/>
                <w:lang w:val="en-US"/>
              </w:rPr>
              <w:t xml:space="preserve"> </w:t>
            </w:r>
            <w:r w:rsidR="00E30F76" w:rsidRPr="00012B09">
              <w:rPr>
                <w:rFonts w:ascii="Times New Roman" w:hAnsi="Times New Roman" w:cs="Times New Roman"/>
                <w:lang w:val="en-US"/>
              </w:rPr>
              <w:t>it wil</w:t>
            </w:r>
            <w:r w:rsidR="007539D5" w:rsidRPr="00012B09">
              <w:rPr>
                <w:rFonts w:ascii="Times New Roman" w:hAnsi="Times New Roman" w:cs="Times New Roman"/>
                <w:lang w:val="en-US"/>
              </w:rPr>
              <w:t>l be optional for investigators</w:t>
            </w:r>
            <w:r w:rsidR="00E30F76" w:rsidRPr="00012B09">
              <w:rPr>
                <w:rFonts w:ascii="Times New Roman" w:hAnsi="Times New Roman" w:cs="Times New Roman"/>
                <w:lang w:val="en-US"/>
              </w:rPr>
              <w:t xml:space="preserve"> to f</w:t>
            </w:r>
            <w:r w:rsidR="007539D5" w:rsidRPr="00012B09">
              <w:rPr>
                <w:rFonts w:ascii="Times New Roman" w:hAnsi="Times New Roman" w:cs="Times New Roman"/>
                <w:lang w:val="en-US"/>
              </w:rPr>
              <w:t xml:space="preserve">ollow </w:t>
            </w:r>
            <w:r w:rsidRPr="00012B09">
              <w:rPr>
                <w:rFonts w:ascii="Times New Roman" w:hAnsi="Times New Roman" w:cs="Times New Roman"/>
                <w:lang w:val="en-US"/>
              </w:rPr>
              <w:t xml:space="preserve">up </w:t>
            </w:r>
            <w:r w:rsidR="00E30F76" w:rsidRPr="00012B09">
              <w:rPr>
                <w:rFonts w:ascii="Times New Roman" w:hAnsi="Times New Roman" w:cs="Times New Roman"/>
                <w:lang w:val="en-US"/>
              </w:rPr>
              <w:t>postal invitations with telephone calls</w:t>
            </w:r>
            <w:r w:rsidR="008A4DCB" w:rsidRPr="00012B09">
              <w:rPr>
                <w:rFonts w:ascii="Times New Roman" w:hAnsi="Times New Roman" w:cs="Times New Roman"/>
                <w:lang w:val="en-US"/>
              </w:rPr>
              <w:t>.</w:t>
            </w:r>
          </w:p>
          <w:p w14:paraId="0CB56A27" w14:textId="6F468FA6" w:rsidR="009E3D02" w:rsidRPr="00012B09" w:rsidRDefault="009E3D02" w:rsidP="00E90E62">
            <w:pPr>
              <w:spacing w:after="0"/>
              <w:rPr>
                <w:rFonts w:ascii="Times New Roman" w:hAnsi="Times New Roman" w:cs="Times New Roman"/>
                <w:lang w:val="en-US"/>
              </w:rPr>
            </w:pPr>
            <w:r w:rsidRPr="00012B09">
              <w:rPr>
                <w:rFonts w:ascii="Times New Roman" w:hAnsi="Times New Roman" w:cs="Times New Roman"/>
                <w:b/>
                <w:lang w:val="en-US"/>
              </w:rPr>
              <w:t>Section 7.2:</w:t>
            </w:r>
            <w:r w:rsidRPr="00012B09">
              <w:rPr>
                <w:rFonts w:ascii="Times New Roman" w:hAnsi="Times New Roman" w:cs="Times New Roman"/>
                <w:lang w:val="en-US"/>
              </w:rPr>
              <w:t xml:space="preserve"> </w:t>
            </w:r>
            <w:r w:rsidR="00240923" w:rsidRPr="00012B09">
              <w:rPr>
                <w:rFonts w:ascii="Times New Roman" w:hAnsi="Times New Roman" w:cs="Times New Roman"/>
                <w:lang w:val="en-US"/>
              </w:rPr>
              <w:t>N</w:t>
            </w:r>
            <w:r w:rsidR="00D4790F" w:rsidRPr="00012B09">
              <w:rPr>
                <w:rFonts w:ascii="Times New Roman" w:hAnsi="Times New Roman" w:cs="Times New Roman"/>
                <w:lang w:val="en-US"/>
              </w:rPr>
              <w:t>on-</w:t>
            </w:r>
            <w:r w:rsidR="00F531EF" w:rsidRPr="00012B09">
              <w:rPr>
                <w:rFonts w:ascii="Times New Roman" w:hAnsi="Times New Roman" w:cs="Times New Roman"/>
                <w:lang w:val="en-US"/>
              </w:rPr>
              <w:t>melanoma skin cancer</w:t>
            </w:r>
            <w:r w:rsidR="00240923" w:rsidRPr="00012B09">
              <w:rPr>
                <w:rFonts w:ascii="Times New Roman" w:hAnsi="Times New Roman" w:cs="Times New Roman"/>
                <w:lang w:val="en-US"/>
              </w:rPr>
              <w:t xml:space="preserve"> will be excluded from the cancer outcome</w:t>
            </w:r>
            <w:r w:rsidR="006713D6" w:rsidRPr="00012B09">
              <w:rPr>
                <w:rFonts w:ascii="Times New Roman" w:hAnsi="Times New Roman" w:cs="Times New Roman"/>
                <w:lang w:val="en-US"/>
              </w:rPr>
              <w:t xml:space="preserve">, so </w:t>
            </w:r>
            <w:r w:rsidR="00E17636" w:rsidRPr="00012B09">
              <w:rPr>
                <w:rFonts w:ascii="Times New Roman" w:hAnsi="Times New Roman" w:cs="Times New Roman"/>
                <w:lang w:val="en-US"/>
              </w:rPr>
              <w:t>that this outcome is</w:t>
            </w:r>
            <w:r w:rsidR="00240923" w:rsidRPr="00012B09">
              <w:rPr>
                <w:rFonts w:ascii="Times New Roman" w:hAnsi="Times New Roman" w:cs="Times New Roman"/>
                <w:lang w:val="en-US"/>
              </w:rPr>
              <w:t xml:space="preserve"> consistent with the outcome in a </w:t>
            </w:r>
            <w:r w:rsidR="000013E0" w:rsidRPr="00012B09">
              <w:rPr>
                <w:rFonts w:ascii="Times New Roman" w:hAnsi="Times New Roman" w:cs="Times New Roman"/>
                <w:lang w:val="en-US"/>
              </w:rPr>
              <w:t>previous trial</w:t>
            </w:r>
            <w:r w:rsidR="00F531EF" w:rsidRPr="00012B09">
              <w:rPr>
                <w:rFonts w:ascii="Times New Roman" w:hAnsi="Times New Roman" w:cs="Times New Roman"/>
                <w:lang w:val="en-US"/>
              </w:rPr>
              <w:t xml:space="preserve"> (</w:t>
            </w:r>
            <w:r w:rsidR="00240923" w:rsidRPr="00012B09">
              <w:rPr>
                <w:rFonts w:ascii="Times New Roman" w:hAnsi="Times New Roman" w:cs="Times New Roman"/>
                <w:lang w:val="en-US"/>
              </w:rPr>
              <w:t xml:space="preserve">also </w:t>
            </w:r>
            <w:r w:rsidR="00F531EF" w:rsidRPr="00012B09">
              <w:rPr>
                <w:rFonts w:ascii="Times New Roman" w:hAnsi="Times New Roman" w:cs="Times New Roman"/>
                <w:lang w:val="en-US"/>
              </w:rPr>
              <w:t>see Section 3.2)</w:t>
            </w:r>
            <w:r w:rsidR="00912ADF" w:rsidRPr="00012B09">
              <w:rPr>
                <w:rFonts w:ascii="Times New Roman" w:hAnsi="Times New Roman" w:cs="Times New Roman"/>
                <w:lang w:val="en-US"/>
              </w:rPr>
              <w:t>.</w:t>
            </w:r>
            <w:r w:rsidR="00F531EF" w:rsidRPr="00012B09">
              <w:rPr>
                <w:rFonts w:ascii="Times New Roman" w:hAnsi="Times New Roman" w:cs="Times New Roman"/>
                <w:lang w:val="en-US"/>
              </w:rPr>
              <w:t xml:space="preserve">  </w:t>
            </w:r>
          </w:p>
          <w:p w14:paraId="47AC8269" w14:textId="4F4F1D03" w:rsidR="00F572CA" w:rsidRPr="00012B09" w:rsidRDefault="00F572CA" w:rsidP="00E90E62">
            <w:pPr>
              <w:spacing w:after="0"/>
              <w:rPr>
                <w:rFonts w:ascii="Times New Roman" w:hAnsi="Times New Roman" w:cs="Times New Roman"/>
                <w:lang w:val="en-US"/>
              </w:rPr>
            </w:pPr>
            <w:r w:rsidRPr="00012B09">
              <w:rPr>
                <w:rFonts w:ascii="Times New Roman" w:hAnsi="Times New Roman" w:cs="Times New Roman"/>
                <w:b/>
                <w:lang w:val="en-US"/>
              </w:rPr>
              <w:t>Section 12.1:</w:t>
            </w:r>
            <w:r w:rsidRPr="00012B09">
              <w:rPr>
                <w:rFonts w:ascii="Times New Roman" w:hAnsi="Times New Roman" w:cs="Times New Roman"/>
                <w:lang w:val="en-US"/>
              </w:rPr>
              <w:t xml:space="preserve"> It has been clarified that registry data will be pseudo-anonymized using participant ID codes</w:t>
            </w:r>
            <w:r w:rsidR="00D242A9" w:rsidRPr="00012B09">
              <w:rPr>
                <w:rFonts w:ascii="Times New Roman" w:hAnsi="Times New Roman" w:cs="Times New Roman"/>
                <w:lang w:val="en-US"/>
              </w:rPr>
              <w:t>.</w:t>
            </w:r>
          </w:p>
          <w:p w14:paraId="295DD6EC" w14:textId="73ACAEC9" w:rsidR="00BF743C" w:rsidRPr="00012B09" w:rsidRDefault="00AA7E80" w:rsidP="00E90E62">
            <w:pPr>
              <w:spacing w:after="0"/>
              <w:rPr>
                <w:rFonts w:ascii="Times New Roman" w:hAnsi="Times New Roman" w:cs="Times New Roman"/>
                <w:lang w:val="en-US"/>
              </w:rPr>
            </w:pPr>
            <w:r w:rsidRPr="00012B09">
              <w:rPr>
                <w:rFonts w:ascii="Times New Roman" w:hAnsi="Times New Roman" w:cs="Times New Roman"/>
                <w:b/>
                <w:lang w:val="en-US"/>
              </w:rPr>
              <w:t>Section 16:</w:t>
            </w:r>
            <w:r w:rsidRPr="00012B09">
              <w:rPr>
                <w:rFonts w:ascii="Times New Roman" w:hAnsi="Times New Roman" w:cs="Times New Roman"/>
                <w:lang w:val="en-US"/>
              </w:rPr>
              <w:t xml:space="preserve"> A Clinical Trial Report will be compiled at </w:t>
            </w:r>
            <w:r w:rsidR="009A3360" w:rsidRPr="00012B09">
              <w:rPr>
                <w:rFonts w:ascii="Times New Roman" w:hAnsi="Times New Roman" w:cs="Times New Roman"/>
                <w:lang w:val="en-US"/>
              </w:rPr>
              <w:t>both the end of the Main Phase and the e</w:t>
            </w:r>
            <w:r w:rsidRPr="00012B09">
              <w:rPr>
                <w:rFonts w:ascii="Times New Roman" w:hAnsi="Times New Roman" w:cs="Times New Roman"/>
                <w:lang w:val="en-US"/>
              </w:rPr>
              <w:t>nd of the Secondary Phase (the End of Trial).</w:t>
            </w:r>
            <w:r w:rsidR="00CC09FB" w:rsidRPr="00012B09">
              <w:rPr>
                <w:rFonts w:ascii="Times New Roman" w:hAnsi="Times New Roman" w:cs="Times New Roman"/>
                <w:lang w:val="en-US"/>
              </w:rPr>
              <w:t xml:space="preserve"> </w:t>
            </w:r>
            <w:r w:rsidR="00D256B6" w:rsidRPr="00012B09">
              <w:rPr>
                <w:rFonts w:ascii="Times New Roman" w:hAnsi="Times New Roman" w:cs="Times New Roman"/>
                <w:lang w:val="en-US"/>
              </w:rPr>
              <w:t xml:space="preserve">The main results </w:t>
            </w:r>
            <w:r w:rsidR="00CC09FB" w:rsidRPr="00012B09">
              <w:rPr>
                <w:rFonts w:ascii="Times New Roman" w:hAnsi="Times New Roman" w:cs="Times New Roman"/>
                <w:lang w:val="en-US"/>
              </w:rPr>
              <w:t>will be disseminated at the end of the Main Phase.</w:t>
            </w:r>
          </w:p>
          <w:p w14:paraId="43C1DE88" w14:textId="3763684E" w:rsidR="00AA7E80" w:rsidRPr="00012B09" w:rsidRDefault="00BF743C" w:rsidP="00E90E62">
            <w:pPr>
              <w:spacing w:after="0"/>
              <w:rPr>
                <w:rFonts w:ascii="Times New Roman" w:hAnsi="Times New Roman" w:cs="Times New Roman"/>
                <w:lang w:val="en-US"/>
              </w:rPr>
            </w:pPr>
            <w:r w:rsidRPr="00012B09">
              <w:rPr>
                <w:rFonts w:ascii="Times New Roman" w:hAnsi="Times New Roman" w:cs="Times New Roman"/>
                <w:b/>
                <w:lang w:val="en-US"/>
              </w:rPr>
              <w:t>Section 4:</w:t>
            </w:r>
            <w:r w:rsidR="00E17636" w:rsidRPr="00012B09">
              <w:rPr>
                <w:rFonts w:ascii="Times New Roman" w:hAnsi="Times New Roman" w:cs="Times New Roman"/>
                <w:lang w:val="en-US"/>
              </w:rPr>
              <w:t xml:space="preserve"> T</w:t>
            </w:r>
            <w:r w:rsidRPr="00012B09">
              <w:rPr>
                <w:rFonts w:ascii="Times New Roman" w:hAnsi="Times New Roman" w:cs="Times New Roman"/>
                <w:lang w:val="en-US"/>
              </w:rPr>
              <w:t>he sponsor/coordinating investigator will set up a Coordinating Center.</w:t>
            </w:r>
            <w:r w:rsidR="00CC09FB" w:rsidRPr="00012B09">
              <w:rPr>
                <w:rFonts w:ascii="Times New Roman" w:hAnsi="Times New Roman" w:cs="Times New Roman"/>
                <w:lang w:val="en-US"/>
              </w:rPr>
              <w:t xml:space="preserve"> </w:t>
            </w:r>
          </w:p>
          <w:p w14:paraId="6A81E52B" w14:textId="3967FC8C" w:rsidR="00A00E86" w:rsidRPr="00012B09" w:rsidRDefault="00523C60" w:rsidP="00E90E62">
            <w:pPr>
              <w:spacing w:after="0"/>
              <w:rPr>
                <w:rFonts w:ascii="Times New Roman" w:hAnsi="Times New Roman" w:cs="Times New Roman"/>
                <w:lang w:val="en-US"/>
              </w:rPr>
            </w:pPr>
            <w:r w:rsidRPr="00012B09">
              <w:rPr>
                <w:rFonts w:ascii="Times New Roman" w:hAnsi="Times New Roman" w:cs="Times New Roman"/>
                <w:b/>
                <w:lang w:val="en-US"/>
              </w:rPr>
              <w:t xml:space="preserve">Sections 9 and 11: </w:t>
            </w:r>
            <w:r w:rsidR="0046122F" w:rsidRPr="00012B09">
              <w:rPr>
                <w:rFonts w:ascii="Times New Roman" w:hAnsi="Times New Roman" w:cs="Times New Roman"/>
                <w:lang w:val="en-US"/>
              </w:rPr>
              <w:t>C</w:t>
            </w:r>
            <w:r w:rsidRPr="00012B09">
              <w:rPr>
                <w:rFonts w:ascii="Times New Roman" w:hAnsi="Times New Roman" w:cs="Times New Roman"/>
                <w:lang w:val="en-US"/>
              </w:rPr>
              <w:t xml:space="preserve">entral follow-up </w:t>
            </w:r>
            <w:r w:rsidR="0046122F" w:rsidRPr="00012B09">
              <w:rPr>
                <w:rFonts w:ascii="Times New Roman" w:hAnsi="Times New Roman" w:cs="Times New Roman"/>
                <w:lang w:val="en-US"/>
              </w:rPr>
              <w:t>will not be conducted due to the risk of logistical problems</w:t>
            </w:r>
            <w:r w:rsidRPr="00012B09">
              <w:rPr>
                <w:rFonts w:ascii="Times New Roman" w:hAnsi="Times New Roman" w:cs="Times New Roman"/>
                <w:lang w:val="en-US"/>
              </w:rPr>
              <w:t>.</w:t>
            </w:r>
          </w:p>
          <w:p w14:paraId="786CF829" w14:textId="33011E34" w:rsidR="00DC0E18" w:rsidRPr="00012B09" w:rsidRDefault="00A00E86" w:rsidP="00E90E62">
            <w:pPr>
              <w:spacing w:after="0"/>
              <w:rPr>
                <w:rFonts w:ascii="Times New Roman" w:hAnsi="Times New Roman" w:cs="Times New Roman"/>
                <w:lang w:val="en-US"/>
              </w:rPr>
            </w:pPr>
            <w:r w:rsidRPr="00012B09">
              <w:rPr>
                <w:rFonts w:ascii="Times New Roman" w:hAnsi="Times New Roman" w:cs="Times New Roman"/>
                <w:b/>
                <w:lang w:val="en-US"/>
              </w:rPr>
              <w:t>Section 5.1:</w:t>
            </w:r>
            <w:r w:rsidRPr="00012B09">
              <w:rPr>
                <w:rFonts w:ascii="Times New Roman" w:hAnsi="Times New Roman" w:cs="Times New Roman"/>
                <w:lang w:val="en-US"/>
              </w:rPr>
              <w:t xml:space="preserve"> </w:t>
            </w:r>
            <w:r w:rsidR="00C2048C" w:rsidRPr="00012B09">
              <w:rPr>
                <w:rFonts w:ascii="Times New Roman" w:hAnsi="Times New Roman" w:cs="Times New Roman"/>
                <w:lang w:val="en-US"/>
              </w:rPr>
              <w:t>ICD-10-SE codes have been added for fractures.</w:t>
            </w:r>
          </w:p>
          <w:p w14:paraId="660D246A" w14:textId="3AA32281" w:rsidR="00523C60" w:rsidRPr="00012B09" w:rsidRDefault="00DC0E18" w:rsidP="00E90E62">
            <w:pPr>
              <w:spacing w:after="0"/>
              <w:rPr>
                <w:rFonts w:ascii="Times New Roman" w:hAnsi="Times New Roman" w:cs="Times New Roman"/>
                <w:lang w:val="en-US"/>
              </w:rPr>
            </w:pPr>
            <w:r w:rsidRPr="00012B09">
              <w:rPr>
                <w:rFonts w:ascii="Times New Roman" w:hAnsi="Times New Roman" w:cs="Times New Roman"/>
                <w:b/>
                <w:lang w:val="en-US"/>
              </w:rPr>
              <w:t>Section 5.2:</w:t>
            </w:r>
            <w:r w:rsidRPr="00012B09">
              <w:rPr>
                <w:rFonts w:ascii="Times New Roman" w:hAnsi="Times New Roman" w:cs="Times New Roman"/>
                <w:lang w:val="en-US"/>
              </w:rPr>
              <w:t xml:space="preserve"> </w:t>
            </w:r>
            <w:r w:rsidR="00C076D6" w:rsidRPr="00012B09">
              <w:rPr>
                <w:rFonts w:ascii="Times New Roman" w:hAnsi="Times New Roman" w:cs="Times New Roman"/>
                <w:lang w:val="en-US"/>
              </w:rPr>
              <w:t>Hypercalcemia and m</w:t>
            </w:r>
            <w:r w:rsidRPr="00012B09">
              <w:rPr>
                <w:rFonts w:ascii="Times New Roman" w:hAnsi="Times New Roman" w:cs="Times New Roman"/>
                <w:lang w:val="en-US"/>
              </w:rPr>
              <w:t>alabsorption of calcium and/or vitamin D</w:t>
            </w:r>
            <w:r w:rsidR="00C076D6" w:rsidRPr="00012B09">
              <w:rPr>
                <w:rFonts w:ascii="Times New Roman" w:hAnsi="Times New Roman" w:cs="Times New Roman"/>
                <w:lang w:val="en-US"/>
              </w:rPr>
              <w:t xml:space="preserve"> have</w:t>
            </w:r>
            <w:r w:rsidRPr="00012B09">
              <w:rPr>
                <w:rFonts w:ascii="Times New Roman" w:hAnsi="Times New Roman" w:cs="Times New Roman"/>
                <w:lang w:val="en-US"/>
              </w:rPr>
              <w:t xml:space="preserve"> been added as </w:t>
            </w:r>
            <w:r w:rsidR="00C076D6" w:rsidRPr="00012B09">
              <w:rPr>
                <w:rFonts w:ascii="Times New Roman" w:hAnsi="Times New Roman" w:cs="Times New Roman"/>
                <w:lang w:val="en-US"/>
              </w:rPr>
              <w:t>exclusion criteria</w:t>
            </w:r>
            <w:r w:rsidR="00213614" w:rsidRPr="00012B09">
              <w:rPr>
                <w:rFonts w:ascii="Times New Roman" w:hAnsi="Times New Roman" w:cs="Times New Roman"/>
                <w:lang w:val="en-US"/>
              </w:rPr>
              <w:t>.</w:t>
            </w:r>
          </w:p>
          <w:p w14:paraId="3A9CAA05" w14:textId="77777777" w:rsidR="00AB162E" w:rsidRPr="00012B09" w:rsidRDefault="00AB162E" w:rsidP="00E90E62">
            <w:pPr>
              <w:spacing w:after="0"/>
              <w:rPr>
                <w:rFonts w:ascii="Times New Roman" w:hAnsi="Times New Roman" w:cs="Times New Roman"/>
                <w:lang w:val="en-US"/>
              </w:rPr>
            </w:pPr>
            <w:r w:rsidRPr="00012B09">
              <w:rPr>
                <w:rFonts w:ascii="Times New Roman" w:hAnsi="Times New Roman" w:cs="Times New Roman"/>
                <w:b/>
                <w:lang w:val="en-US"/>
              </w:rPr>
              <w:t xml:space="preserve">Sections 10 and 13: </w:t>
            </w:r>
            <w:r w:rsidRPr="00012B09">
              <w:rPr>
                <w:rFonts w:ascii="Times New Roman" w:hAnsi="Times New Roman" w:cs="Times New Roman"/>
                <w:lang w:val="en-US"/>
              </w:rPr>
              <w:t>The randomization and analysis will be stratified by study center.</w:t>
            </w:r>
          </w:p>
          <w:p w14:paraId="755FFE59" w14:textId="5C84E444" w:rsidR="00D76B36" w:rsidRPr="00012B09" w:rsidRDefault="00D76B36" w:rsidP="00E90E62">
            <w:pPr>
              <w:spacing w:after="0"/>
              <w:rPr>
                <w:rFonts w:ascii="Times New Roman" w:hAnsi="Times New Roman" w:cs="Times New Roman"/>
                <w:lang w:val="en-US"/>
              </w:rPr>
            </w:pPr>
            <w:r w:rsidRPr="00012B09">
              <w:rPr>
                <w:rFonts w:ascii="Times New Roman" w:hAnsi="Times New Roman" w:cs="Times New Roman"/>
                <w:b/>
                <w:lang w:val="en-US"/>
              </w:rPr>
              <w:t xml:space="preserve">Section 9: </w:t>
            </w:r>
            <w:r w:rsidR="004A4716" w:rsidRPr="00012B09">
              <w:rPr>
                <w:rFonts w:ascii="Times New Roman" w:hAnsi="Times New Roman" w:cs="Times New Roman"/>
                <w:lang w:val="en-US"/>
              </w:rPr>
              <w:t>T</w:t>
            </w:r>
            <w:r w:rsidRPr="00012B09">
              <w:rPr>
                <w:rFonts w:ascii="Times New Roman" w:hAnsi="Times New Roman" w:cs="Times New Roman"/>
                <w:lang w:val="en-US"/>
              </w:rPr>
              <w:t xml:space="preserve">he </w:t>
            </w:r>
            <w:r w:rsidR="00CF48BA" w:rsidRPr="00012B09">
              <w:rPr>
                <w:rFonts w:ascii="Times New Roman" w:hAnsi="Times New Roman" w:cs="Times New Roman"/>
                <w:lang w:val="en-US"/>
              </w:rPr>
              <w:t>number of follow-up contacts has</w:t>
            </w:r>
            <w:r w:rsidRPr="00012B09">
              <w:rPr>
                <w:rFonts w:ascii="Times New Roman" w:hAnsi="Times New Roman" w:cs="Times New Roman"/>
                <w:lang w:val="en-US"/>
              </w:rPr>
              <w:t xml:space="preserve"> been reduced</w:t>
            </w:r>
            <w:r w:rsidR="004A4716" w:rsidRPr="00012B09">
              <w:rPr>
                <w:rFonts w:ascii="Times New Roman" w:hAnsi="Times New Roman" w:cs="Times New Roman"/>
                <w:lang w:val="en-US"/>
              </w:rPr>
              <w:t xml:space="preserve"> to simplify the trial</w:t>
            </w:r>
            <w:r w:rsidRPr="00012B09">
              <w:rPr>
                <w:rFonts w:ascii="Times New Roman" w:hAnsi="Times New Roman" w:cs="Times New Roman"/>
                <w:lang w:val="en-US"/>
              </w:rPr>
              <w:t>.</w:t>
            </w:r>
            <w:r w:rsidR="004A4716" w:rsidRPr="00012B09">
              <w:rPr>
                <w:rFonts w:ascii="Times New Roman" w:hAnsi="Times New Roman" w:cs="Times New Roman"/>
                <w:lang w:val="en-US"/>
              </w:rPr>
              <w:t xml:space="preserve"> We do not believe this </w:t>
            </w:r>
            <w:r w:rsidR="00305E0B" w:rsidRPr="00012B09">
              <w:rPr>
                <w:rFonts w:ascii="Times New Roman" w:hAnsi="Times New Roman" w:cs="Times New Roman"/>
                <w:lang w:val="en-US"/>
              </w:rPr>
              <w:t>poses</w:t>
            </w:r>
            <w:r w:rsidR="004A4716" w:rsidRPr="00012B09">
              <w:rPr>
                <w:rFonts w:ascii="Times New Roman" w:hAnsi="Times New Roman" w:cs="Times New Roman"/>
                <w:lang w:val="en-US"/>
              </w:rPr>
              <w:t xml:space="preserve"> a safety risk, as zoledronic acid is </w:t>
            </w:r>
            <w:r w:rsidR="00170B37" w:rsidRPr="00012B09">
              <w:rPr>
                <w:rFonts w:ascii="Times New Roman" w:hAnsi="Times New Roman" w:cs="Times New Roman"/>
                <w:lang w:val="en-US"/>
              </w:rPr>
              <w:t xml:space="preserve">widely </w:t>
            </w:r>
            <w:r w:rsidR="004A4716" w:rsidRPr="00012B09">
              <w:rPr>
                <w:rFonts w:ascii="Times New Roman" w:hAnsi="Times New Roman" w:cs="Times New Roman"/>
                <w:lang w:val="en-US"/>
              </w:rPr>
              <w:t>used and participants will be able to report adverse events by telephone</w:t>
            </w:r>
            <w:r w:rsidR="00483A9F" w:rsidRPr="00012B09">
              <w:rPr>
                <w:rFonts w:ascii="Times New Roman" w:hAnsi="Times New Roman" w:cs="Times New Roman"/>
                <w:lang w:val="en-US"/>
              </w:rPr>
              <w:t xml:space="preserve"> throughout the Main Phase</w:t>
            </w:r>
            <w:r w:rsidR="004A4716" w:rsidRPr="00012B09">
              <w:rPr>
                <w:rFonts w:ascii="Times New Roman" w:hAnsi="Times New Roman" w:cs="Times New Roman"/>
                <w:lang w:val="en-US"/>
              </w:rPr>
              <w:t>.</w:t>
            </w:r>
          </w:p>
          <w:p w14:paraId="7BA38082" w14:textId="390AEF53" w:rsidR="000D32CE" w:rsidRPr="00012B09" w:rsidRDefault="000D32CE" w:rsidP="00E90E62">
            <w:pPr>
              <w:spacing w:after="0"/>
              <w:rPr>
                <w:rFonts w:ascii="Times New Roman" w:hAnsi="Times New Roman" w:cs="Times New Roman"/>
                <w:lang w:val="en-US"/>
              </w:rPr>
            </w:pPr>
            <w:r w:rsidRPr="00012B09">
              <w:rPr>
                <w:rFonts w:ascii="Times New Roman" w:hAnsi="Times New Roman" w:cs="Times New Roman"/>
                <w:b/>
                <w:lang w:val="en-US"/>
              </w:rPr>
              <w:t xml:space="preserve">Sections 7.3, 9, 13.6: </w:t>
            </w:r>
            <w:r w:rsidRPr="00012B09">
              <w:rPr>
                <w:rFonts w:ascii="Times New Roman" w:hAnsi="Times New Roman" w:cs="Times New Roman"/>
                <w:lang w:val="en-US"/>
              </w:rPr>
              <w:t>Due to the reduction in the number of follow-up contacts, the EQ-5D-5L will be administered less frequently.</w:t>
            </w:r>
          </w:p>
          <w:p w14:paraId="1B8AA1E0" w14:textId="77777777" w:rsidR="001F729D" w:rsidRPr="00012B09" w:rsidRDefault="001F729D" w:rsidP="00E90E62">
            <w:pPr>
              <w:spacing w:after="0"/>
              <w:rPr>
                <w:rFonts w:ascii="Times New Roman" w:hAnsi="Times New Roman" w:cs="Times New Roman"/>
                <w:lang w:val="en-US"/>
              </w:rPr>
            </w:pPr>
            <w:r w:rsidRPr="00012B09">
              <w:rPr>
                <w:rFonts w:ascii="Times New Roman" w:hAnsi="Times New Roman" w:cs="Times New Roman"/>
                <w:b/>
                <w:lang w:val="en-US"/>
              </w:rPr>
              <w:t xml:space="preserve">Section 9: </w:t>
            </w:r>
            <w:r w:rsidRPr="00012B09">
              <w:rPr>
                <w:rFonts w:ascii="Times New Roman" w:hAnsi="Times New Roman" w:cs="Times New Roman"/>
                <w:lang w:val="en-US"/>
              </w:rPr>
              <w:t>Participants will be given a card with study information to carry in their wallet.</w:t>
            </w:r>
          </w:p>
          <w:p w14:paraId="2E0FCE2B" w14:textId="211AE8A6" w:rsidR="002C48A1" w:rsidRPr="00012B09" w:rsidRDefault="002C48A1" w:rsidP="00E90E62">
            <w:pPr>
              <w:spacing w:after="0"/>
              <w:rPr>
                <w:rFonts w:ascii="Times New Roman" w:hAnsi="Times New Roman" w:cs="Times New Roman"/>
                <w:lang w:val="en-US"/>
              </w:rPr>
            </w:pPr>
            <w:r w:rsidRPr="00012B09">
              <w:rPr>
                <w:rFonts w:ascii="Times New Roman" w:hAnsi="Times New Roman" w:cs="Times New Roman"/>
                <w:b/>
                <w:lang w:val="en-US"/>
              </w:rPr>
              <w:t>Section 3.2:</w:t>
            </w:r>
            <w:r w:rsidRPr="00012B09">
              <w:rPr>
                <w:rFonts w:ascii="Times New Roman" w:hAnsi="Times New Roman" w:cs="Times New Roman"/>
                <w:lang w:val="en-US"/>
              </w:rPr>
              <w:t xml:space="preserve"> The possibility of a greater effect</w:t>
            </w:r>
            <w:r w:rsidR="00483A9F" w:rsidRPr="00012B09">
              <w:rPr>
                <w:rFonts w:ascii="Times New Roman" w:hAnsi="Times New Roman" w:cs="Times New Roman"/>
                <w:lang w:val="en-US"/>
              </w:rPr>
              <w:t xml:space="preserve"> on new clinical fractures in women than in men</w:t>
            </w:r>
            <w:r w:rsidRPr="00012B09">
              <w:rPr>
                <w:rFonts w:ascii="Times New Roman" w:hAnsi="Times New Roman" w:cs="Times New Roman"/>
                <w:lang w:val="en-US"/>
              </w:rPr>
              <w:t>, rather than just a difference</w:t>
            </w:r>
            <w:r w:rsidR="00483A9F" w:rsidRPr="00012B09">
              <w:rPr>
                <w:rFonts w:ascii="Times New Roman" w:hAnsi="Times New Roman" w:cs="Times New Roman"/>
                <w:lang w:val="en-US"/>
              </w:rPr>
              <w:t xml:space="preserve"> in effect</w:t>
            </w:r>
            <w:r w:rsidRPr="00012B09">
              <w:rPr>
                <w:rFonts w:ascii="Times New Roman" w:hAnsi="Times New Roman" w:cs="Times New Roman"/>
                <w:lang w:val="en-US"/>
              </w:rPr>
              <w:t>, will be investigated.</w:t>
            </w:r>
          </w:p>
        </w:tc>
      </w:tr>
      <w:tr w:rsidR="004B596A" w:rsidRPr="00390BA5" w14:paraId="22F4C7C2" w14:textId="77777777" w:rsidTr="00012B09">
        <w:tc>
          <w:tcPr>
            <w:tcW w:w="1366" w:type="dxa"/>
          </w:tcPr>
          <w:p w14:paraId="4F44B7DC" w14:textId="49B03489" w:rsidR="004B596A" w:rsidRPr="004A077E" w:rsidRDefault="004B596A" w:rsidP="00E90E62">
            <w:pPr>
              <w:rPr>
                <w:rFonts w:ascii="Times New Roman" w:hAnsi="Times New Roman" w:cs="Times New Roman"/>
                <w:lang w:val="en-US"/>
              </w:rPr>
            </w:pPr>
            <w:r w:rsidRPr="004A077E">
              <w:rPr>
                <w:rFonts w:ascii="Times New Roman" w:hAnsi="Times New Roman" w:cs="Times New Roman"/>
                <w:lang w:val="en-US"/>
              </w:rPr>
              <w:lastRenderedPageBreak/>
              <w:t>2021-06-2</w:t>
            </w:r>
            <w:r w:rsidR="009863BD" w:rsidRPr="004A077E">
              <w:rPr>
                <w:rFonts w:ascii="Times New Roman" w:hAnsi="Times New Roman" w:cs="Times New Roman"/>
                <w:lang w:val="en-US"/>
              </w:rPr>
              <w:t>4</w:t>
            </w:r>
          </w:p>
        </w:tc>
        <w:tc>
          <w:tcPr>
            <w:tcW w:w="1016" w:type="dxa"/>
          </w:tcPr>
          <w:p w14:paraId="1A4E5F6C" w14:textId="7A14460A" w:rsidR="004B596A" w:rsidRPr="004A077E" w:rsidRDefault="004B596A" w:rsidP="00E90E62">
            <w:pPr>
              <w:rPr>
                <w:rFonts w:ascii="Times New Roman" w:hAnsi="Times New Roman" w:cs="Times New Roman"/>
                <w:lang w:val="en-US"/>
              </w:rPr>
            </w:pPr>
            <w:r w:rsidRPr="004A077E">
              <w:rPr>
                <w:rFonts w:ascii="Times New Roman" w:hAnsi="Times New Roman" w:cs="Times New Roman"/>
                <w:lang w:val="en-US"/>
              </w:rPr>
              <w:t>5</w:t>
            </w:r>
          </w:p>
        </w:tc>
        <w:tc>
          <w:tcPr>
            <w:tcW w:w="6827" w:type="dxa"/>
          </w:tcPr>
          <w:p w14:paraId="5FDAC6D4" w14:textId="36B7A1EE" w:rsidR="00C2718B" w:rsidRPr="004A077E" w:rsidRDefault="00C2718B" w:rsidP="00E90E62">
            <w:pPr>
              <w:spacing w:after="0"/>
              <w:rPr>
                <w:rFonts w:ascii="Times New Roman" w:hAnsi="Times New Roman" w:cs="Times New Roman"/>
                <w:lang w:val="en-US"/>
              </w:rPr>
            </w:pPr>
            <w:r w:rsidRPr="004A077E">
              <w:rPr>
                <w:rFonts w:ascii="Times New Roman" w:hAnsi="Times New Roman" w:cs="Times New Roman"/>
                <w:b/>
                <w:lang w:val="en-US"/>
              </w:rPr>
              <w:t>Section 6.1:</w:t>
            </w:r>
            <w:r w:rsidR="00CE3E7A" w:rsidRPr="004A077E">
              <w:rPr>
                <w:rFonts w:ascii="Times New Roman" w:hAnsi="Times New Roman" w:cs="Times New Roman"/>
                <w:lang w:val="en-US"/>
              </w:rPr>
              <w:t xml:space="preserve"> A</w:t>
            </w:r>
            <w:r w:rsidR="002E3C8C" w:rsidRPr="004A077E">
              <w:rPr>
                <w:rFonts w:ascii="Times New Roman" w:hAnsi="Times New Roman" w:cs="Times New Roman"/>
                <w:lang w:val="en-US"/>
              </w:rPr>
              <w:t xml:space="preserve">dverse events should </w:t>
            </w:r>
            <w:r w:rsidR="00CE3E7A" w:rsidRPr="004A077E">
              <w:rPr>
                <w:rFonts w:ascii="Times New Roman" w:hAnsi="Times New Roman" w:cs="Times New Roman"/>
                <w:lang w:val="en-US"/>
              </w:rPr>
              <w:t xml:space="preserve">only </w:t>
            </w:r>
            <w:r w:rsidR="002E3C8C" w:rsidRPr="004A077E">
              <w:rPr>
                <w:rFonts w:ascii="Times New Roman" w:hAnsi="Times New Roman" w:cs="Times New Roman"/>
                <w:lang w:val="en-US"/>
              </w:rPr>
              <w:t xml:space="preserve">lead to </w:t>
            </w:r>
            <w:r w:rsidRPr="004A077E">
              <w:rPr>
                <w:rFonts w:ascii="Times New Roman" w:hAnsi="Times New Roman" w:cs="Times New Roman"/>
                <w:lang w:val="en-US"/>
              </w:rPr>
              <w:t>discontinuation of treatment</w:t>
            </w:r>
            <w:r w:rsidR="006F283D" w:rsidRPr="004A077E">
              <w:rPr>
                <w:rFonts w:ascii="Times New Roman" w:hAnsi="Times New Roman" w:cs="Times New Roman"/>
                <w:lang w:val="en-US"/>
              </w:rPr>
              <w:t xml:space="preserve"> if the sponsor/principal investigator </w:t>
            </w:r>
            <w:r w:rsidR="00CE3E7A" w:rsidRPr="004A077E">
              <w:rPr>
                <w:rFonts w:ascii="Times New Roman" w:hAnsi="Times New Roman" w:cs="Times New Roman"/>
                <w:lang w:val="en-US"/>
              </w:rPr>
              <w:t xml:space="preserve">so </w:t>
            </w:r>
            <w:r w:rsidR="006F283D" w:rsidRPr="004A077E">
              <w:rPr>
                <w:rFonts w:ascii="Times New Roman" w:hAnsi="Times New Roman" w:cs="Times New Roman"/>
                <w:lang w:val="en-US"/>
              </w:rPr>
              <w:t>decides</w:t>
            </w:r>
            <w:r w:rsidRPr="004A077E">
              <w:rPr>
                <w:rFonts w:ascii="Times New Roman" w:hAnsi="Times New Roman" w:cs="Times New Roman"/>
                <w:lang w:val="en-US"/>
              </w:rPr>
              <w:t>.</w:t>
            </w:r>
            <w:r w:rsidR="00CE3E7A" w:rsidRPr="004A077E">
              <w:rPr>
                <w:rFonts w:ascii="Times New Roman" w:hAnsi="Times New Roman" w:cs="Times New Roman"/>
                <w:lang w:val="en-US"/>
              </w:rPr>
              <w:t xml:space="preserve"> It has been clarified that p</w:t>
            </w:r>
            <w:r w:rsidRPr="004A077E">
              <w:rPr>
                <w:rFonts w:ascii="Times New Roman" w:hAnsi="Times New Roman" w:cs="Times New Roman"/>
                <w:lang w:val="en-US"/>
              </w:rPr>
              <w:t xml:space="preserve">remature unblinding </w:t>
            </w:r>
            <w:r w:rsidR="0051638B" w:rsidRPr="004A077E">
              <w:rPr>
                <w:rFonts w:ascii="Times New Roman" w:hAnsi="Times New Roman" w:cs="Times New Roman"/>
                <w:lang w:val="en-US"/>
              </w:rPr>
              <w:t>is not a criterion for discontinuing</w:t>
            </w:r>
            <w:r w:rsidRPr="004A077E">
              <w:rPr>
                <w:rFonts w:ascii="Times New Roman" w:hAnsi="Times New Roman" w:cs="Times New Roman"/>
                <w:lang w:val="en-US"/>
              </w:rPr>
              <w:t xml:space="preserve"> treatment.</w:t>
            </w:r>
          </w:p>
          <w:p w14:paraId="4BAF664F" w14:textId="060646BC" w:rsidR="004B596A" w:rsidRPr="004A077E" w:rsidRDefault="004B596A" w:rsidP="00E90E62">
            <w:pPr>
              <w:spacing w:after="0"/>
              <w:rPr>
                <w:rFonts w:ascii="Times New Roman" w:hAnsi="Times New Roman" w:cs="Times New Roman"/>
                <w:lang w:val="en-US"/>
              </w:rPr>
            </w:pPr>
            <w:r w:rsidRPr="004A077E">
              <w:rPr>
                <w:rFonts w:ascii="Times New Roman" w:hAnsi="Times New Roman" w:cs="Times New Roman"/>
                <w:b/>
                <w:lang w:val="en-US"/>
              </w:rPr>
              <w:lastRenderedPageBreak/>
              <w:t xml:space="preserve">Section 10: </w:t>
            </w:r>
            <w:r w:rsidRPr="004A077E">
              <w:rPr>
                <w:rFonts w:ascii="Times New Roman" w:hAnsi="Times New Roman" w:cs="Times New Roman"/>
                <w:lang w:val="en-US"/>
              </w:rPr>
              <w:t xml:space="preserve">The procedure for emergency unblinding has been </w:t>
            </w:r>
            <w:r w:rsidR="006F283D" w:rsidRPr="004A077E">
              <w:rPr>
                <w:rFonts w:ascii="Times New Roman" w:hAnsi="Times New Roman" w:cs="Times New Roman"/>
                <w:lang w:val="en-US"/>
              </w:rPr>
              <w:t>described in greater detail</w:t>
            </w:r>
            <w:r w:rsidRPr="004A077E">
              <w:rPr>
                <w:rFonts w:ascii="Times New Roman" w:hAnsi="Times New Roman" w:cs="Times New Roman"/>
                <w:lang w:val="en-US"/>
              </w:rPr>
              <w:t>.</w:t>
            </w:r>
          </w:p>
        </w:tc>
      </w:tr>
      <w:tr w:rsidR="00CB2ACF" w:rsidRPr="00390BA5" w14:paraId="0827FB33" w14:textId="77777777" w:rsidTr="00012B09">
        <w:tc>
          <w:tcPr>
            <w:tcW w:w="1366" w:type="dxa"/>
          </w:tcPr>
          <w:p w14:paraId="0F9B1161" w14:textId="68725DFD" w:rsidR="00CB2ACF" w:rsidRPr="00012B09" w:rsidRDefault="00685DBE" w:rsidP="00E90E62">
            <w:pPr>
              <w:rPr>
                <w:rFonts w:ascii="Times New Roman" w:hAnsi="Times New Roman" w:cs="Times New Roman"/>
                <w:lang w:val="en-US"/>
              </w:rPr>
            </w:pPr>
            <w:r w:rsidRPr="00012B09">
              <w:rPr>
                <w:rFonts w:ascii="Times New Roman" w:hAnsi="Times New Roman" w:cs="Times New Roman"/>
                <w:lang w:val="en-US"/>
              </w:rPr>
              <w:lastRenderedPageBreak/>
              <w:t>2021-11-30</w:t>
            </w:r>
          </w:p>
        </w:tc>
        <w:tc>
          <w:tcPr>
            <w:tcW w:w="1016" w:type="dxa"/>
          </w:tcPr>
          <w:p w14:paraId="4AF663CB" w14:textId="6B85D8E9" w:rsidR="00CB2ACF" w:rsidRPr="00012B09" w:rsidRDefault="00CB2ACF" w:rsidP="00E90E62">
            <w:pPr>
              <w:rPr>
                <w:rFonts w:ascii="Times New Roman" w:hAnsi="Times New Roman" w:cs="Times New Roman"/>
                <w:lang w:val="en-US"/>
              </w:rPr>
            </w:pPr>
            <w:r w:rsidRPr="00012B09">
              <w:rPr>
                <w:rFonts w:ascii="Times New Roman" w:hAnsi="Times New Roman" w:cs="Times New Roman"/>
                <w:lang w:val="en-US"/>
              </w:rPr>
              <w:t>6</w:t>
            </w:r>
          </w:p>
        </w:tc>
        <w:tc>
          <w:tcPr>
            <w:tcW w:w="6827" w:type="dxa"/>
          </w:tcPr>
          <w:p w14:paraId="2F631720" w14:textId="3E5805D5" w:rsidR="00CB2ACF" w:rsidRPr="00012B09" w:rsidRDefault="00CB2ACF" w:rsidP="00E90E62">
            <w:pPr>
              <w:spacing w:after="0"/>
              <w:rPr>
                <w:rFonts w:ascii="Times New Roman" w:hAnsi="Times New Roman" w:cs="Times New Roman"/>
                <w:lang w:val="en-US"/>
              </w:rPr>
            </w:pPr>
            <w:r w:rsidRPr="00012B09">
              <w:rPr>
                <w:rFonts w:ascii="Times New Roman" w:hAnsi="Times New Roman" w:cs="Times New Roman"/>
                <w:b/>
                <w:lang w:val="en-US"/>
              </w:rPr>
              <w:t xml:space="preserve">Section 15.4: </w:t>
            </w:r>
            <w:r w:rsidRPr="00012B09">
              <w:rPr>
                <w:rFonts w:ascii="Times New Roman" w:hAnsi="Times New Roman" w:cs="Times New Roman"/>
                <w:lang w:val="en-US"/>
              </w:rPr>
              <w:t>Upon particip</w:t>
            </w:r>
            <w:r w:rsidR="0041293C" w:rsidRPr="00012B09">
              <w:rPr>
                <w:rFonts w:ascii="Times New Roman" w:hAnsi="Times New Roman" w:cs="Times New Roman"/>
                <w:lang w:val="en-US"/>
              </w:rPr>
              <w:t xml:space="preserve">ant withdrawal, all previously </w:t>
            </w:r>
            <w:r w:rsidRPr="00012B09">
              <w:rPr>
                <w:rFonts w:ascii="Times New Roman" w:hAnsi="Times New Roman" w:cs="Times New Roman"/>
                <w:lang w:val="en-US"/>
              </w:rPr>
              <w:t>collected da</w:t>
            </w:r>
            <w:r w:rsidR="004F218D" w:rsidRPr="00012B09">
              <w:rPr>
                <w:rFonts w:ascii="Times New Roman" w:hAnsi="Times New Roman" w:cs="Times New Roman"/>
                <w:lang w:val="en-US"/>
              </w:rPr>
              <w:t>ta must be retained for archiving</w:t>
            </w:r>
            <w:r w:rsidRPr="00012B09">
              <w:rPr>
                <w:rFonts w:ascii="Times New Roman" w:hAnsi="Times New Roman" w:cs="Times New Roman"/>
                <w:lang w:val="en-US"/>
              </w:rPr>
              <w:t xml:space="preserve"> purposes.</w:t>
            </w:r>
          </w:p>
          <w:p w14:paraId="695F4D5E" w14:textId="1A08EBBA" w:rsidR="007A5BED" w:rsidRPr="00012B09" w:rsidRDefault="007A5BED" w:rsidP="00E90E62">
            <w:pPr>
              <w:spacing w:after="0"/>
              <w:rPr>
                <w:rFonts w:ascii="Times New Roman" w:hAnsi="Times New Roman" w:cs="Times New Roman"/>
                <w:lang w:val="en-US"/>
              </w:rPr>
            </w:pPr>
            <w:r w:rsidRPr="00012B09">
              <w:rPr>
                <w:rFonts w:ascii="Times New Roman" w:hAnsi="Times New Roman" w:cs="Times New Roman"/>
                <w:b/>
                <w:lang w:val="en-US"/>
              </w:rPr>
              <w:t xml:space="preserve">Section 8.1: </w:t>
            </w:r>
            <w:r w:rsidRPr="00012B09">
              <w:rPr>
                <w:rFonts w:ascii="Times New Roman" w:hAnsi="Times New Roman" w:cs="Times New Roman"/>
                <w:lang w:val="en-US"/>
              </w:rPr>
              <w:t xml:space="preserve">It has been clarified that the definition of adverse event does not include </w:t>
            </w:r>
            <w:r w:rsidR="0053796E" w:rsidRPr="00012B09">
              <w:rPr>
                <w:rFonts w:ascii="Times New Roman" w:hAnsi="Times New Roman" w:cs="Times New Roman"/>
                <w:lang w:val="en-US"/>
              </w:rPr>
              <w:t xml:space="preserve">those </w:t>
            </w:r>
            <w:r w:rsidRPr="00012B09">
              <w:rPr>
                <w:rFonts w:ascii="Times New Roman" w:hAnsi="Times New Roman" w:cs="Times New Roman"/>
                <w:lang w:val="en-US"/>
              </w:rPr>
              <w:t xml:space="preserve">events </w:t>
            </w:r>
            <w:r w:rsidR="004973F6" w:rsidRPr="00012B09">
              <w:rPr>
                <w:rFonts w:ascii="Times New Roman" w:hAnsi="Times New Roman" w:cs="Times New Roman"/>
                <w:lang w:val="en-US"/>
              </w:rPr>
              <w:t xml:space="preserve">that are </w:t>
            </w:r>
            <w:r w:rsidR="0053796E" w:rsidRPr="00012B09">
              <w:rPr>
                <w:rFonts w:ascii="Times New Roman" w:hAnsi="Times New Roman" w:cs="Times New Roman"/>
                <w:lang w:val="en-US"/>
              </w:rPr>
              <w:t>part of</w:t>
            </w:r>
            <w:r w:rsidRPr="00012B09">
              <w:rPr>
                <w:rFonts w:ascii="Times New Roman" w:hAnsi="Times New Roman" w:cs="Times New Roman"/>
                <w:lang w:val="en-US"/>
              </w:rPr>
              <w:t xml:space="preserve"> the study’s primary or secondary outcomes. </w:t>
            </w:r>
          </w:p>
        </w:tc>
      </w:tr>
      <w:tr w:rsidR="00BB16AF" w:rsidRPr="00390BA5" w14:paraId="2F590E0A" w14:textId="77777777" w:rsidTr="00012B09">
        <w:tc>
          <w:tcPr>
            <w:tcW w:w="1366" w:type="dxa"/>
          </w:tcPr>
          <w:p w14:paraId="223B76E9" w14:textId="7AD5861B" w:rsidR="00BB16AF" w:rsidRPr="00012B09" w:rsidRDefault="0038183D" w:rsidP="00E90E62">
            <w:pPr>
              <w:rPr>
                <w:rFonts w:ascii="Times New Roman" w:hAnsi="Times New Roman" w:cs="Times New Roman"/>
                <w:lang w:val="en-US"/>
              </w:rPr>
            </w:pPr>
            <w:r w:rsidRPr="00012B09">
              <w:rPr>
                <w:rFonts w:ascii="Times New Roman" w:hAnsi="Times New Roman" w:cs="Times New Roman"/>
                <w:lang w:val="en-US"/>
              </w:rPr>
              <w:t>2022-01-31</w:t>
            </w:r>
          </w:p>
        </w:tc>
        <w:tc>
          <w:tcPr>
            <w:tcW w:w="1016" w:type="dxa"/>
          </w:tcPr>
          <w:p w14:paraId="5E4D90CD" w14:textId="6BA912E5" w:rsidR="00BB16AF" w:rsidRPr="00012B09" w:rsidRDefault="00BB16AF" w:rsidP="00E90E62">
            <w:pPr>
              <w:rPr>
                <w:rFonts w:ascii="Times New Roman" w:hAnsi="Times New Roman" w:cs="Times New Roman"/>
                <w:lang w:val="en-US"/>
              </w:rPr>
            </w:pPr>
            <w:r w:rsidRPr="00012B09">
              <w:rPr>
                <w:rFonts w:ascii="Times New Roman" w:hAnsi="Times New Roman" w:cs="Times New Roman"/>
                <w:lang w:val="en-US"/>
              </w:rPr>
              <w:t>7</w:t>
            </w:r>
          </w:p>
        </w:tc>
        <w:tc>
          <w:tcPr>
            <w:tcW w:w="6827" w:type="dxa"/>
          </w:tcPr>
          <w:p w14:paraId="62A3265C" w14:textId="1101B1D7" w:rsidR="00B351BD" w:rsidRPr="00012B09" w:rsidRDefault="00BB16AF" w:rsidP="00E90E62">
            <w:pPr>
              <w:spacing w:after="0"/>
              <w:rPr>
                <w:rFonts w:ascii="Times New Roman" w:hAnsi="Times New Roman" w:cs="Times New Roman"/>
                <w:lang w:val="en-US"/>
              </w:rPr>
            </w:pPr>
            <w:r w:rsidRPr="00012B09">
              <w:rPr>
                <w:rFonts w:ascii="Times New Roman" w:hAnsi="Times New Roman" w:cs="Times New Roman"/>
                <w:b/>
                <w:lang w:val="en-US"/>
              </w:rPr>
              <w:t xml:space="preserve">Sections 5.2, 6.1, </w:t>
            </w:r>
            <w:r w:rsidR="00F0036B" w:rsidRPr="00012B09">
              <w:rPr>
                <w:rFonts w:ascii="Times New Roman" w:hAnsi="Times New Roman" w:cs="Times New Roman"/>
                <w:b/>
                <w:lang w:val="en-US"/>
              </w:rPr>
              <w:t xml:space="preserve">9, </w:t>
            </w:r>
            <w:r w:rsidRPr="00012B09">
              <w:rPr>
                <w:rFonts w:ascii="Times New Roman" w:hAnsi="Times New Roman" w:cs="Times New Roman"/>
                <w:b/>
                <w:lang w:val="en-US"/>
              </w:rPr>
              <w:t>12.3, 13:</w:t>
            </w:r>
            <w:r w:rsidR="00F0036B" w:rsidRPr="00012B09">
              <w:rPr>
                <w:rFonts w:ascii="Times New Roman" w:hAnsi="Times New Roman" w:cs="Times New Roman"/>
                <w:lang w:val="en-US"/>
              </w:rPr>
              <w:t xml:space="preserve"> </w:t>
            </w:r>
            <w:r w:rsidR="005B592B" w:rsidRPr="00012B09">
              <w:rPr>
                <w:rFonts w:ascii="Times New Roman" w:hAnsi="Times New Roman" w:cs="Times New Roman"/>
                <w:lang w:val="en-US"/>
              </w:rPr>
              <w:t>Serum calcium has been replaced with plasma calcium (both values and reference values)</w:t>
            </w:r>
            <w:r w:rsidR="00F0036B" w:rsidRPr="00012B09">
              <w:rPr>
                <w:rFonts w:ascii="Times New Roman" w:hAnsi="Times New Roman" w:cs="Times New Roman"/>
                <w:lang w:val="en-US"/>
              </w:rPr>
              <w:t>.</w:t>
            </w:r>
          </w:p>
          <w:p w14:paraId="0861BB85" w14:textId="32B751C9" w:rsidR="00F63356" w:rsidRPr="00012B09" w:rsidRDefault="00F63356" w:rsidP="00E90E62">
            <w:pPr>
              <w:spacing w:after="0"/>
              <w:rPr>
                <w:rFonts w:ascii="Times New Roman" w:hAnsi="Times New Roman" w:cs="Times New Roman"/>
                <w:lang w:val="en-US"/>
              </w:rPr>
            </w:pPr>
            <w:r w:rsidRPr="00012B09">
              <w:rPr>
                <w:rFonts w:ascii="Times New Roman" w:hAnsi="Times New Roman" w:cs="Times New Roman"/>
                <w:b/>
                <w:lang w:val="en-US"/>
              </w:rPr>
              <w:t>Section 8</w:t>
            </w:r>
            <w:r w:rsidR="00685D32" w:rsidRPr="00012B09">
              <w:rPr>
                <w:rFonts w:ascii="Times New Roman" w:hAnsi="Times New Roman" w:cs="Times New Roman"/>
                <w:b/>
                <w:lang w:val="en-US"/>
              </w:rPr>
              <w:t>.4:</w:t>
            </w:r>
            <w:r w:rsidR="00685D32" w:rsidRPr="00012B09">
              <w:rPr>
                <w:rFonts w:ascii="Times New Roman" w:hAnsi="Times New Roman" w:cs="Times New Roman"/>
                <w:lang w:val="en-US"/>
              </w:rPr>
              <w:t xml:space="preserve"> The</w:t>
            </w:r>
            <w:r w:rsidR="0086153C" w:rsidRPr="00012B09">
              <w:rPr>
                <w:rFonts w:ascii="Times New Roman" w:hAnsi="Times New Roman" w:cs="Times New Roman"/>
                <w:lang w:val="en-US"/>
              </w:rPr>
              <w:t xml:space="preserve"> Development Safety Update Report must be submitted to the Swedish Ethical Review Authority.</w:t>
            </w:r>
          </w:p>
          <w:p w14:paraId="68A4C4B9" w14:textId="25AB9E09" w:rsidR="00D87AFA" w:rsidRPr="00012B09" w:rsidRDefault="00D87AFA" w:rsidP="00E90E62">
            <w:pPr>
              <w:spacing w:after="0"/>
              <w:rPr>
                <w:rFonts w:ascii="Times New Roman" w:hAnsi="Times New Roman" w:cs="Times New Roman"/>
                <w:b/>
                <w:lang w:val="en-US"/>
              </w:rPr>
            </w:pPr>
            <w:r w:rsidRPr="00012B09">
              <w:rPr>
                <w:rFonts w:ascii="Times New Roman" w:hAnsi="Times New Roman" w:cs="Times New Roman"/>
                <w:b/>
                <w:lang w:val="en-US"/>
              </w:rPr>
              <w:t>Section 11:</w:t>
            </w:r>
            <w:r w:rsidRPr="00012B09">
              <w:rPr>
                <w:rFonts w:ascii="Times New Roman" w:hAnsi="Times New Roman" w:cs="Times New Roman"/>
                <w:lang w:val="en-US"/>
              </w:rPr>
              <w:t xml:space="preserve"> Randomization staff are permitted to have contact with participants prior to randomization.</w:t>
            </w:r>
          </w:p>
          <w:p w14:paraId="60B8DF3D" w14:textId="26B85E71" w:rsidR="00BB16AF" w:rsidRPr="00012B09" w:rsidRDefault="00B351BD" w:rsidP="00E90E62">
            <w:pPr>
              <w:spacing w:after="0"/>
              <w:rPr>
                <w:rFonts w:ascii="Times New Roman" w:hAnsi="Times New Roman" w:cs="Times New Roman"/>
                <w:lang w:val="en-US"/>
              </w:rPr>
            </w:pPr>
            <w:r w:rsidRPr="00012B09">
              <w:rPr>
                <w:rFonts w:ascii="Times New Roman" w:hAnsi="Times New Roman" w:cs="Times New Roman"/>
                <w:b/>
                <w:lang w:val="en-US"/>
              </w:rPr>
              <w:t>Section 13.3:</w:t>
            </w:r>
            <w:r w:rsidRPr="00012B09">
              <w:rPr>
                <w:rFonts w:ascii="Times New Roman" w:hAnsi="Times New Roman" w:cs="Times New Roman"/>
                <w:lang w:val="en-US"/>
              </w:rPr>
              <w:t xml:space="preserve"> Batch numbers will be recorded for</w:t>
            </w:r>
            <w:r w:rsidR="005B4E87" w:rsidRPr="00012B09">
              <w:rPr>
                <w:rFonts w:ascii="Times New Roman" w:hAnsi="Times New Roman" w:cs="Times New Roman"/>
                <w:lang w:val="en-US"/>
              </w:rPr>
              <w:t xml:space="preserve"> zoledronic acid</w:t>
            </w:r>
            <w:r w:rsidRPr="00012B09">
              <w:rPr>
                <w:rFonts w:ascii="Times New Roman" w:hAnsi="Times New Roman" w:cs="Times New Roman"/>
                <w:lang w:val="en-US"/>
              </w:rPr>
              <w:t>.</w:t>
            </w:r>
          </w:p>
        </w:tc>
      </w:tr>
      <w:tr w:rsidR="00D26EDE" w:rsidRPr="00390BA5" w14:paraId="626C6E06" w14:textId="77777777" w:rsidTr="00012B09">
        <w:tc>
          <w:tcPr>
            <w:tcW w:w="1366" w:type="dxa"/>
          </w:tcPr>
          <w:p w14:paraId="3071604C" w14:textId="08764280" w:rsidR="00D26EDE" w:rsidRPr="00012B09" w:rsidRDefault="0025398F" w:rsidP="00E90E62">
            <w:pPr>
              <w:rPr>
                <w:rFonts w:ascii="Times New Roman" w:hAnsi="Times New Roman" w:cs="Times New Roman"/>
                <w:lang w:val="en-US"/>
              </w:rPr>
            </w:pPr>
            <w:r w:rsidRPr="00012B09">
              <w:rPr>
                <w:rFonts w:ascii="Times New Roman" w:hAnsi="Times New Roman" w:cs="Times New Roman"/>
                <w:lang w:val="en-US"/>
              </w:rPr>
              <w:t>2022-04</w:t>
            </w:r>
            <w:r w:rsidR="008A6DA8" w:rsidRPr="00012B09">
              <w:rPr>
                <w:rFonts w:ascii="Times New Roman" w:hAnsi="Times New Roman" w:cs="Times New Roman"/>
                <w:lang w:val="en-US"/>
              </w:rPr>
              <w:t>-</w:t>
            </w:r>
            <w:r w:rsidR="002F36DC" w:rsidRPr="00012B09">
              <w:rPr>
                <w:rFonts w:ascii="Times New Roman" w:hAnsi="Times New Roman" w:cs="Times New Roman"/>
                <w:lang w:val="en-US"/>
              </w:rPr>
              <w:t>2</w:t>
            </w:r>
            <w:r w:rsidRPr="00012B09">
              <w:rPr>
                <w:rFonts w:ascii="Times New Roman" w:hAnsi="Times New Roman" w:cs="Times New Roman"/>
                <w:lang w:val="en-US"/>
              </w:rPr>
              <w:t>8</w:t>
            </w:r>
          </w:p>
        </w:tc>
        <w:tc>
          <w:tcPr>
            <w:tcW w:w="1016" w:type="dxa"/>
          </w:tcPr>
          <w:p w14:paraId="08880015" w14:textId="11F18225" w:rsidR="00D26EDE" w:rsidRPr="00012B09" w:rsidRDefault="00D26EDE" w:rsidP="00E90E62">
            <w:pPr>
              <w:rPr>
                <w:rFonts w:ascii="Times New Roman" w:hAnsi="Times New Roman" w:cs="Times New Roman"/>
                <w:lang w:val="en-US"/>
              </w:rPr>
            </w:pPr>
            <w:r w:rsidRPr="00012B09">
              <w:rPr>
                <w:rFonts w:ascii="Times New Roman" w:hAnsi="Times New Roman" w:cs="Times New Roman"/>
                <w:lang w:val="en-US"/>
              </w:rPr>
              <w:t>8</w:t>
            </w:r>
          </w:p>
        </w:tc>
        <w:tc>
          <w:tcPr>
            <w:tcW w:w="6827" w:type="dxa"/>
          </w:tcPr>
          <w:p w14:paraId="6A9EB146" w14:textId="3214C762" w:rsidR="00A87467" w:rsidRPr="00012B09" w:rsidRDefault="00D26EDE" w:rsidP="00E90E62">
            <w:pPr>
              <w:spacing w:after="0"/>
              <w:rPr>
                <w:rFonts w:ascii="Times New Roman" w:hAnsi="Times New Roman" w:cs="Times New Roman"/>
                <w:lang w:val="en-US"/>
              </w:rPr>
            </w:pPr>
            <w:r w:rsidRPr="00012B09">
              <w:rPr>
                <w:rFonts w:ascii="Times New Roman" w:hAnsi="Times New Roman" w:cs="Times New Roman"/>
                <w:b/>
                <w:lang w:val="en-US"/>
              </w:rPr>
              <w:t xml:space="preserve">Section 9: </w:t>
            </w:r>
            <w:r w:rsidRPr="00012B09">
              <w:rPr>
                <w:rFonts w:ascii="Times New Roman" w:hAnsi="Times New Roman" w:cs="Times New Roman"/>
                <w:lang w:val="en-US"/>
              </w:rPr>
              <w:t>Baseline tests do not need to be repeated if randomization is delayed.</w:t>
            </w:r>
          </w:p>
          <w:p w14:paraId="5ADEEB78" w14:textId="6BB1DCF6" w:rsidR="00A87467" w:rsidRPr="00012B09" w:rsidRDefault="00A87467" w:rsidP="00E90E62">
            <w:pPr>
              <w:spacing w:after="0"/>
              <w:rPr>
                <w:rFonts w:ascii="Times New Roman" w:hAnsi="Times New Roman" w:cs="Times New Roman"/>
                <w:lang w:val="en-US"/>
              </w:rPr>
            </w:pPr>
            <w:r w:rsidRPr="00012B09">
              <w:rPr>
                <w:rFonts w:ascii="Times New Roman" w:hAnsi="Times New Roman" w:cs="Times New Roman"/>
                <w:b/>
                <w:lang w:val="en-US"/>
              </w:rPr>
              <w:t>Section</w:t>
            </w:r>
            <w:r w:rsidR="004B47AD" w:rsidRPr="00012B09">
              <w:rPr>
                <w:rFonts w:ascii="Times New Roman" w:hAnsi="Times New Roman" w:cs="Times New Roman"/>
                <w:b/>
                <w:lang w:val="en-US"/>
              </w:rPr>
              <w:t>s</w:t>
            </w:r>
            <w:r w:rsidRPr="00012B09">
              <w:rPr>
                <w:rFonts w:ascii="Times New Roman" w:hAnsi="Times New Roman" w:cs="Times New Roman"/>
                <w:b/>
                <w:lang w:val="en-US"/>
              </w:rPr>
              <w:t xml:space="preserve"> 11</w:t>
            </w:r>
            <w:r w:rsidR="007A5BC4" w:rsidRPr="00012B09">
              <w:rPr>
                <w:rFonts w:ascii="Times New Roman" w:hAnsi="Times New Roman" w:cs="Times New Roman"/>
                <w:b/>
                <w:lang w:val="en-US"/>
              </w:rPr>
              <w:t>, 12.2</w:t>
            </w:r>
            <w:r w:rsidRPr="00012B09">
              <w:rPr>
                <w:rFonts w:ascii="Times New Roman" w:hAnsi="Times New Roman" w:cs="Times New Roman"/>
                <w:b/>
                <w:lang w:val="en-US"/>
              </w:rPr>
              <w:t>:</w:t>
            </w:r>
            <w:r w:rsidRPr="00012B09">
              <w:rPr>
                <w:rFonts w:ascii="Times New Roman" w:hAnsi="Times New Roman" w:cs="Times New Roman"/>
                <w:lang w:val="en-US"/>
              </w:rPr>
              <w:t xml:space="preserve"> Information about </w:t>
            </w:r>
            <w:r w:rsidR="007A5BC4" w:rsidRPr="00012B09">
              <w:rPr>
                <w:rFonts w:ascii="Times New Roman" w:hAnsi="Times New Roman" w:cs="Times New Roman"/>
                <w:lang w:val="en-US"/>
              </w:rPr>
              <w:t>pre-screening has</w:t>
            </w:r>
            <w:r w:rsidRPr="00012B09">
              <w:rPr>
                <w:rFonts w:ascii="Times New Roman" w:hAnsi="Times New Roman" w:cs="Times New Roman"/>
                <w:lang w:val="en-US"/>
              </w:rPr>
              <w:t xml:space="preserve"> been added</w:t>
            </w:r>
            <w:r w:rsidR="007A5BC4" w:rsidRPr="00012B09">
              <w:rPr>
                <w:rFonts w:ascii="Times New Roman" w:hAnsi="Times New Roman" w:cs="Times New Roman"/>
                <w:lang w:val="en-US"/>
              </w:rPr>
              <w:t>.</w:t>
            </w:r>
            <w:r w:rsidR="00306BEF" w:rsidRPr="00012B09">
              <w:rPr>
                <w:rFonts w:ascii="Times New Roman" w:hAnsi="Times New Roman" w:cs="Times New Roman"/>
                <w:lang w:val="en-US"/>
              </w:rPr>
              <w:t xml:space="preserve"> I</w:t>
            </w:r>
            <w:r w:rsidR="007A5BC4" w:rsidRPr="00012B09">
              <w:rPr>
                <w:rFonts w:ascii="Times New Roman" w:hAnsi="Times New Roman" w:cs="Times New Roman"/>
                <w:lang w:val="en-US"/>
              </w:rPr>
              <w:t xml:space="preserve">t has been clarified how patient lists from the Swedish Fracture Register will be </w:t>
            </w:r>
            <w:r w:rsidR="000421DE" w:rsidRPr="00012B09">
              <w:rPr>
                <w:rFonts w:ascii="Times New Roman" w:hAnsi="Times New Roman" w:cs="Times New Roman"/>
                <w:lang w:val="en-US"/>
              </w:rPr>
              <w:t>handled</w:t>
            </w:r>
            <w:r w:rsidR="007A5BC4" w:rsidRPr="00012B09">
              <w:rPr>
                <w:rFonts w:ascii="Times New Roman" w:hAnsi="Times New Roman" w:cs="Times New Roman"/>
                <w:lang w:val="en-US"/>
              </w:rPr>
              <w:t>.</w:t>
            </w:r>
          </w:p>
          <w:p w14:paraId="6477C925" w14:textId="74799FEE" w:rsidR="000D4F9D" w:rsidRPr="00012B09" w:rsidRDefault="000D4F9D" w:rsidP="00E90E62">
            <w:pPr>
              <w:spacing w:after="0"/>
              <w:rPr>
                <w:rFonts w:ascii="Times New Roman" w:hAnsi="Times New Roman" w:cs="Times New Roman"/>
                <w:b/>
                <w:lang w:val="en-US"/>
              </w:rPr>
            </w:pPr>
            <w:r w:rsidRPr="00012B09">
              <w:rPr>
                <w:rFonts w:ascii="Times New Roman" w:hAnsi="Times New Roman" w:cs="Times New Roman"/>
                <w:b/>
                <w:lang w:val="en-US"/>
              </w:rPr>
              <w:t>Section</w:t>
            </w:r>
            <w:r w:rsidR="00E66F03" w:rsidRPr="00012B09">
              <w:rPr>
                <w:rFonts w:ascii="Times New Roman" w:hAnsi="Times New Roman" w:cs="Times New Roman"/>
                <w:b/>
                <w:lang w:val="en-US"/>
              </w:rPr>
              <w:t>s</w:t>
            </w:r>
            <w:r w:rsidRPr="00012B09">
              <w:rPr>
                <w:rFonts w:ascii="Times New Roman" w:hAnsi="Times New Roman" w:cs="Times New Roman"/>
                <w:b/>
                <w:lang w:val="en-US"/>
              </w:rPr>
              <w:t xml:space="preserve"> 6</w:t>
            </w:r>
            <w:r w:rsidR="00E66F03" w:rsidRPr="00012B09">
              <w:rPr>
                <w:rFonts w:ascii="Times New Roman" w:hAnsi="Times New Roman" w:cs="Times New Roman"/>
                <w:b/>
                <w:lang w:val="en-US"/>
              </w:rPr>
              <w:t>, 10</w:t>
            </w:r>
            <w:r w:rsidRPr="00012B09">
              <w:rPr>
                <w:rFonts w:ascii="Times New Roman" w:hAnsi="Times New Roman" w:cs="Times New Roman"/>
                <w:b/>
                <w:lang w:val="en-US"/>
              </w:rPr>
              <w:t xml:space="preserve">: </w:t>
            </w:r>
            <w:proofErr w:type="spellStart"/>
            <w:r w:rsidR="001A1AE5" w:rsidRPr="00012B09">
              <w:rPr>
                <w:rFonts w:ascii="Times New Roman" w:hAnsi="Times New Roman" w:cs="Times New Roman"/>
                <w:lang w:val="en-US"/>
              </w:rPr>
              <w:t>R</w:t>
            </w:r>
            <w:r w:rsidRPr="00012B09">
              <w:rPr>
                <w:rFonts w:ascii="Times New Roman" w:hAnsi="Times New Roman" w:cs="Times New Roman"/>
                <w:lang w:val="en-US"/>
              </w:rPr>
              <w:t>uitines</w:t>
            </w:r>
            <w:proofErr w:type="spellEnd"/>
            <w:r w:rsidRPr="00012B09">
              <w:rPr>
                <w:rFonts w:ascii="Times New Roman" w:hAnsi="Times New Roman" w:cs="Times New Roman"/>
                <w:lang w:val="en-US"/>
              </w:rPr>
              <w:t xml:space="preserve"> for</w:t>
            </w:r>
            <w:r w:rsidRPr="00012B09">
              <w:rPr>
                <w:rFonts w:ascii="Times New Roman" w:hAnsi="Times New Roman" w:cs="Times New Roman"/>
                <w:b/>
                <w:lang w:val="en-US"/>
              </w:rPr>
              <w:t xml:space="preserve"> </w:t>
            </w:r>
            <w:r w:rsidRPr="00012B09">
              <w:rPr>
                <w:rFonts w:ascii="Times New Roman" w:hAnsi="Times New Roman" w:cs="Times New Roman"/>
                <w:lang w:val="en-US"/>
              </w:rPr>
              <w:t>infusions have been updated</w:t>
            </w:r>
            <w:r w:rsidR="00A150D9" w:rsidRPr="00012B09">
              <w:rPr>
                <w:rFonts w:ascii="Times New Roman" w:hAnsi="Times New Roman" w:cs="Times New Roman"/>
                <w:lang w:val="en-US"/>
              </w:rPr>
              <w:t>.</w:t>
            </w:r>
            <w:r w:rsidRPr="00012B09">
              <w:rPr>
                <w:rFonts w:ascii="Times New Roman" w:hAnsi="Times New Roman" w:cs="Times New Roman"/>
                <w:b/>
                <w:lang w:val="en-US"/>
              </w:rPr>
              <w:t xml:space="preserve"> </w:t>
            </w:r>
          </w:p>
        </w:tc>
      </w:tr>
      <w:tr w:rsidR="00012B09" w:rsidRPr="00390BA5" w14:paraId="22B4B8F0" w14:textId="398C2A3A" w:rsidTr="00012B09">
        <w:tblPrEx>
          <w:tblCellMar>
            <w:left w:w="70" w:type="dxa"/>
            <w:right w:w="70" w:type="dxa"/>
          </w:tblCellMar>
          <w:tblLook w:val="0000" w:firstRow="0" w:lastRow="0" w:firstColumn="0" w:lastColumn="0" w:noHBand="0" w:noVBand="0"/>
        </w:tblPrEx>
        <w:trPr>
          <w:trHeight w:val="781"/>
        </w:trPr>
        <w:tc>
          <w:tcPr>
            <w:tcW w:w="1366" w:type="dxa"/>
          </w:tcPr>
          <w:p w14:paraId="3746659B" w14:textId="4F9BDCA7" w:rsidR="00E90E62" w:rsidRPr="00012B09" w:rsidRDefault="00012B09" w:rsidP="00E90E62">
            <w:pPr>
              <w:spacing w:after="0" w:line="240" w:lineRule="auto"/>
              <w:rPr>
                <w:rFonts w:ascii="Times New Roman" w:hAnsi="Times New Roman" w:cs="Times New Roman"/>
                <w:lang w:val="en-US"/>
              </w:rPr>
            </w:pPr>
            <w:r w:rsidRPr="00012B09">
              <w:rPr>
                <w:rFonts w:ascii="Times New Roman" w:hAnsi="Times New Roman" w:cs="Times New Roman"/>
                <w:lang w:val="en-US"/>
              </w:rPr>
              <w:t>2023-02-17</w:t>
            </w:r>
          </w:p>
        </w:tc>
        <w:tc>
          <w:tcPr>
            <w:tcW w:w="1016" w:type="dxa"/>
            <w:shd w:val="clear" w:color="auto" w:fill="auto"/>
          </w:tcPr>
          <w:p w14:paraId="2EE316D9" w14:textId="43882C95" w:rsidR="00012B09" w:rsidRPr="00012B09" w:rsidRDefault="00012B09">
            <w:pPr>
              <w:spacing w:after="0" w:line="240" w:lineRule="auto"/>
              <w:rPr>
                <w:rFonts w:ascii="Times New Roman" w:hAnsi="Times New Roman" w:cs="Times New Roman"/>
                <w:lang w:val="en-US"/>
              </w:rPr>
            </w:pPr>
            <w:r w:rsidRPr="00012B09">
              <w:rPr>
                <w:rFonts w:ascii="Times New Roman" w:hAnsi="Times New Roman" w:cs="Times New Roman"/>
                <w:lang w:val="en-US"/>
              </w:rPr>
              <w:t>9</w:t>
            </w:r>
          </w:p>
        </w:tc>
        <w:tc>
          <w:tcPr>
            <w:tcW w:w="6831" w:type="dxa"/>
            <w:shd w:val="clear" w:color="auto" w:fill="auto"/>
          </w:tcPr>
          <w:p w14:paraId="32D64815" w14:textId="6BEABD8D" w:rsidR="00180C63" w:rsidRDefault="00180C63" w:rsidP="00012B09">
            <w:pPr>
              <w:spacing w:after="0"/>
              <w:rPr>
                <w:rFonts w:ascii="Times New Roman" w:hAnsi="Times New Roman" w:cs="Times New Roman"/>
                <w:b/>
                <w:bCs/>
                <w:lang w:val="en-US"/>
              </w:rPr>
            </w:pPr>
            <w:r>
              <w:rPr>
                <w:rFonts w:ascii="Times New Roman" w:hAnsi="Times New Roman" w:cs="Times New Roman"/>
                <w:b/>
                <w:bCs/>
                <w:lang w:val="en-US"/>
              </w:rPr>
              <w:t xml:space="preserve">The contact information to the principal investigator </w:t>
            </w:r>
            <w:r w:rsidR="006A3901">
              <w:rPr>
                <w:rFonts w:ascii="Times New Roman" w:hAnsi="Times New Roman" w:cs="Times New Roman"/>
                <w:b/>
                <w:bCs/>
                <w:lang w:val="en-US"/>
              </w:rPr>
              <w:t xml:space="preserve">and co-author of the protocol </w:t>
            </w:r>
            <w:r>
              <w:rPr>
                <w:rFonts w:ascii="Times New Roman" w:hAnsi="Times New Roman" w:cs="Times New Roman"/>
                <w:b/>
                <w:bCs/>
                <w:lang w:val="en-US"/>
              </w:rPr>
              <w:t>has been changed. In addition:</w:t>
            </w:r>
          </w:p>
          <w:p w14:paraId="18B1A279" w14:textId="77777777" w:rsidR="00180C63" w:rsidRDefault="00180C63" w:rsidP="00012B09">
            <w:pPr>
              <w:spacing w:after="0"/>
              <w:rPr>
                <w:rFonts w:ascii="Times New Roman" w:hAnsi="Times New Roman" w:cs="Times New Roman"/>
                <w:b/>
                <w:bCs/>
                <w:lang w:val="en-US"/>
              </w:rPr>
            </w:pPr>
          </w:p>
          <w:p w14:paraId="2046ADF1" w14:textId="287A35DA" w:rsidR="00012B09" w:rsidRDefault="00012B09" w:rsidP="00012B09">
            <w:pPr>
              <w:spacing w:after="0"/>
              <w:rPr>
                <w:rFonts w:ascii="Times New Roman" w:hAnsi="Times New Roman" w:cs="Times New Roman"/>
                <w:lang w:val="en-US"/>
              </w:rPr>
            </w:pPr>
            <w:r w:rsidRPr="00012B09">
              <w:rPr>
                <w:rFonts w:ascii="Times New Roman" w:hAnsi="Times New Roman" w:cs="Times New Roman"/>
                <w:b/>
                <w:bCs/>
                <w:lang w:val="en-US"/>
              </w:rPr>
              <w:t xml:space="preserve">Section 9: </w:t>
            </w:r>
            <w:r w:rsidRPr="0002353C">
              <w:rPr>
                <w:rFonts w:ascii="Times New Roman" w:hAnsi="Times New Roman" w:cs="Times New Roman"/>
                <w:lang w:val="en-US"/>
              </w:rPr>
              <w:t>Baseline tests do not need to be repeated if randomization is delayed</w:t>
            </w:r>
            <w:r>
              <w:rPr>
                <w:rFonts w:ascii="Times New Roman" w:hAnsi="Times New Roman" w:cs="Times New Roman"/>
                <w:lang w:val="en-US"/>
              </w:rPr>
              <w:t xml:space="preserve"> no more than two months</w:t>
            </w:r>
            <w:r w:rsidRPr="0002353C">
              <w:rPr>
                <w:rFonts w:ascii="Times New Roman" w:hAnsi="Times New Roman" w:cs="Times New Roman"/>
                <w:lang w:val="en-US"/>
              </w:rPr>
              <w:t>.</w:t>
            </w:r>
            <w:r w:rsidR="009F4F9D">
              <w:rPr>
                <w:rFonts w:ascii="Times New Roman" w:hAnsi="Times New Roman" w:cs="Times New Roman"/>
                <w:lang w:val="en-US"/>
              </w:rPr>
              <w:t xml:space="preserve"> There will be no telephone interview at 48 months.  </w:t>
            </w:r>
          </w:p>
          <w:p w14:paraId="7370C488" w14:textId="6EB71250" w:rsidR="00033F6B" w:rsidRPr="00033F6B" w:rsidRDefault="00033F6B" w:rsidP="00012B09">
            <w:pPr>
              <w:spacing w:after="0"/>
              <w:rPr>
                <w:rFonts w:ascii="Times New Roman" w:hAnsi="Times New Roman" w:cs="Times New Roman"/>
                <w:lang w:val="en-US"/>
              </w:rPr>
            </w:pPr>
            <w:r w:rsidRPr="004A077E">
              <w:rPr>
                <w:rFonts w:ascii="Times New Roman" w:hAnsi="Times New Roman" w:cs="Times New Roman"/>
                <w:b/>
                <w:bCs/>
                <w:lang w:val="en-US"/>
              </w:rPr>
              <w:t xml:space="preserve">Section 10: </w:t>
            </w:r>
            <w:r w:rsidRPr="004A077E">
              <w:rPr>
                <w:rFonts w:ascii="Times New Roman" w:hAnsi="Times New Roman" w:cs="Times New Roman"/>
                <w:lang w:val="en-US"/>
              </w:rPr>
              <w:t>Another strateg</w:t>
            </w:r>
            <w:r>
              <w:rPr>
                <w:rFonts w:ascii="Times New Roman" w:hAnsi="Times New Roman" w:cs="Times New Roman"/>
                <w:lang w:val="en-US"/>
              </w:rPr>
              <w:t>y</w:t>
            </w:r>
            <w:r w:rsidRPr="004A077E">
              <w:rPr>
                <w:rFonts w:ascii="Times New Roman" w:hAnsi="Times New Roman" w:cs="Times New Roman"/>
                <w:lang w:val="en-US"/>
              </w:rPr>
              <w:t xml:space="preserve"> </w:t>
            </w:r>
            <w:r>
              <w:rPr>
                <w:rFonts w:ascii="Times New Roman" w:hAnsi="Times New Roman" w:cs="Times New Roman"/>
                <w:lang w:val="en-US"/>
              </w:rPr>
              <w:t xml:space="preserve">for blinding has been added. </w:t>
            </w:r>
          </w:p>
          <w:p w14:paraId="3BCB265E" w14:textId="2E8D1841" w:rsidR="00012B09" w:rsidRDefault="00012B09" w:rsidP="00012B09">
            <w:pPr>
              <w:spacing w:after="0"/>
              <w:rPr>
                <w:rFonts w:ascii="Times New Roman" w:hAnsi="Times New Roman" w:cs="Times New Roman"/>
                <w:lang w:val="en-US"/>
              </w:rPr>
            </w:pPr>
            <w:r w:rsidRPr="006A3901">
              <w:rPr>
                <w:rFonts w:ascii="Times New Roman" w:hAnsi="Times New Roman" w:cs="Times New Roman"/>
                <w:b/>
                <w:bCs/>
                <w:lang w:val="en-US"/>
              </w:rPr>
              <w:t xml:space="preserve">Section 11: </w:t>
            </w:r>
            <w:r w:rsidRPr="006A3901">
              <w:rPr>
                <w:rFonts w:ascii="Times New Roman" w:hAnsi="Times New Roman" w:cs="Times New Roman"/>
                <w:lang w:val="en-US"/>
              </w:rPr>
              <w:t xml:space="preserve">Strategies </w:t>
            </w:r>
            <w:r>
              <w:rPr>
                <w:rFonts w:ascii="Times New Roman" w:hAnsi="Times New Roman" w:cs="Times New Roman"/>
                <w:lang w:val="en-US"/>
              </w:rPr>
              <w:t xml:space="preserve">for recruitment have been clarified, and it has been added that patients may be given brief information about the study at the emergency ward. </w:t>
            </w:r>
          </w:p>
          <w:p w14:paraId="75E842B6" w14:textId="77777777" w:rsidR="00033F6B" w:rsidRDefault="00033F6B" w:rsidP="00012B09">
            <w:pPr>
              <w:spacing w:after="0"/>
              <w:rPr>
                <w:rFonts w:ascii="Times New Roman" w:hAnsi="Times New Roman" w:cs="Times New Roman"/>
                <w:lang w:val="en-US"/>
              </w:rPr>
            </w:pPr>
          </w:p>
          <w:p w14:paraId="3B5581E0" w14:textId="77777777" w:rsidR="00180C63" w:rsidRPr="00012B09" w:rsidRDefault="00180C63" w:rsidP="00012B09">
            <w:pPr>
              <w:spacing w:after="0"/>
              <w:rPr>
                <w:rFonts w:ascii="Times New Roman" w:hAnsi="Times New Roman" w:cs="Times New Roman"/>
                <w:lang w:val="en-US"/>
              </w:rPr>
            </w:pPr>
          </w:p>
          <w:p w14:paraId="513CC531" w14:textId="528BB8DD" w:rsidR="00012B09" w:rsidRPr="00012B09" w:rsidRDefault="00012B09">
            <w:pPr>
              <w:spacing w:after="0" w:line="240" w:lineRule="auto"/>
              <w:rPr>
                <w:lang w:val="en-US"/>
              </w:rPr>
            </w:pPr>
          </w:p>
        </w:tc>
      </w:tr>
      <w:tr w:rsidR="002D3E8F" w:rsidRPr="00390BA5" w14:paraId="10B4979D" w14:textId="77777777" w:rsidTr="00012B09">
        <w:tblPrEx>
          <w:tblCellMar>
            <w:left w:w="70" w:type="dxa"/>
            <w:right w:w="70" w:type="dxa"/>
          </w:tblCellMar>
          <w:tblLook w:val="0000" w:firstRow="0" w:lastRow="0" w:firstColumn="0" w:lastColumn="0" w:noHBand="0" w:noVBand="0"/>
        </w:tblPrEx>
        <w:trPr>
          <w:trHeight w:val="781"/>
        </w:trPr>
        <w:tc>
          <w:tcPr>
            <w:tcW w:w="1366" w:type="dxa"/>
          </w:tcPr>
          <w:p w14:paraId="6303387D" w14:textId="04DCE6A0" w:rsidR="002D3E8F" w:rsidRPr="00012B09" w:rsidRDefault="002D3E8F" w:rsidP="00E90E62">
            <w:pPr>
              <w:spacing w:after="0" w:line="240" w:lineRule="auto"/>
              <w:rPr>
                <w:rFonts w:ascii="Times New Roman" w:hAnsi="Times New Roman" w:cs="Times New Roman"/>
                <w:lang w:val="en-US"/>
              </w:rPr>
            </w:pPr>
            <w:r>
              <w:rPr>
                <w:rFonts w:ascii="Times New Roman" w:hAnsi="Times New Roman" w:cs="Times New Roman"/>
                <w:lang w:val="en-US"/>
              </w:rPr>
              <w:t>2023-06-20</w:t>
            </w:r>
          </w:p>
        </w:tc>
        <w:tc>
          <w:tcPr>
            <w:tcW w:w="1016" w:type="dxa"/>
            <w:shd w:val="clear" w:color="auto" w:fill="auto"/>
          </w:tcPr>
          <w:p w14:paraId="0D9AEEFA" w14:textId="09DB01AE" w:rsidR="002D3E8F" w:rsidRPr="00012B09" w:rsidRDefault="002D3E8F">
            <w:pPr>
              <w:spacing w:after="0" w:line="240" w:lineRule="auto"/>
              <w:rPr>
                <w:rFonts w:ascii="Times New Roman" w:hAnsi="Times New Roman" w:cs="Times New Roman"/>
                <w:lang w:val="en-US"/>
              </w:rPr>
            </w:pPr>
            <w:r>
              <w:rPr>
                <w:rFonts w:ascii="Times New Roman" w:hAnsi="Times New Roman" w:cs="Times New Roman"/>
                <w:lang w:val="en-US"/>
              </w:rPr>
              <w:t>10</w:t>
            </w:r>
          </w:p>
        </w:tc>
        <w:tc>
          <w:tcPr>
            <w:tcW w:w="6831" w:type="dxa"/>
            <w:shd w:val="clear" w:color="auto" w:fill="auto"/>
          </w:tcPr>
          <w:p w14:paraId="35197170" w14:textId="555BB1D5" w:rsidR="002D3E8F" w:rsidRDefault="002D3E8F" w:rsidP="00012B09">
            <w:pPr>
              <w:spacing w:after="0"/>
              <w:rPr>
                <w:rFonts w:ascii="Times New Roman" w:hAnsi="Times New Roman" w:cs="Times New Roman"/>
                <w:lang w:val="en-US"/>
              </w:rPr>
            </w:pPr>
            <w:r>
              <w:rPr>
                <w:rFonts w:ascii="Times New Roman" w:hAnsi="Times New Roman" w:cs="Times New Roman"/>
                <w:b/>
                <w:bCs/>
                <w:lang w:val="en-US"/>
              </w:rPr>
              <w:t xml:space="preserve">Table 1. </w:t>
            </w:r>
            <w:r>
              <w:rPr>
                <w:rFonts w:ascii="Times New Roman" w:hAnsi="Times New Roman" w:cs="Times New Roman"/>
                <w:lang w:val="en-US"/>
              </w:rPr>
              <w:t>Measurements of body height, body weight</w:t>
            </w:r>
            <w:r w:rsidR="009B731D">
              <w:rPr>
                <w:rFonts w:ascii="Times New Roman" w:hAnsi="Times New Roman" w:cs="Times New Roman"/>
                <w:lang w:val="en-US"/>
              </w:rPr>
              <w:t xml:space="preserve">, </w:t>
            </w:r>
            <w:r>
              <w:rPr>
                <w:rFonts w:ascii="Times New Roman" w:hAnsi="Times New Roman" w:cs="Times New Roman"/>
                <w:lang w:val="en-US"/>
              </w:rPr>
              <w:t>grip strength</w:t>
            </w:r>
            <w:r w:rsidR="009B731D">
              <w:rPr>
                <w:rFonts w:ascii="Times New Roman" w:hAnsi="Times New Roman" w:cs="Times New Roman"/>
                <w:lang w:val="en-US"/>
              </w:rPr>
              <w:t xml:space="preserve">, </w:t>
            </w:r>
            <w:r w:rsidR="009B731D" w:rsidRPr="00066B77">
              <w:rPr>
                <w:rFonts w:ascii="Times New Roman" w:hAnsi="Times New Roman" w:cs="Times New Roman"/>
                <w:sz w:val="24"/>
                <w:szCs w:val="24"/>
                <w:lang w:val="en-US"/>
              </w:rPr>
              <w:t>EQ-5D-5L</w:t>
            </w:r>
            <w:r>
              <w:rPr>
                <w:rFonts w:ascii="Times New Roman" w:hAnsi="Times New Roman" w:cs="Times New Roman"/>
                <w:lang w:val="en-US"/>
              </w:rPr>
              <w:t xml:space="preserve"> are measured at visit </w:t>
            </w:r>
            <w:r w:rsidR="009B731D">
              <w:rPr>
                <w:rFonts w:ascii="Times New Roman" w:hAnsi="Times New Roman" w:cs="Times New Roman"/>
                <w:lang w:val="en-US"/>
              </w:rPr>
              <w:t xml:space="preserve">1 and visit </w:t>
            </w:r>
            <w:r>
              <w:rPr>
                <w:rFonts w:ascii="Times New Roman" w:hAnsi="Times New Roman" w:cs="Times New Roman"/>
                <w:lang w:val="en-US"/>
              </w:rPr>
              <w:t xml:space="preserve">3, which is now corrected. </w:t>
            </w:r>
          </w:p>
          <w:p w14:paraId="545DFED7" w14:textId="68F2FB39" w:rsidR="00D65FF4" w:rsidRPr="00390BA5" w:rsidRDefault="00D65FF4" w:rsidP="00012B09">
            <w:pPr>
              <w:spacing w:after="0"/>
              <w:rPr>
                <w:rFonts w:ascii="Times New Roman" w:hAnsi="Times New Roman" w:cs="Times New Roman"/>
                <w:lang w:val="en-US"/>
              </w:rPr>
            </w:pPr>
            <w:r>
              <w:rPr>
                <w:rFonts w:ascii="Times New Roman" w:hAnsi="Times New Roman" w:cs="Times New Roman"/>
                <w:b/>
                <w:bCs/>
                <w:lang w:val="en-US"/>
              </w:rPr>
              <w:t xml:space="preserve">Section 6. </w:t>
            </w:r>
            <w:r>
              <w:rPr>
                <w:rFonts w:ascii="Times New Roman" w:hAnsi="Times New Roman" w:cs="Times New Roman"/>
                <w:lang w:val="en-US"/>
              </w:rPr>
              <w:t>It has been specified that each infusion of the investigational product will contain 5 mg of zoledronic acid diluted in normal saline according to the manufacturer</w:t>
            </w:r>
            <w:r w:rsidR="00A67860">
              <w:rPr>
                <w:rFonts w:ascii="Times New Roman" w:hAnsi="Times New Roman" w:cs="Times New Roman"/>
                <w:lang w:val="en-US"/>
              </w:rPr>
              <w:t>’</w:t>
            </w:r>
            <w:r>
              <w:rPr>
                <w:rFonts w:ascii="Times New Roman" w:hAnsi="Times New Roman" w:cs="Times New Roman"/>
                <w:lang w:val="en-US"/>
              </w:rPr>
              <w:t xml:space="preserve">s recommendation. </w:t>
            </w:r>
          </w:p>
          <w:p w14:paraId="60DFD1C1" w14:textId="5349E188" w:rsidR="00446B74" w:rsidRDefault="00446B74" w:rsidP="00012B09">
            <w:pPr>
              <w:spacing w:after="0"/>
              <w:rPr>
                <w:rFonts w:ascii="Times New Roman" w:hAnsi="Times New Roman" w:cs="Times New Roman"/>
                <w:lang w:val="en-US"/>
              </w:rPr>
            </w:pPr>
            <w:r w:rsidRPr="00390BA5">
              <w:rPr>
                <w:rFonts w:ascii="Times New Roman" w:hAnsi="Times New Roman" w:cs="Times New Roman"/>
                <w:b/>
                <w:bCs/>
                <w:lang w:val="en-US"/>
              </w:rPr>
              <w:t>Section 9.</w:t>
            </w:r>
            <w:r>
              <w:rPr>
                <w:rFonts w:ascii="Times New Roman" w:hAnsi="Times New Roman" w:cs="Times New Roman"/>
                <w:lang w:val="en-US"/>
              </w:rPr>
              <w:t xml:space="preserve"> It has been added that if the measurement of calcium deviates from what is normal, it can be re-measurement one time. </w:t>
            </w:r>
          </w:p>
          <w:p w14:paraId="207E56D2" w14:textId="77777777" w:rsidR="00446B74" w:rsidRDefault="00446B74" w:rsidP="00012B09">
            <w:pPr>
              <w:spacing w:after="0"/>
              <w:rPr>
                <w:rFonts w:ascii="Times New Roman" w:hAnsi="Times New Roman" w:cs="Times New Roman"/>
                <w:lang w:val="en-US"/>
              </w:rPr>
            </w:pPr>
          </w:p>
          <w:p w14:paraId="0BCE9EF3" w14:textId="37647D0C" w:rsidR="00446B74" w:rsidRPr="00390BA5" w:rsidRDefault="00446B74" w:rsidP="00012B09">
            <w:pPr>
              <w:spacing w:after="0"/>
              <w:rPr>
                <w:rFonts w:ascii="Times New Roman" w:hAnsi="Times New Roman" w:cs="Times New Roman"/>
                <w:lang w:val="en-US"/>
              </w:rPr>
            </w:pPr>
            <w:r>
              <w:rPr>
                <w:rFonts w:ascii="Times New Roman" w:hAnsi="Times New Roman" w:cs="Times New Roman"/>
                <w:lang w:val="en-US"/>
              </w:rPr>
              <w:t>The follow up at 48 months has previously been removed from the protocol. Accordingly, text refer</w:t>
            </w:r>
            <w:r w:rsidR="00A67860">
              <w:rPr>
                <w:rFonts w:ascii="Times New Roman" w:hAnsi="Times New Roman" w:cs="Times New Roman"/>
                <w:lang w:val="en-US"/>
              </w:rPr>
              <w:t>r</w:t>
            </w:r>
            <w:r>
              <w:rPr>
                <w:rFonts w:ascii="Times New Roman" w:hAnsi="Times New Roman" w:cs="Times New Roman"/>
                <w:lang w:val="en-US"/>
              </w:rPr>
              <w:t xml:space="preserve">ing to that EQ-5D is measured at 48 months has been removed. In addition, in </w:t>
            </w:r>
            <w:r w:rsidR="009B731D">
              <w:rPr>
                <w:rFonts w:ascii="Times New Roman" w:hAnsi="Times New Roman" w:cs="Times New Roman"/>
                <w:lang w:val="en-US"/>
              </w:rPr>
              <w:t>section 4, text refer</w:t>
            </w:r>
            <w:r w:rsidR="00A67860">
              <w:rPr>
                <w:rFonts w:ascii="Times New Roman" w:hAnsi="Times New Roman" w:cs="Times New Roman"/>
                <w:lang w:val="en-US"/>
              </w:rPr>
              <w:t>r</w:t>
            </w:r>
            <w:r w:rsidR="009B731D">
              <w:rPr>
                <w:rFonts w:ascii="Times New Roman" w:hAnsi="Times New Roman" w:cs="Times New Roman"/>
                <w:lang w:val="en-US"/>
              </w:rPr>
              <w:t xml:space="preserve">ing to the follow up at 48 months has been removed. </w:t>
            </w:r>
          </w:p>
        </w:tc>
      </w:tr>
    </w:tbl>
    <w:p w14:paraId="769EA341" w14:textId="77777777" w:rsidR="009330D7" w:rsidRPr="007B140B" w:rsidRDefault="009330D7" w:rsidP="009330D7">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lastRenderedPageBreak/>
        <w:br w:type="page"/>
      </w:r>
    </w:p>
    <w:p w14:paraId="106079B4" w14:textId="77777777" w:rsidR="00911B26" w:rsidRPr="007B140B" w:rsidRDefault="00911B26" w:rsidP="00911B26">
      <w:pPr>
        <w:pStyle w:val="Rubrik1"/>
        <w:rPr>
          <w:rFonts w:ascii="Times New Roman" w:hAnsi="Times New Roman" w:cs="Times New Roman"/>
          <w:lang w:val="en-US"/>
        </w:rPr>
      </w:pPr>
      <w:bookmarkStart w:id="4" w:name="_Toc99001390"/>
      <w:r w:rsidRPr="007B140B">
        <w:rPr>
          <w:rFonts w:ascii="Times New Roman" w:hAnsi="Times New Roman" w:cs="Times New Roman"/>
          <w:lang w:val="en-US"/>
        </w:rPr>
        <w:lastRenderedPageBreak/>
        <w:t>Contributions and Contact Information</w:t>
      </w:r>
      <w:bookmarkEnd w:id="4"/>
    </w:p>
    <w:tbl>
      <w:tblPr>
        <w:tblW w:w="5469" w:type="pct"/>
        <w:tblBorders>
          <w:top w:val="single" w:sz="4" w:space="0" w:color="auto"/>
        </w:tblBorders>
        <w:tblLook w:val="00A0" w:firstRow="1" w:lastRow="0" w:firstColumn="1" w:lastColumn="0" w:noHBand="0" w:noVBand="0"/>
      </w:tblPr>
      <w:tblGrid>
        <w:gridCol w:w="1337"/>
        <w:gridCol w:w="2283"/>
        <w:gridCol w:w="1909"/>
        <w:gridCol w:w="4394"/>
      </w:tblGrid>
      <w:tr w:rsidR="00DE4B11" w:rsidRPr="00BB16AF" w14:paraId="45A00442" w14:textId="77777777" w:rsidTr="00DE4B11">
        <w:trPr>
          <w:trHeight w:val="296"/>
          <w:tblHeader/>
        </w:trPr>
        <w:tc>
          <w:tcPr>
            <w:tcW w:w="674" w:type="pct"/>
            <w:tcBorders>
              <w:top w:val="single" w:sz="4" w:space="0" w:color="auto"/>
              <w:bottom w:val="single" w:sz="4" w:space="0" w:color="auto"/>
            </w:tcBorders>
            <w:vAlign w:val="bottom"/>
          </w:tcPr>
          <w:p w14:paraId="6029A8D5" w14:textId="77777777" w:rsidR="00911B26" w:rsidRPr="007B140B" w:rsidRDefault="00911B26" w:rsidP="00EB5F4E">
            <w:pPr>
              <w:spacing w:after="0" w:line="240" w:lineRule="auto"/>
              <w:rPr>
                <w:rFonts w:ascii="Times New Roman" w:hAnsi="Times New Roman" w:cs="Times New Roman"/>
                <w:b/>
                <w:sz w:val="24"/>
                <w:szCs w:val="24"/>
                <w:lang w:val="en-US"/>
              </w:rPr>
            </w:pPr>
            <w:r w:rsidRPr="007B140B">
              <w:rPr>
                <w:rFonts w:ascii="Times New Roman" w:hAnsi="Times New Roman" w:cs="Times New Roman"/>
                <w:b/>
                <w:sz w:val="24"/>
                <w:szCs w:val="24"/>
                <w:lang w:val="en-US"/>
              </w:rPr>
              <w:t>Name and occupation</w:t>
            </w:r>
          </w:p>
        </w:tc>
        <w:tc>
          <w:tcPr>
            <w:tcW w:w="1150" w:type="pct"/>
            <w:tcBorders>
              <w:top w:val="single" w:sz="4" w:space="0" w:color="auto"/>
              <w:bottom w:val="single" w:sz="4" w:space="0" w:color="auto"/>
            </w:tcBorders>
            <w:vAlign w:val="bottom"/>
          </w:tcPr>
          <w:p w14:paraId="393EE74B" w14:textId="77777777" w:rsidR="00911B26" w:rsidRPr="007B140B" w:rsidRDefault="00911B26" w:rsidP="00EB5F4E">
            <w:pPr>
              <w:spacing w:after="0" w:line="240" w:lineRule="auto"/>
              <w:rPr>
                <w:rFonts w:ascii="Times New Roman" w:hAnsi="Times New Roman" w:cs="Times New Roman"/>
                <w:b/>
                <w:sz w:val="24"/>
                <w:szCs w:val="24"/>
                <w:lang w:val="en-US"/>
              </w:rPr>
            </w:pPr>
            <w:r w:rsidRPr="007B140B">
              <w:rPr>
                <w:rFonts w:ascii="Times New Roman" w:hAnsi="Times New Roman" w:cs="Times New Roman"/>
                <w:b/>
                <w:sz w:val="24"/>
                <w:szCs w:val="24"/>
                <w:lang w:val="en-US"/>
              </w:rPr>
              <w:t>Role</w:t>
            </w:r>
          </w:p>
        </w:tc>
        <w:tc>
          <w:tcPr>
            <w:tcW w:w="962" w:type="pct"/>
            <w:tcBorders>
              <w:top w:val="single" w:sz="4" w:space="0" w:color="auto"/>
              <w:bottom w:val="single" w:sz="4" w:space="0" w:color="auto"/>
            </w:tcBorders>
            <w:vAlign w:val="bottom"/>
          </w:tcPr>
          <w:p w14:paraId="3D3C0203" w14:textId="77777777" w:rsidR="00911B26" w:rsidRPr="007B140B" w:rsidRDefault="00911B26" w:rsidP="00EB5F4E">
            <w:pPr>
              <w:spacing w:after="0" w:line="240" w:lineRule="auto"/>
              <w:rPr>
                <w:rFonts w:ascii="Times New Roman" w:hAnsi="Times New Roman" w:cs="Times New Roman"/>
                <w:b/>
                <w:sz w:val="24"/>
                <w:szCs w:val="24"/>
                <w:lang w:val="en-US"/>
              </w:rPr>
            </w:pPr>
            <w:r w:rsidRPr="007B140B">
              <w:rPr>
                <w:rFonts w:ascii="Times New Roman" w:hAnsi="Times New Roman" w:cs="Times New Roman"/>
                <w:b/>
                <w:sz w:val="24"/>
                <w:szCs w:val="24"/>
                <w:lang w:val="en-US"/>
              </w:rPr>
              <w:t>Contributions</w:t>
            </w:r>
          </w:p>
        </w:tc>
        <w:tc>
          <w:tcPr>
            <w:tcW w:w="2214" w:type="pct"/>
            <w:tcBorders>
              <w:top w:val="single" w:sz="4" w:space="0" w:color="auto"/>
              <w:bottom w:val="single" w:sz="4" w:space="0" w:color="auto"/>
            </w:tcBorders>
            <w:vAlign w:val="bottom"/>
          </w:tcPr>
          <w:p w14:paraId="4225F7CB" w14:textId="77777777" w:rsidR="00911B26" w:rsidRPr="007B140B" w:rsidRDefault="00911B26" w:rsidP="00EB5F4E">
            <w:pPr>
              <w:spacing w:after="0" w:line="240" w:lineRule="auto"/>
              <w:rPr>
                <w:rFonts w:ascii="Times New Roman" w:hAnsi="Times New Roman" w:cs="Times New Roman"/>
                <w:b/>
                <w:sz w:val="24"/>
                <w:szCs w:val="24"/>
                <w:lang w:val="en-US"/>
              </w:rPr>
            </w:pPr>
            <w:r w:rsidRPr="007B140B">
              <w:rPr>
                <w:rFonts w:ascii="Times New Roman" w:hAnsi="Times New Roman" w:cs="Times New Roman"/>
                <w:b/>
                <w:sz w:val="24"/>
                <w:szCs w:val="24"/>
                <w:lang w:val="en-US"/>
              </w:rPr>
              <w:t>Contact Information</w:t>
            </w:r>
          </w:p>
        </w:tc>
      </w:tr>
      <w:tr w:rsidR="00DE4B11" w:rsidRPr="00390BA5" w14:paraId="5FB5F3A9" w14:textId="77777777" w:rsidTr="00DE4B11">
        <w:trPr>
          <w:trHeight w:val="510"/>
        </w:trPr>
        <w:tc>
          <w:tcPr>
            <w:tcW w:w="674" w:type="pct"/>
            <w:tcBorders>
              <w:top w:val="single" w:sz="4" w:space="0" w:color="auto"/>
            </w:tcBorders>
          </w:tcPr>
          <w:p w14:paraId="26D025D4" w14:textId="13519619" w:rsidR="00911B26" w:rsidRPr="007B140B" w:rsidRDefault="00911B26" w:rsidP="00186D9B">
            <w:pPr>
              <w:spacing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Peter Nordströ</w:t>
            </w:r>
            <w:r w:rsidR="00DE4B11">
              <w:rPr>
                <w:rFonts w:ascii="Times New Roman" w:hAnsi="Times New Roman" w:cs="Times New Roman"/>
                <w:sz w:val="24"/>
                <w:szCs w:val="24"/>
                <w:lang w:val="en-US"/>
              </w:rPr>
              <w:t>m</w:t>
            </w:r>
            <w:r w:rsidRPr="007B140B">
              <w:rPr>
                <w:rFonts w:ascii="Times New Roman" w:hAnsi="Times New Roman" w:cs="Times New Roman"/>
                <w:sz w:val="24"/>
                <w:szCs w:val="24"/>
                <w:lang w:val="en-US"/>
              </w:rPr>
              <w:t>, Professor and Chief Physician</w:t>
            </w:r>
          </w:p>
        </w:tc>
        <w:tc>
          <w:tcPr>
            <w:tcW w:w="1150" w:type="pct"/>
            <w:tcBorders>
              <w:top w:val="single" w:sz="4" w:space="0" w:color="auto"/>
            </w:tcBorders>
          </w:tcPr>
          <w:p w14:paraId="1A48054B" w14:textId="77777777" w:rsidR="00911B26" w:rsidRPr="007B140B"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Sponsor/coordinating investigator</w:t>
            </w:r>
          </w:p>
        </w:tc>
        <w:tc>
          <w:tcPr>
            <w:tcW w:w="962" w:type="pct"/>
            <w:tcBorders>
              <w:top w:val="single" w:sz="4" w:space="0" w:color="auto"/>
            </w:tcBorders>
          </w:tcPr>
          <w:p w14:paraId="57FFC877" w14:textId="77777777" w:rsidR="00911B26" w:rsidRPr="007B140B"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Conceived the study</w:t>
            </w:r>
          </w:p>
          <w:p w14:paraId="0ABA5C3E" w14:textId="77777777" w:rsidR="00911B26" w:rsidRPr="007B140B"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Designed the study</w:t>
            </w:r>
          </w:p>
          <w:p w14:paraId="2A71764A" w14:textId="77777777" w:rsidR="00911B26" w:rsidRPr="007B140B"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Coauthored this protocol</w:t>
            </w:r>
          </w:p>
          <w:p w14:paraId="5DD3BE76" w14:textId="77777777" w:rsidR="00911B26" w:rsidRPr="007B140B"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Applied for funding</w:t>
            </w:r>
          </w:p>
        </w:tc>
        <w:tc>
          <w:tcPr>
            <w:tcW w:w="2214" w:type="pct"/>
            <w:tcBorders>
              <w:top w:val="single" w:sz="4" w:space="0" w:color="auto"/>
            </w:tcBorders>
          </w:tcPr>
          <w:p w14:paraId="1F3E9CF2" w14:textId="04B63B09" w:rsidR="00911B26" w:rsidRPr="007B140B"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 Address: </w:t>
            </w:r>
            <w:r w:rsidR="00180C63">
              <w:rPr>
                <w:rFonts w:ascii="Times New Roman" w:hAnsi="Times New Roman" w:cs="Times New Roman"/>
                <w:sz w:val="24"/>
                <w:szCs w:val="24"/>
                <w:lang w:val="en-US"/>
              </w:rPr>
              <w:t>Clinical geriatrics</w:t>
            </w:r>
            <w:r w:rsidRPr="007B140B">
              <w:rPr>
                <w:rFonts w:ascii="Times New Roman" w:hAnsi="Times New Roman" w:cs="Times New Roman"/>
                <w:sz w:val="24"/>
                <w:szCs w:val="24"/>
                <w:lang w:val="en-US"/>
              </w:rPr>
              <w:t xml:space="preserve">, Department of </w:t>
            </w:r>
            <w:r w:rsidR="00180C63">
              <w:rPr>
                <w:rFonts w:ascii="Times New Roman" w:hAnsi="Times New Roman" w:cs="Times New Roman"/>
                <w:sz w:val="24"/>
                <w:szCs w:val="24"/>
                <w:lang w:val="en-US"/>
              </w:rPr>
              <w:t>Public Health and Caring Sciences</w:t>
            </w:r>
            <w:r w:rsidRPr="007B140B">
              <w:rPr>
                <w:rFonts w:ascii="Times New Roman" w:hAnsi="Times New Roman" w:cs="Times New Roman"/>
                <w:sz w:val="24"/>
                <w:szCs w:val="24"/>
                <w:lang w:val="en-US"/>
              </w:rPr>
              <w:t>, U</w:t>
            </w:r>
            <w:r w:rsidR="00180C63">
              <w:rPr>
                <w:rFonts w:ascii="Times New Roman" w:hAnsi="Times New Roman" w:cs="Times New Roman"/>
                <w:sz w:val="24"/>
                <w:szCs w:val="24"/>
                <w:lang w:val="en-US"/>
              </w:rPr>
              <w:t>ppsala</w:t>
            </w:r>
            <w:r w:rsidR="00F65C39" w:rsidRPr="007B140B">
              <w:rPr>
                <w:rFonts w:ascii="Times New Roman" w:hAnsi="Times New Roman" w:cs="Times New Roman"/>
                <w:sz w:val="24"/>
                <w:szCs w:val="24"/>
                <w:lang w:val="en-US"/>
              </w:rPr>
              <w:t xml:space="preserve"> </w:t>
            </w:r>
            <w:r w:rsidR="00F503BC" w:rsidRPr="007B140B">
              <w:rPr>
                <w:rFonts w:ascii="Times New Roman" w:hAnsi="Times New Roman" w:cs="Times New Roman"/>
                <w:sz w:val="24"/>
                <w:szCs w:val="24"/>
                <w:lang w:val="en-US"/>
              </w:rPr>
              <w:t>U</w:t>
            </w:r>
            <w:r w:rsidR="00F65C39" w:rsidRPr="007B140B">
              <w:rPr>
                <w:rFonts w:ascii="Times New Roman" w:hAnsi="Times New Roman" w:cs="Times New Roman"/>
                <w:sz w:val="24"/>
                <w:szCs w:val="24"/>
                <w:lang w:val="en-US"/>
              </w:rPr>
              <w:t xml:space="preserve">niversity, </w:t>
            </w:r>
            <w:r w:rsidR="00180C63">
              <w:rPr>
                <w:rFonts w:ascii="Times New Roman" w:hAnsi="Times New Roman" w:cs="Times New Roman"/>
                <w:sz w:val="24"/>
                <w:szCs w:val="24"/>
                <w:lang w:val="en-US"/>
              </w:rPr>
              <w:t>75122,</w:t>
            </w:r>
            <w:r w:rsidR="00F65C39" w:rsidRPr="007B140B">
              <w:rPr>
                <w:rFonts w:ascii="Times New Roman" w:hAnsi="Times New Roman" w:cs="Times New Roman"/>
                <w:sz w:val="24"/>
                <w:szCs w:val="24"/>
                <w:lang w:val="en-US"/>
              </w:rPr>
              <w:t xml:space="preserve"> </w:t>
            </w:r>
            <w:r w:rsidR="00180C63">
              <w:rPr>
                <w:rFonts w:ascii="Times New Roman" w:hAnsi="Times New Roman" w:cs="Times New Roman"/>
                <w:sz w:val="24"/>
                <w:szCs w:val="24"/>
                <w:lang w:val="en-US"/>
              </w:rPr>
              <w:t>Uppsala</w:t>
            </w:r>
            <w:r w:rsidR="00F65C39" w:rsidRPr="007B140B">
              <w:rPr>
                <w:rFonts w:ascii="Times New Roman" w:hAnsi="Times New Roman" w:cs="Times New Roman"/>
                <w:sz w:val="24"/>
                <w:szCs w:val="24"/>
                <w:lang w:val="en-US"/>
              </w:rPr>
              <w:t>, Sweden</w:t>
            </w:r>
          </w:p>
          <w:p w14:paraId="4017AEDB" w14:textId="77777777" w:rsidR="00911B26" w:rsidRPr="007B140B"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Phone: +46 70 8996599</w:t>
            </w:r>
          </w:p>
          <w:p w14:paraId="679BD136" w14:textId="60B256A0" w:rsidR="00911B26" w:rsidRPr="007B140B"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Email: peter.nordstrom@</w:t>
            </w:r>
            <w:r w:rsidR="00012B09">
              <w:rPr>
                <w:rFonts w:ascii="Times New Roman" w:hAnsi="Times New Roman" w:cs="Times New Roman"/>
                <w:sz w:val="24"/>
                <w:szCs w:val="24"/>
                <w:lang w:val="en-US"/>
              </w:rPr>
              <w:t>pubcare.</w:t>
            </w:r>
            <w:r w:rsidRPr="007B140B">
              <w:rPr>
                <w:rFonts w:ascii="Times New Roman" w:hAnsi="Times New Roman" w:cs="Times New Roman"/>
                <w:sz w:val="24"/>
                <w:szCs w:val="24"/>
                <w:lang w:val="en-US"/>
              </w:rPr>
              <w:t>uu.se</w:t>
            </w:r>
          </w:p>
        </w:tc>
      </w:tr>
      <w:tr w:rsidR="00DE4B11" w:rsidRPr="00390BA5" w14:paraId="79ADA9B6" w14:textId="77777777" w:rsidTr="00DE4B11">
        <w:trPr>
          <w:trHeight w:val="58"/>
        </w:trPr>
        <w:tc>
          <w:tcPr>
            <w:tcW w:w="674" w:type="pct"/>
            <w:tcBorders>
              <w:bottom w:val="nil"/>
            </w:tcBorders>
          </w:tcPr>
          <w:p w14:paraId="62517B93" w14:textId="77777777" w:rsidR="00911B26" w:rsidRPr="007B140B" w:rsidRDefault="00911B26" w:rsidP="00186D9B">
            <w:pPr>
              <w:spacing w:after="0" w:line="240" w:lineRule="auto"/>
              <w:rPr>
                <w:rFonts w:ascii="Times New Roman" w:hAnsi="Times New Roman" w:cs="Times New Roman"/>
                <w:sz w:val="24"/>
                <w:szCs w:val="24"/>
                <w:lang w:val="en-US"/>
              </w:rPr>
            </w:pPr>
          </w:p>
        </w:tc>
        <w:tc>
          <w:tcPr>
            <w:tcW w:w="1150" w:type="pct"/>
            <w:tcBorders>
              <w:bottom w:val="nil"/>
            </w:tcBorders>
          </w:tcPr>
          <w:p w14:paraId="6AFEA6CB" w14:textId="77777777" w:rsidR="00911B26" w:rsidRPr="007B140B" w:rsidRDefault="00911B26" w:rsidP="00186D9B">
            <w:pPr>
              <w:spacing w:after="0" w:line="240" w:lineRule="auto"/>
              <w:rPr>
                <w:rFonts w:ascii="Times New Roman" w:hAnsi="Times New Roman" w:cs="Times New Roman"/>
                <w:sz w:val="24"/>
                <w:szCs w:val="24"/>
                <w:lang w:val="en-US"/>
              </w:rPr>
            </w:pPr>
          </w:p>
        </w:tc>
        <w:tc>
          <w:tcPr>
            <w:tcW w:w="962" w:type="pct"/>
            <w:tcBorders>
              <w:bottom w:val="nil"/>
            </w:tcBorders>
          </w:tcPr>
          <w:p w14:paraId="4651A545" w14:textId="77777777" w:rsidR="00911B26" w:rsidRPr="007B140B" w:rsidRDefault="00911B26" w:rsidP="00186D9B">
            <w:pPr>
              <w:spacing w:after="0" w:line="240" w:lineRule="auto"/>
              <w:rPr>
                <w:rFonts w:ascii="Times New Roman" w:hAnsi="Times New Roman" w:cs="Times New Roman"/>
                <w:sz w:val="24"/>
                <w:szCs w:val="24"/>
                <w:lang w:val="en-US"/>
              </w:rPr>
            </w:pPr>
          </w:p>
        </w:tc>
        <w:tc>
          <w:tcPr>
            <w:tcW w:w="2214" w:type="pct"/>
            <w:tcBorders>
              <w:bottom w:val="nil"/>
            </w:tcBorders>
          </w:tcPr>
          <w:p w14:paraId="453E14B8" w14:textId="77777777" w:rsidR="00911B26" w:rsidRPr="007B140B" w:rsidRDefault="00911B26" w:rsidP="00186D9B">
            <w:pPr>
              <w:spacing w:after="0" w:line="240" w:lineRule="auto"/>
              <w:rPr>
                <w:rFonts w:ascii="Times New Roman" w:hAnsi="Times New Roman" w:cs="Times New Roman"/>
                <w:sz w:val="24"/>
                <w:szCs w:val="24"/>
                <w:lang w:val="en-US"/>
              </w:rPr>
            </w:pPr>
          </w:p>
        </w:tc>
      </w:tr>
      <w:tr w:rsidR="00DE4B11" w:rsidRPr="00390BA5" w14:paraId="4086CF71" w14:textId="77777777" w:rsidTr="00DE4B11">
        <w:trPr>
          <w:trHeight w:val="510"/>
        </w:trPr>
        <w:tc>
          <w:tcPr>
            <w:tcW w:w="674" w:type="pct"/>
            <w:tcBorders>
              <w:top w:val="nil"/>
              <w:bottom w:val="single" w:sz="4" w:space="0" w:color="auto"/>
            </w:tcBorders>
          </w:tcPr>
          <w:p w14:paraId="1654A747" w14:textId="7C023921" w:rsidR="00911B26" w:rsidRPr="007B140B"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Jonathan Bergman, PhD</w:t>
            </w:r>
          </w:p>
        </w:tc>
        <w:tc>
          <w:tcPr>
            <w:tcW w:w="1150" w:type="pct"/>
            <w:tcBorders>
              <w:top w:val="nil"/>
              <w:bottom w:val="single" w:sz="4" w:space="0" w:color="auto"/>
            </w:tcBorders>
          </w:tcPr>
          <w:p w14:paraId="48A20185" w14:textId="77777777" w:rsidR="00911B26" w:rsidRPr="007B140B"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Protocol coauthor</w:t>
            </w:r>
          </w:p>
        </w:tc>
        <w:tc>
          <w:tcPr>
            <w:tcW w:w="962" w:type="pct"/>
            <w:tcBorders>
              <w:top w:val="nil"/>
              <w:bottom w:val="single" w:sz="4" w:space="0" w:color="auto"/>
            </w:tcBorders>
          </w:tcPr>
          <w:p w14:paraId="0A212409" w14:textId="77777777" w:rsidR="00911B26" w:rsidRPr="007B140B"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Designed the study</w:t>
            </w:r>
          </w:p>
          <w:p w14:paraId="34702325" w14:textId="77777777" w:rsidR="00911B26" w:rsidRPr="007B140B"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Planned the statistical analysis</w:t>
            </w:r>
          </w:p>
          <w:p w14:paraId="4D010CEB" w14:textId="77777777" w:rsidR="00911B26" w:rsidRPr="007B140B"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Coauthored this protocol</w:t>
            </w:r>
          </w:p>
        </w:tc>
        <w:tc>
          <w:tcPr>
            <w:tcW w:w="2214" w:type="pct"/>
            <w:tcBorders>
              <w:top w:val="nil"/>
              <w:bottom w:val="single" w:sz="4" w:space="0" w:color="auto"/>
            </w:tcBorders>
            <w:vAlign w:val="bottom"/>
          </w:tcPr>
          <w:p w14:paraId="714A6166" w14:textId="6A274465" w:rsidR="00DE4B11" w:rsidRPr="00DE4B11" w:rsidRDefault="00911B26" w:rsidP="00DE4B11">
            <w:pPr>
              <w:spacing w:after="0" w:line="240" w:lineRule="auto"/>
              <w:rPr>
                <w:rFonts w:ascii="Times New Roman" w:hAnsi="Times New Roman" w:cs="Times New Roman"/>
                <w:sz w:val="24"/>
                <w:szCs w:val="24"/>
                <w:lang w:val="en-GB"/>
              </w:rPr>
            </w:pPr>
            <w:r w:rsidRPr="00DE4B11">
              <w:rPr>
                <w:rFonts w:ascii="Times New Roman" w:hAnsi="Times New Roman" w:cs="Times New Roman"/>
                <w:sz w:val="24"/>
                <w:szCs w:val="24"/>
                <w:lang w:val="en-US"/>
              </w:rPr>
              <w:t xml:space="preserve">- Address: </w:t>
            </w:r>
            <w:r w:rsidR="00DE4B11" w:rsidRPr="00DE4B11">
              <w:rPr>
                <w:rFonts w:ascii="Times New Roman" w:hAnsi="Times New Roman" w:cs="Times New Roman"/>
                <w:color w:val="000000"/>
                <w:sz w:val="24"/>
                <w:szCs w:val="24"/>
                <w:lang w:val="en-GB"/>
              </w:rPr>
              <w:t xml:space="preserve">European Medicines Agency, Methodology Workstream, Data Analytics and Methods Task Force, Domenico </w:t>
            </w:r>
            <w:proofErr w:type="spellStart"/>
            <w:r w:rsidR="00DE4B11" w:rsidRPr="00DE4B11">
              <w:rPr>
                <w:rFonts w:ascii="Times New Roman" w:hAnsi="Times New Roman" w:cs="Times New Roman"/>
                <w:color w:val="000000"/>
                <w:sz w:val="24"/>
                <w:szCs w:val="24"/>
                <w:lang w:val="en-GB"/>
              </w:rPr>
              <w:t>Scarlattilaan</w:t>
            </w:r>
            <w:proofErr w:type="spellEnd"/>
            <w:r w:rsidR="00DE4B11" w:rsidRPr="00DE4B11">
              <w:rPr>
                <w:rFonts w:ascii="Times New Roman" w:hAnsi="Times New Roman" w:cs="Times New Roman"/>
                <w:color w:val="000000"/>
                <w:sz w:val="24"/>
                <w:szCs w:val="24"/>
                <w:lang w:val="en-GB"/>
              </w:rPr>
              <w:t xml:space="preserve"> 6, 1083 HS Amsterdam, The Netherlands</w:t>
            </w:r>
          </w:p>
          <w:p w14:paraId="1AA4045C" w14:textId="434BF110" w:rsidR="00DE4B11" w:rsidRPr="00DE4B11" w:rsidRDefault="00DE4B11" w:rsidP="00DE4B11">
            <w:pPr>
              <w:spacing w:after="0" w:line="240" w:lineRule="auto"/>
              <w:rPr>
                <w:rFonts w:ascii="Times New Roman" w:hAnsi="Times New Roman" w:cs="Times New Roman"/>
                <w:sz w:val="24"/>
                <w:szCs w:val="24"/>
                <w:lang w:val="en-US"/>
              </w:rPr>
            </w:pPr>
            <w:r w:rsidRPr="00DE4B11">
              <w:rPr>
                <w:rFonts w:ascii="Times New Roman" w:hAnsi="Times New Roman" w:cs="Times New Roman"/>
                <w:sz w:val="24"/>
                <w:szCs w:val="24"/>
                <w:lang w:val="en-GB"/>
              </w:rPr>
              <w:t xml:space="preserve">-Phone: +31 </w:t>
            </w:r>
            <w:r w:rsidRPr="00DE4B11">
              <w:rPr>
                <w:rFonts w:ascii="Times New Roman" w:hAnsi="Times New Roman" w:cs="Times New Roman"/>
                <w:color w:val="000000"/>
                <w:sz w:val="24"/>
                <w:szCs w:val="24"/>
                <w:lang w:val="en-US"/>
              </w:rPr>
              <w:t>(0)88 781 6008</w:t>
            </w:r>
          </w:p>
          <w:p w14:paraId="50EA1DD2" w14:textId="7AE9C2EF" w:rsidR="00911B26" w:rsidRPr="007B140B" w:rsidRDefault="00911B26" w:rsidP="00DE4B11">
            <w:pPr>
              <w:spacing w:after="0" w:line="240" w:lineRule="auto"/>
              <w:rPr>
                <w:rFonts w:ascii="Times New Roman" w:hAnsi="Times New Roman" w:cs="Times New Roman"/>
                <w:sz w:val="24"/>
                <w:szCs w:val="24"/>
                <w:lang w:val="en-US"/>
              </w:rPr>
            </w:pPr>
            <w:r w:rsidRPr="00DE4B11">
              <w:rPr>
                <w:rFonts w:ascii="Times New Roman" w:hAnsi="Times New Roman" w:cs="Times New Roman"/>
                <w:sz w:val="24"/>
                <w:szCs w:val="24"/>
                <w:lang w:val="en-US"/>
              </w:rPr>
              <w:t>- Email: jonathan.</w:t>
            </w:r>
            <w:r w:rsidR="001D078F" w:rsidRPr="00DE4B11">
              <w:rPr>
                <w:rFonts w:ascii="Times New Roman" w:hAnsi="Times New Roman" w:cs="Times New Roman"/>
                <w:sz w:val="24"/>
                <w:szCs w:val="24"/>
                <w:lang w:val="en-US"/>
              </w:rPr>
              <w:t>t.</w:t>
            </w:r>
            <w:r w:rsidRPr="00DE4B11">
              <w:rPr>
                <w:rFonts w:ascii="Times New Roman" w:hAnsi="Times New Roman" w:cs="Times New Roman"/>
                <w:sz w:val="24"/>
                <w:szCs w:val="24"/>
                <w:lang w:val="en-US"/>
              </w:rPr>
              <w:t>bergman@</w:t>
            </w:r>
            <w:r w:rsidR="001D078F" w:rsidRPr="00DE4B11">
              <w:rPr>
                <w:rFonts w:ascii="Times New Roman" w:hAnsi="Times New Roman" w:cs="Times New Roman"/>
                <w:sz w:val="24"/>
                <w:szCs w:val="24"/>
                <w:lang w:val="en-US"/>
              </w:rPr>
              <w:t>gmail.com</w:t>
            </w:r>
          </w:p>
        </w:tc>
      </w:tr>
    </w:tbl>
    <w:p w14:paraId="0ED0E6D7" w14:textId="77777777" w:rsidR="00911B26" w:rsidRPr="007B140B" w:rsidRDefault="00911B26" w:rsidP="00911B26">
      <w:pPr>
        <w:rPr>
          <w:rFonts w:ascii="Times New Roman" w:hAnsi="Times New Roman" w:cs="Times New Roman"/>
          <w:sz w:val="24"/>
          <w:szCs w:val="24"/>
          <w:lang w:val="en-US"/>
        </w:rPr>
      </w:pPr>
    </w:p>
    <w:p w14:paraId="7F346FD6" w14:textId="77777777" w:rsidR="00911B26" w:rsidRPr="007B140B" w:rsidRDefault="00911B26" w:rsidP="00911B26">
      <w:pPr>
        <w:rPr>
          <w:rFonts w:ascii="Times New Roman" w:hAnsi="Times New Roman" w:cs="Times New Roman"/>
          <w:sz w:val="24"/>
          <w:szCs w:val="24"/>
          <w:lang w:val="en-US"/>
        </w:rPr>
      </w:pPr>
    </w:p>
    <w:p w14:paraId="19B36B9E" w14:textId="77777777" w:rsidR="00911B26" w:rsidRPr="007B140B" w:rsidRDefault="00911B26" w:rsidP="00911B26">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br w:type="page"/>
      </w:r>
    </w:p>
    <w:p w14:paraId="7467B6C1" w14:textId="77777777" w:rsidR="00911B26" w:rsidRPr="007B140B" w:rsidRDefault="00911B26" w:rsidP="00911B26">
      <w:pPr>
        <w:pStyle w:val="Rubrik1"/>
        <w:rPr>
          <w:rFonts w:ascii="Times New Roman" w:hAnsi="Times New Roman" w:cs="Times New Roman"/>
          <w:lang w:val="en-US"/>
        </w:rPr>
      </w:pPr>
      <w:bookmarkStart w:id="5" w:name="_Toc99001391"/>
      <w:r w:rsidRPr="007B140B">
        <w:rPr>
          <w:rFonts w:ascii="Times New Roman" w:hAnsi="Times New Roman" w:cs="Times New Roman"/>
          <w:lang w:val="en-US"/>
        </w:rPr>
        <w:lastRenderedPageBreak/>
        <w:t>Roles and Responsibilities</w:t>
      </w:r>
      <w:bookmarkEnd w:id="5"/>
    </w:p>
    <w:tbl>
      <w:tblPr>
        <w:tblStyle w:val="Tabellrutnt"/>
        <w:tblW w:w="0" w:type="auto"/>
        <w:tblLook w:val="04A0" w:firstRow="1" w:lastRow="0" w:firstColumn="1" w:lastColumn="0" w:noHBand="0" w:noVBand="1"/>
      </w:tblPr>
      <w:tblGrid>
        <w:gridCol w:w="3539"/>
        <w:gridCol w:w="5523"/>
      </w:tblGrid>
      <w:tr w:rsidR="00911B26" w:rsidRPr="007B140B" w14:paraId="203827EA" w14:textId="77777777" w:rsidTr="00186D9B">
        <w:tc>
          <w:tcPr>
            <w:tcW w:w="3539" w:type="dxa"/>
          </w:tcPr>
          <w:p w14:paraId="49DAF2B7" w14:textId="77777777" w:rsidR="00911B26" w:rsidRPr="007B140B" w:rsidRDefault="00911B26" w:rsidP="00186D9B">
            <w:pPr>
              <w:spacing w:after="0" w:line="240" w:lineRule="auto"/>
              <w:rPr>
                <w:rFonts w:ascii="Times New Roman" w:hAnsi="Times New Roman" w:cs="Times New Roman"/>
                <w:b/>
                <w:sz w:val="24"/>
                <w:szCs w:val="24"/>
                <w:lang w:val="en-US"/>
              </w:rPr>
            </w:pPr>
            <w:r w:rsidRPr="007B140B">
              <w:rPr>
                <w:rFonts w:ascii="Times New Roman" w:hAnsi="Times New Roman" w:cs="Times New Roman"/>
                <w:b/>
                <w:sz w:val="24"/>
                <w:szCs w:val="24"/>
                <w:lang w:val="en-US"/>
              </w:rPr>
              <w:t>Role</w:t>
            </w:r>
          </w:p>
        </w:tc>
        <w:tc>
          <w:tcPr>
            <w:tcW w:w="5523" w:type="dxa"/>
          </w:tcPr>
          <w:p w14:paraId="6F9E1FD5" w14:textId="77777777" w:rsidR="00911B26" w:rsidRPr="007B140B" w:rsidRDefault="00911B26" w:rsidP="00186D9B">
            <w:pPr>
              <w:spacing w:after="0" w:line="240" w:lineRule="auto"/>
              <w:rPr>
                <w:rFonts w:ascii="Times New Roman" w:hAnsi="Times New Roman" w:cs="Times New Roman"/>
                <w:b/>
                <w:sz w:val="24"/>
                <w:szCs w:val="24"/>
                <w:lang w:val="en-US"/>
              </w:rPr>
            </w:pPr>
            <w:r w:rsidRPr="007B140B">
              <w:rPr>
                <w:rFonts w:ascii="Times New Roman" w:hAnsi="Times New Roman" w:cs="Times New Roman"/>
                <w:b/>
                <w:sz w:val="24"/>
                <w:szCs w:val="24"/>
                <w:lang w:val="en-US"/>
              </w:rPr>
              <w:t>Responsibilities</w:t>
            </w:r>
          </w:p>
        </w:tc>
      </w:tr>
      <w:tr w:rsidR="00911B26" w:rsidRPr="007B140B" w14:paraId="5D45C79C" w14:textId="77777777" w:rsidTr="00186D9B">
        <w:tc>
          <w:tcPr>
            <w:tcW w:w="3539" w:type="dxa"/>
          </w:tcPr>
          <w:p w14:paraId="25600776" w14:textId="77777777" w:rsidR="00911B26" w:rsidRPr="007B140B" w:rsidRDefault="00911B26" w:rsidP="00186D9B">
            <w:pPr>
              <w:spacing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Sponsor/Coordinating investigator</w:t>
            </w:r>
          </w:p>
        </w:tc>
        <w:tc>
          <w:tcPr>
            <w:tcW w:w="5523" w:type="dxa"/>
          </w:tcPr>
          <w:p w14:paraId="700B1055" w14:textId="37A0BF18" w:rsidR="00911B26" w:rsidRPr="007B140B"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 </w:t>
            </w:r>
            <w:r w:rsidR="009338E5" w:rsidRPr="007B140B">
              <w:rPr>
                <w:rFonts w:ascii="Times New Roman" w:hAnsi="Times New Roman" w:cs="Times New Roman"/>
                <w:sz w:val="24"/>
                <w:szCs w:val="24"/>
                <w:lang w:val="en-US"/>
              </w:rPr>
              <w:t>O</w:t>
            </w:r>
            <w:r w:rsidRPr="007B140B">
              <w:rPr>
                <w:rFonts w:ascii="Times New Roman" w:hAnsi="Times New Roman" w:cs="Times New Roman"/>
                <w:sz w:val="24"/>
                <w:szCs w:val="24"/>
                <w:lang w:val="en-US"/>
              </w:rPr>
              <w:t xml:space="preserve">verall responsibility for the trial, including the protocol and </w:t>
            </w:r>
            <w:r w:rsidR="00A212B0" w:rsidRPr="007B140B">
              <w:rPr>
                <w:rFonts w:ascii="Times New Roman" w:hAnsi="Times New Roman" w:cs="Times New Roman"/>
                <w:sz w:val="24"/>
                <w:szCs w:val="24"/>
                <w:lang w:val="en-US"/>
              </w:rPr>
              <w:t>monitoring plans</w:t>
            </w:r>
          </w:p>
          <w:p w14:paraId="737E7E3E" w14:textId="1FC893D7" w:rsidR="00911B26"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 Ensure that the trial follows </w:t>
            </w:r>
            <w:r w:rsidR="004B148F" w:rsidRPr="007B140B">
              <w:rPr>
                <w:rFonts w:ascii="Times New Roman" w:hAnsi="Times New Roman" w:cs="Times New Roman"/>
                <w:sz w:val="24"/>
                <w:szCs w:val="24"/>
                <w:lang w:val="en-US"/>
              </w:rPr>
              <w:t xml:space="preserve">ICH GCP, </w:t>
            </w:r>
            <w:r w:rsidR="003C0583" w:rsidRPr="007B140B">
              <w:rPr>
                <w:rFonts w:ascii="Times New Roman" w:hAnsi="Times New Roman" w:cs="Times New Roman"/>
                <w:sz w:val="24"/>
                <w:szCs w:val="24"/>
                <w:lang w:val="en-US"/>
              </w:rPr>
              <w:t xml:space="preserve">the </w:t>
            </w:r>
            <w:r w:rsidR="004B148F" w:rsidRPr="007B140B">
              <w:rPr>
                <w:rFonts w:ascii="Times New Roman" w:hAnsi="Times New Roman" w:cs="Times New Roman"/>
                <w:sz w:val="24"/>
                <w:szCs w:val="24"/>
                <w:lang w:val="en-US"/>
              </w:rPr>
              <w:t>Declaration of Helsinki, and regulations</w:t>
            </w:r>
          </w:p>
          <w:p w14:paraId="6CDC6A68" w14:textId="3DDFA6C4" w:rsidR="00C605A2" w:rsidRPr="007B140B" w:rsidRDefault="00C605A2" w:rsidP="00186D9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Set up a Coordinating Center</w:t>
            </w:r>
          </w:p>
          <w:p w14:paraId="1F902411" w14:textId="6D85AA7F" w:rsidR="00C605A2" w:rsidRPr="007B140B"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Ensure that the trial is uniformly conducted a</w:t>
            </w:r>
            <w:r w:rsidR="00C937D6" w:rsidRPr="007B140B">
              <w:rPr>
                <w:rFonts w:ascii="Times New Roman" w:hAnsi="Times New Roman" w:cs="Times New Roman"/>
                <w:sz w:val="24"/>
                <w:szCs w:val="24"/>
                <w:lang w:val="en-US"/>
              </w:rPr>
              <w:t>cross</w:t>
            </w:r>
            <w:r w:rsidRPr="007B140B">
              <w:rPr>
                <w:rFonts w:ascii="Times New Roman" w:hAnsi="Times New Roman" w:cs="Times New Roman"/>
                <w:sz w:val="24"/>
                <w:szCs w:val="24"/>
                <w:lang w:val="en-US"/>
              </w:rPr>
              <w:t xml:space="preserve"> study centers</w:t>
            </w:r>
          </w:p>
          <w:p w14:paraId="5391CCF5" w14:textId="77777777" w:rsidR="00911B26" w:rsidRPr="007B140B"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Guarantee that participants are insured</w:t>
            </w:r>
          </w:p>
          <w:p w14:paraId="1B70A6A0" w14:textId="77777777" w:rsidR="00911B26" w:rsidRPr="007B140B"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Obtain funding</w:t>
            </w:r>
          </w:p>
          <w:p w14:paraId="4BB516E0" w14:textId="77777777" w:rsidR="00911B26" w:rsidRPr="007B140B"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Delegate responsibilities</w:t>
            </w:r>
          </w:p>
          <w:p w14:paraId="7D3B658A" w14:textId="77777777" w:rsidR="00911B26" w:rsidRPr="007B140B"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Recruit study centers (principal investigators)</w:t>
            </w:r>
          </w:p>
          <w:p w14:paraId="6AB35AFD" w14:textId="41FAE53E" w:rsidR="00911B26" w:rsidRPr="007B140B"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Publi</w:t>
            </w:r>
            <w:r w:rsidR="004B148F" w:rsidRPr="007B140B">
              <w:rPr>
                <w:rFonts w:ascii="Times New Roman" w:hAnsi="Times New Roman" w:cs="Times New Roman"/>
                <w:sz w:val="24"/>
                <w:szCs w:val="24"/>
                <w:lang w:val="en-US"/>
              </w:rPr>
              <w:t>sh</w:t>
            </w:r>
            <w:r w:rsidRPr="007B140B">
              <w:rPr>
                <w:rFonts w:ascii="Times New Roman" w:hAnsi="Times New Roman" w:cs="Times New Roman"/>
                <w:sz w:val="24"/>
                <w:szCs w:val="24"/>
                <w:lang w:val="en-US"/>
              </w:rPr>
              <w:t xml:space="preserve"> results</w:t>
            </w:r>
          </w:p>
          <w:p w14:paraId="7DB67F7D" w14:textId="77777777" w:rsidR="00911B26" w:rsidRPr="007B140B" w:rsidRDefault="00911B26" w:rsidP="00186D9B">
            <w:pPr>
              <w:spacing w:after="0" w:line="240" w:lineRule="auto"/>
              <w:rPr>
                <w:rFonts w:ascii="Times New Roman" w:hAnsi="Times New Roman" w:cs="Times New Roman"/>
                <w:sz w:val="24"/>
                <w:szCs w:val="24"/>
                <w:lang w:val="en-US"/>
              </w:rPr>
            </w:pPr>
          </w:p>
        </w:tc>
      </w:tr>
      <w:tr w:rsidR="00911B26" w:rsidRPr="009F4F9D" w14:paraId="563EF0FB" w14:textId="77777777" w:rsidTr="00186D9B">
        <w:tc>
          <w:tcPr>
            <w:tcW w:w="3539" w:type="dxa"/>
          </w:tcPr>
          <w:p w14:paraId="59078669" w14:textId="77777777" w:rsidR="00911B26" w:rsidRPr="007B140B" w:rsidRDefault="00911B26" w:rsidP="00186D9B">
            <w:pPr>
              <w:spacing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Principal investigators (one per study center)</w:t>
            </w:r>
          </w:p>
        </w:tc>
        <w:tc>
          <w:tcPr>
            <w:tcW w:w="5523" w:type="dxa"/>
          </w:tcPr>
          <w:p w14:paraId="10BC42B7" w14:textId="77777777" w:rsidR="00911B26" w:rsidRPr="007B140B"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Ensure that the trial is conducted according to this protocol</w:t>
            </w:r>
          </w:p>
          <w:p w14:paraId="21580E6B" w14:textId="77777777" w:rsidR="00911B26" w:rsidRPr="007B140B"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Ensure that participants have provided written informed consent</w:t>
            </w:r>
          </w:p>
          <w:p w14:paraId="4A2DF197" w14:textId="533018CD" w:rsidR="00911B26" w:rsidRPr="007B140B"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w:t>
            </w:r>
            <w:r w:rsidR="00166E1D" w:rsidRPr="007B140B">
              <w:rPr>
                <w:rFonts w:ascii="Times New Roman" w:hAnsi="Times New Roman" w:cs="Times New Roman"/>
                <w:sz w:val="24"/>
                <w:szCs w:val="24"/>
                <w:lang w:val="en-US"/>
              </w:rPr>
              <w:t xml:space="preserve"> Ensure that eCRFs are complete and accurate</w:t>
            </w:r>
          </w:p>
          <w:p w14:paraId="5F9A1C13" w14:textId="77777777" w:rsidR="00911B26" w:rsidRPr="007B140B"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Protect the integrity and safety of participants</w:t>
            </w:r>
          </w:p>
          <w:p w14:paraId="3633E629" w14:textId="77777777" w:rsidR="00911B26" w:rsidRPr="007B140B"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Ensure that participants get necessary medical care</w:t>
            </w:r>
          </w:p>
          <w:p w14:paraId="001183E5" w14:textId="77777777" w:rsidR="00911B26" w:rsidRPr="007B140B"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 Recruit clinical staff </w:t>
            </w:r>
          </w:p>
          <w:p w14:paraId="3AFDA93B" w14:textId="523B40C3" w:rsidR="00911B26"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Ensure that staff are adequately trained</w:t>
            </w:r>
          </w:p>
          <w:p w14:paraId="46306483" w14:textId="5798A9E6" w:rsidR="009F4F9D" w:rsidRPr="007B140B" w:rsidRDefault="009F4F9D"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Draft the Clinical Study Report</w:t>
            </w:r>
          </w:p>
          <w:p w14:paraId="30520963" w14:textId="77777777" w:rsidR="00911B26" w:rsidRPr="007B140B" w:rsidRDefault="00911B26" w:rsidP="00186D9B">
            <w:pPr>
              <w:spacing w:after="0" w:line="240" w:lineRule="auto"/>
              <w:rPr>
                <w:rFonts w:ascii="Times New Roman" w:hAnsi="Times New Roman" w:cs="Times New Roman"/>
                <w:sz w:val="24"/>
                <w:szCs w:val="24"/>
                <w:lang w:val="en-US"/>
              </w:rPr>
            </w:pPr>
          </w:p>
        </w:tc>
      </w:tr>
      <w:tr w:rsidR="00911B26" w:rsidRPr="00390BA5" w14:paraId="04C67105" w14:textId="77777777" w:rsidTr="00186D9B">
        <w:tc>
          <w:tcPr>
            <w:tcW w:w="3539" w:type="dxa"/>
          </w:tcPr>
          <w:p w14:paraId="47AFBB1A" w14:textId="77777777" w:rsidR="00911B26" w:rsidRPr="007B140B" w:rsidRDefault="00911B26" w:rsidP="00186D9B">
            <w:pPr>
              <w:spacing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Trial statistician</w:t>
            </w:r>
          </w:p>
        </w:tc>
        <w:tc>
          <w:tcPr>
            <w:tcW w:w="5523" w:type="dxa"/>
          </w:tcPr>
          <w:p w14:paraId="3BA9C031" w14:textId="6657DF03" w:rsidR="00911B26" w:rsidRPr="007B140B"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 Write a </w:t>
            </w:r>
            <w:r w:rsidR="00902007" w:rsidRPr="007B140B">
              <w:rPr>
                <w:rFonts w:ascii="Times New Roman" w:hAnsi="Times New Roman" w:cs="Times New Roman"/>
                <w:sz w:val="24"/>
                <w:szCs w:val="24"/>
                <w:lang w:val="en-US"/>
              </w:rPr>
              <w:t xml:space="preserve">computer </w:t>
            </w:r>
            <w:r w:rsidRPr="007B140B">
              <w:rPr>
                <w:rFonts w:ascii="Times New Roman" w:hAnsi="Times New Roman" w:cs="Times New Roman"/>
                <w:sz w:val="24"/>
                <w:szCs w:val="24"/>
                <w:lang w:val="en-US"/>
              </w:rPr>
              <w:t>program for generating a randomization list</w:t>
            </w:r>
          </w:p>
          <w:p w14:paraId="7A3EF947" w14:textId="7932D378" w:rsidR="00911B26" w:rsidRPr="007B140B"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Deve</w:t>
            </w:r>
            <w:r w:rsidR="00CE233B" w:rsidRPr="007B140B">
              <w:rPr>
                <w:rFonts w:ascii="Times New Roman" w:hAnsi="Times New Roman" w:cs="Times New Roman"/>
                <w:sz w:val="24"/>
                <w:szCs w:val="24"/>
                <w:lang w:val="en-US"/>
              </w:rPr>
              <w:t xml:space="preserve">lop </w:t>
            </w:r>
            <w:r w:rsidR="002953A2" w:rsidRPr="007B140B">
              <w:rPr>
                <w:rFonts w:ascii="Times New Roman" w:hAnsi="Times New Roman" w:cs="Times New Roman"/>
                <w:sz w:val="24"/>
                <w:szCs w:val="24"/>
                <w:lang w:val="en-US"/>
              </w:rPr>
              <w:t xml:space="preserve">an </w:t>
            </w:r>
            <w:r w:rsidR="00CE233B" w:rsidRPr="007B140B">
              <w:rPr>
                <w:rFonts w:ascii="Times New Roman" w:hAnsi="Times New Roman" w:cs="Times New Roman"/>
                <w:sz w:val="24"/>
                <w:szCs w:val="24"/>
                <w:lang w:val="en-US"/>
              </w:rPr>
              <w:t>electronic case report form (eCRF</w:t>
            </w:r>
            <w:r w:rsidRPr="007B140B">
              <w:rPr>
                <w:rFonts w:ascii="Times New Roman" w:hAnsi="Times New Roman" w:cs="Times New Roman"/>
                <w:sz w:val="24"/>
                <w:szCs w:val="24"/>
                <w:lang w:val="en-US"/>
              </w:rPr>
              <w:t>)</w:t>
            </w:r>
          </w:p>
          <w:p w14:paraId="5CEE250F" w14:textId="7AF95C9B" w:rsidR="00911B26" w:rsidRPr="007B140B"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Continuously monitor incoming data for accuracy, completeness</w:t>
            </w:r>
            <w:r w:rsidR="00902007" w:rsidRPr="007B140B">
              <w:rPr>
                <w:rFonts w:ascii="Times New Roman" w:hAnsi="Times New Roman" w:cs="Times New Roman"/>
                <w:sz w:val="24"/>
                <w:szCs w:val="24"/>
                <w:lang w:val="en-US"/>
              </w:rPr>
              <w:t>,</w:t>
            </w:r>
            <w:r w:rsidRPr="007B140B">
              <w:rPr>
                <w:rFonts w:ascii="Times New Roman" w:hAnsi="Times New Roman" w:cs="Times New Roman"/>
                <w:sz w:val="24"/>
                <w:szCs w:val="24"/>
                <w:lang w:val="en-US"/>
              </w:rPr>
              <w:t xml:space="preserve"> and compliance with the protocol</w:t>
            </w:r>
          </w:p>
          <w:p w14:paraId="37108B7D" w14:textId="77777777" w:rsidR="00911B26" w:rsidRPr="007B140B"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Conduct a blind review of the trial database</w:t>
            </w:r>
          </w:p>
          <w:p w14:paraId="10C4087D" w14:textId="77777777" w:rsidR="00911B26" w:rsidRPr="007B140B"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Report to the sponsor when the trial database is accurate and complete</w:t>
            </w:r>
          </w:p>
          <w:p w14:paraId="7D4CC249" w14:textId="77777777" w:rsidR="00911B26" w:rsidRPr="007B140B" w:rsidRDefault="00911B26" w:rsidP="009F4F9D">
            <w:pPr>
              <w:spacing w:after="0" w:line="240" w:lineRule="auto"/>
              <w:rPr>
                <w:rFonts w:ascii="Times New Roman" w:hAnsi="Times New Roman" w:cs="Times New Roman"/>
                <w:sz w:val="24"/>
                <w:szCs w:val="24"/>
                <w:lang w:val="en-US"/>
              </w:rPr>
            </w:pPr>
          </w:p>
        </w:tc>
      </w:tr>
      <w:tr w:rsidR="00911B26" w:rsidRPr="00390BA5" w14:paraId="48F389A5" w14:textId="77777777" w:rsidTr="00186D9B">
        <w:tc>
          <w:tcPr>
            <w:tcW w:w="3539" w:type="dxa"/>
          </w:tcPr>
          <w:p w14:paraId="4BEA8217" w14:textId="05044E1F" w:rsidR="00911B26" w:rsidRPr="007B140B" w:rsidRDefault="004E015F" w:rsidP="004E015F">
            <w:pPr>
              <w:spacing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University Hospital of </w:t>
            </w:r>
            <w:proofErr w:type="spellStart"/>
            <w:r w:rsidRPr="007B140B">
              <w:rPr>
                <w:rFonts w:ascii="Times New Roman" w:hAnsi="Times New Roman" w:cs="Times New Roman"/>
                <w:sz w:val="24"/>
                <w:szCs w:val="24"/>
                <w:lang w:val="en-US"/>
              </w:rPr>
              <w:t>Umeå</w:t>
            </w:r>
            <w:proofErr w:type="spellEnd"/>
            <w:r w:rsidRPr="007B140B">
              <w:rPr>
                <w:rFonts w:ascii="Times New Roman" w:hAnsi="Times New Roman" w:cs="Times New Roman"/>
                <w:sz w:val="24"/>
                <w:szCs w:val="24"/>
                <w:lang w:val="en-US"/>
              </w:rPr>
              <w:t xml:space="preserve"> </w:t>
            </w:r>
            <w:r w:rsidR="00911B26" w:rsidRPr="007B140B">
              <w:rPr>
                <w:rFonts w:ascii="Times New Roman" w:hAnsi="Times New Roman" w:cs="Times New Roman"/>
                <w:sz w:val="24"/>
                <w:szCs w:val="24"/>
                <w:lang w:val="en-US"/>
              </w:rPr>
              <w:t>Clinical Research Center</w:t>
            </w:r>
          </w:p>
        </w:tc>
        <w:tc>
          <w:tcPr>
            <w:tcW w:w="5523" w:type="dxa"/>
          </w:tcPr>
          <w:p w14:paraId="7E8D8BD0" w14:textId="066D55AC" w:rsidR="00911B26" w:rsidRPr="007B140B"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 Generate </w:t>
            </w:r>
            <w:r w:rsidR="00091CF6" w:rsidRPr="007B140B">
              <w:rPr>
                <w:rFonts w:ascii="Times New Roman" w:hAnsi="Times New Roman" w:cs="Times New Roman"/>
                <w:sz w:val="24"/>
                <w:szCs w:val="24"/>
                <w:lang w:val="en-US"/>
              </w:rPr>
              <w:t>and store a</w:t>
            </w:r>
            <w:r w:rsidRPr="007B140B">
              <w:rPr>
                <w:rFonts w:ascii="Times New Roman" w:hAnsi="Times New Roman" w:cs="Times New Roman"/>
                <w:sz w:val="24"/>
                <w:szCs w:val="24"/>
                <w:lang w:val="en-US"/>
              </w:rPr>
              <w:t xml:space="preserve"> randomization list</w:t>
            </w:r>
          </w:p>
          <w:p w14:paraId="17399424" w14:textId="77777777" w:rsidR="00911B26" w:rsidRPr="007B140B"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Monitor the trial for adherence to GCP, regulations, and ethical guidelines</w:t>
            </w:r>
          </w:p>
          <w:p w14:paraId="16F4DA02" w14:textId="77777777" w:rsidR="00911B26" w:rsidRPr="007B140B"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Assist in reporting SUSARs</w:t>
            </w:r>
          </w:p>
          <w:p w14:paraId="4A5C49A8" w14:textId="1D114E2A" w:rsidR="00911B26" w:rsidRPr="007B140B" w:rsidRDefault="003019FD"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Assist in writing</w:t>
            </w:r>
            <w:r w:rsidR="00911B26" w:rsidRPr="007B140B">
              <w:rPr>
                <w:rFonts w:ascii="Times New Roman" w:hAnsi="Times New Roman" w:cs="Times New Roman"/>
                <w:sz w:val="24"/>
                <w:szCs w:val="24"/>
                <w:lang w:val="en-US"/>
              </w:rPr>
              <w:t xml:space="preserve"> DSUR</w:t>
            </w:r>
            <w:r w:rsidRPr="007B140B">
              <w:rPr>
                <w:rFonts w:ascii="Times New Roman" w:hAnsi="Times New Roman" w:cs="Times New Roman"/>
                <w:sz w:val="24"/>
                <w:szCs w:val="24"/>
                <w:lang w:val="en-US"/>
              </w:rPr>
              <w:t>s</w:t>
            </w:r>
          </w:p>
          <w:p w14:paraId="51827E15" w14:textId="03B37F3E" w:rsidR="00911B26" w:rsidRPr="007B140B"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 Assist in developing and maintaining </w:t>
            </w:r>
            <w:r w:rsidR="003019FD" w:rsidRPr="007B140B">
              <w:rPr>
                <w:rFonts w:ascii="Times New Roman" w:hAnsi="Times New Roman" w:cs="Times New Roman"/>
                <w:sz w:val="24"/>
                <w:szCs w:val="24"/>
                <w:lang w:val="en-US"/>
              </w:rPr>
              <w:t xml:space="preserve">the </w:t>
            </w:r>
            <w:r w:rsidRPr="007B140B">
              <w:rPr>
                <w:rFonts w:ascii="Times New Roman" w:hAnsi="Times New Roman" w:cs="Times New Roman"/>
                <w:sz w:val="24"/>
                <w:szCs w:val="24"/>
                <w:lang w:val="en-US"/>
              </w:rPr>
              <w:t>eCRF</w:t>
            </w:r>
          </w:p>
          <w:p w14:paraId="162BD37B" w14:textId="3A625D56" w:rsidR="00911B26" w:rsidRPr="007B140B"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 Assist in writing </w:t>
            </w:r>
            <w:r w:rsidR="00F837B8" w:rsidRPr="007B140B">
              <w:rPr>
                <w:rFonts w:ascii="Times New Roman" w:hAnsi="Times New Roman" w:cs="Times New Roman"/>
                <w:sz w:val="24"/>
                <w:szCs w:val="24"/>
                <w:lang w:val="en-US"/>
              </w:rPr>
              <w:t xml:space="preserve">an </w:t>
            </w:r>
            <w:r w:rsidRPr="007B140B">
              <w:rPr>
                <w:rFonts w:ascii="Times New Roman" w:hAnsi="Times New Roman" w:cs="Times New Roman"/>
                <w:sz w:val="24"/>
                <w:szCs w:val="24"/>
                <w:lang w:val="en-US"/>
              </w:rPr>
              <w:t xml:space="preserve">agreement with </w:t>
            </w:r>
            <w:r w:rsidR="00F837B8" w:rsidRPr="007B140B">
              <w:rPr>
                <w:rFonts w:ascii="Times New Roman" w:hAnsi="Times New Roman" w:cs="Times New Roman"/>
                <w:sz w:val="24"/>
                <w:szCs w:val="24"/>
                <w:lang w:val="en-US"/>
              </w:rPr>
              <w:t xml:space="preserve">a </w:t>
            </w:r>
            <w:r w:rsidRPr="007B140B">
              <w:rPr>
                <w:rFonts w:ascii="Times New Roman" w:hAnsi="Times New Roman" w:cs="Times New Roman"/>
                <w:sz w:val="24"/>
                <w:szCs w:val="24"/>
                <w:lang w:val="en-US"/>
              </w:rPr>
              <w:t>pharmaceutical company</w:t>
            </w:r>
          </w:p>
          <w:p w14:paraId="2A5CE615" w14:textId="77777777" w:rsidR="00911B26" w:rsidRPr="007B140B" w:rsidRDefault="00911B26" w:rsidP="00186D9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Assist in developing a monitoring plan</w:t>
            </w:r>
          </w:p>
        </w:tc>
      </w:tr>
    </w:tbl>
    <w:p w14:paraId="1B28C49B" w14:textId="77777777" w:rsidR="00911B26" w:rsidRPr="007B140B" w:rsidRDefault="00911B26" w:rsidP="00911B26">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br w:type="page"/>
      </w:r>
    </w:p>
    <w:p w14:paraId="2B627EBC" w14:textId="0A11BBD6" w:rsidR="007D6C89" w:rsidRPr="007B140B" w:rsidRDefault="009D3C1C" w:rsidP="002D48FC">
      <w:pPr>
        <w:pStyle w:val="Rubrik1"/>
        <w:rPr>
          <w:rFonts w:ascii="Times New Roman" w:hAnsi="Times New Roman" w:cs="Times New Roman"/>
          <w:lang w:val="en-US"/>
        </w:rPr>
      </w:pPr>
      <w:bookmarkStart w:id="6" w:name="_Toc99001392"/>
      <w:r w:rsidRPr="007B140B">
        <w:rPr>
          <w:rFonts w:ascii="Times New Roman" w:hAnsi="Times New Roman" w:cs="Times New Roman"/>
          <w:lang w:val="en-US"/>
        </w:rPr>
        <w:lastRenderedPageBreak/>
        <w:t>A</w:t>
      </w:r>
      <w:r w:rsidR="00924B0E" w:rsidRPr="007B140B">
        <w:rPr>
          <w:rFonts w:ascii="Times New Roman" w:hAnsi="Times New Roman" w:cs="Times New Roman"/>
          <w:lang w:val="en-US"/>
        </w:rPr>
        <w:t>cronyms</w:t>
      </w:r>
      <w:r w:rsidR="00235E6E" w:rsidRPr="007B140B">
        <w:rPr>
          <w:rFonts w:ascii="Times New Roman" w:hAnsi="Times New Roman" w:cs="Times New Roman"/>
          <w:lang w:val="en-US"/>
        </w:rPr>
        <w:t xml:space="preserve"> and </w:t>
      </w:r>
      <w:r w:rsidR="001656C8" w:rsidRPr="007B140B">
        <w:rPr>
          <w:rFonts w:ascii="Times New Roman" w:hAnsi="Times New Roman" w:cs="Times New Roman"/>
          <w:lang w:val="en-US"/>
        </w:rPr>
        <w:t>A</w:t>
      </w:r>
      <w:r w:rsidR="00872E0C" w:rsidRPr="007B140B">
        <w:rPr>
          <w:rFonts w:ascii="Times New Roman" w:hAnsi="Times New Roman" w:cs="Times New Roman"/>
          <w:lang w:val="en-US"/>
        </w:rPr>
        <w:t>bbreviations</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7"/>
        <w:gridCol w:w="6535"/>
      </w:tblGrid>
      <w:tr w:rsidR="007D6C89" w:rsidRPr="007B140B" w14:paraId="10386DC3" w14:textId="77777777" w:rsidTr="00CB799A">
        <w:trPr>
          <w:trHeight w:hRule="exact" w:val="454"/>
        </w:trPr>
        <w:tc>
          <w:tcPr>
            <w:tcW w:w="2527" w:type="dxa"/>
            <w:vAlign w:val="center"/>
          </w:tcPr>
          <w:p w14:paraId="7CA4CBE8" w14:textId="52528BA9" w:rsidR="007D6C89" w:rsidRPr="007B140B" w:rsidRDefault="00911B26" w:rsidP="00515145">
            <w:pPr>
              <w:rPr>
                <w:rFonts w:ascii="Times New Roman" w:hAnsi="Times New Roman" w:cs="Times New Roman"/>
                <w:b/>
                <w:sz w:val="24"/>
                <w:szCs w:val="24"/>
                <w:lang w:val="en-US"/>
              </w:rPr>
            </w:pPr>
            <w:r w:rsidRPr="007B140B">
              <w:rPr>
                <w:rFonts w:ascii="Times New Roman" w:hAnsi="Times New Roman" w:cs="Times New Roman"/>
                <w:b/>
                <w:sz w:val="24"/>
                <w:szCs w:val="24"/>
                <w:lang w:val="en-US"/>
              </w:rPr>
              <w:t>Acronym/</w:t>
            </w:r>
            <w:r w:rsidR="005107AE" w:rsidRPr="007B140B">
              <w:rPr>
                <w:rFonts w:ascii="Times New Roman" w:hAnsi="Times New Roman" w:cs="Times New Roman"/>
                <w:b/>
                <w:sz w:val="24"/>
                <w:szCs w:val="24"/>
                <w:lang w:val="en-US"/>
              </w:rPr>
              <w:t>Abbreviation</w:t>
            </w:r>
          </w:p>
        </w:tc>
        <w:tc>
          <w:tcPr>
            <w:tcW w:w="6535" w:type="dxa"/>
            <w:vAlign w:val="center"/>
          </w:tcPr>
          <w:p w14:paraId="592F8CC6" w14:textId="5C6AF4CF" w:rsidR="007D6C89" w:rsidRPr="007B140B" w:rsidRDefault="00E4686A" w:rsidP="00515145">
            <w:pPr>
              <w:rPr>
                <w:rFonts w:ascii="Times New Roman" w:hAnsi="Times New Roman" w:cs="Times New Roman"/>
                <w:b/>
                <w:sz w:val="24"/>
                <w:szCs w:val="24"/>
                <w:lang w:val="en-US"/>
              </w:rPr>
            </w:pPr>
            <w:r w:rsidRPr="007B140B">
              <w:rPr>
                <w:rFonts w:ascii="Times New Roman" w:hAnsi="Times New Roman" w:cs="Times New Roman"/>
                <w:b/>
                <w:sz w:val="24"/>
                <w:szCs w:val="24"/>
                <w:lang w:val="en-US"/>
              </w:rPr>
              <w:t>Explanation</w:t>
            </w:r>
          </w:p>
        </w:tc>
      </w:tr>
      <w:tr w:rsidR="00415426" w:rsidRPr="007B140B" w14:paraId="5DCBF981" w14:textId="77777777" w:rsidTr="00CB799A">
        <w:trPr>
          <w:trHeight w:val="23"/>
        </w:trPr>
        <w:tc>
          <w:tcPr>
            <w:tcW w:w="2527" w:type="dxa"/>
            <w:vAlign w:val="center"/>
          </w:tcPr>
          <w:p w14:paraId="7DC45EE5" w14:textId="617C6244" w:rsidR="00415426" w:rsidRPr="007B140B" w:rsidRDefault="00415426" w:rsidP="00515145">
            <w:pPr>
              <w:rPr>
                <w:rFonts w:ascii="Times New Roman" w:hAnsi="Times New Roman" w:cs="Times New Roman"/>
                <w:sz w:val="24"/>
                <w:szCs w:val="24"/>
                <w:lang w:val="en-US"/>
              </w:rPr>
            </w:pPr>
            <w:r w:rsidRPr="007B140B">
              <w:rPr>
                <w:rFonts w:ascii="Times New Roman" w:hAnsi="Times New Roman" w:cs="Times New Roman"/>
                <w:sz w:val="24"/>
                <w:szCs w:val="24"/>
                <w:lang w:val="en-US"/>
              </w:rPr>
              <w:t>AE</w:t>
            </w:r>
          </w:p>
        </w:tc>
        <w:tc>
          <w:tcPr>
            <w:tcW w:w="6535" w:type="dxa"/>
            <w:vAlign w:val="center"/>
          </w:tcPr>
          <w:p w14:paraId="7179840E" w14:textId="0F01B2F8" w:rsidR="00415426" w:rsidRPr="007B140B" w:rsidRDefault="00ED233B" w:rsidP="005107AE">
            <w:pPr>
              <w:rPr>
                <w:rFonts w:ascii="Times New Roman" w:hAnsi="Times New Roman" w:cs="Times New Roman"/>
                <w:sz w:val="24"/>
                <w:szCs w:val="24"/>
                <w:lang w:val="en-US"/>
              </w:rPr>
            </w:pPr>
            <w:r w:rsidRPr="007B140B">
              <w:rPr>
                <w:rFonts w:ascii="Times New Roman" w:hAnsi="Times New Roman" w:cs="Times New Roman"/>
                <w:sz w:val="24"/>
                <w:szCs w:val="24"/>
                <w:lang w:val="en-US"/>
              </w:rPr>
              <w:t>Adverse event</w:t>
            </w:r>
          </w:p>
        </w:tc>
      </w:tr>
      <w:tr w:rsidR="00BC024E" w:rsidRPr="007B140B" w14:paraId="14845E52" w14:textId="77777777" w:rsidTr="00CB799A">
        <w:trPr>
          <w:trHeight w:val="23"/>
        </w:trPr>
        <w:tc>
          <w:tcPr>
            <w:tcW w:w="2527" w:type="dxa"/>
            <w:vAlign w:val="center"/>
          </w:tcPr>
          <w:p w14:paraId="4426BFB8" w14:textId="7D40D44A" w:rsidR="00BC024E" w:rsidRPr="007B140B" w:rsidRDefault="00BC024E" w:rsidP="00515145">
            <w:pPr>
              <w:rPr>
                <w:rFonts w:ascii="Times New Roman" w:hAnsi="Times New Roman" w:cs="Times New Roman"/>
                <w:sz w:val="24"/>
                <w:szCs w:val="24"/>
                <w:lang w:val="en-US"/>
              </w:rPr>
            </w:pPr>
            <w:r>
              <w:rPr>
                <w:rFonts w:ascii="Times New Roman" w:hAnsi="Times New Roman" w:cs="Times New Roman"/>
                <w:sz w:val="24"/>
                <w:szCs w:val="24"/>
                <w:lang w:val="en-US"/>
              </w:rPr>
              <w:t>COVID-19</w:t>
            </w:r>
          </w:p>
        </w:tc>
        <w:tc>
          <w:tcPr>
            <w:tcW w:w="6535" w:type="dxa"/>
            <w:vAlign w:val="center"/>
          </w:tcPr>
          <w:p w14:paraId="1D95BD1A" w14:textId="6BEE84DD" w:rsidR="00BC024E" w:rsidRPr="007B140B" w:rsidRDefault="00BC024E" w:rsidP="005107AE">
            <w:pPr>
              <w:rPr>
                <w:rFonts w:ascii="Times New Roman" w:hAnsi="Times New Roman" w:cs="Times New Roman"/>
                <w:sz w:val="24"/>
                <w:szCs w:val="24"/>
                <w:lang w:val="en-US"/>
              </w:rPr>
            </w:pPr>
            <w:r>
              <w:rPr>
                <w:rFonts w:ascii="Times New Roman" w:hAnsi="Times New Roman" w:cs="Times New Roman"/>
                <w:sz w:val="24"/>
                <w:szCs w:val="24"/>
                <w:lang w:val="en-US"/>
              </w:rPr>
              <w:t>Coronavirus disease 2019</w:t>
            </w:r>
          </w:p>
        </w:tc>
      </w:tr>
      <w:tr w:rsidR="00ED233B" w:rsidRPr="007B140B" w14:paraId="1F8415BB" w14:textId="77777777" w:rsidTr="00CB799A">
        <w:trPr>
          <w:trHeight w:val="23"/>
        </w:trPr>
        <w:tc>
          <w:tcPr>
            <w:tcW w:w="2527" w:type="dxa"/>
            <w:vAlign w:val="center"/>
          </w:tcPr>
          <w:p w14:paraId="0F60C09E" w14:textId="7BA151F2" w:rsidR="00ED233B" w:rsidRPr="007B140B" w:rsidRDefault="00ED233B" w:rsidP="00ED233B">
            <w:pPr>
              <w:rPr>
                <w:rFonts w:ascii="Times New Roman" w:hAnsi="Times New Roman" w:cs="Times New Roman"/>
                <w:sz w:val="24"/>
                <w:szCs w:val="24"/>
                <w:lang w:val="en-US"/>
              </w:rPr>
            </w:pPr>
            <w:r w:rsidRPr="007B140B">
              <w:rPr>
                <w:rFonts w:ascii="Times New Roman" w:hAnsi="Times New Roman" w:cs="Times New Roman"/>
                <w:sz w:val="24"/>
                <w:szCs w:val="24"/>
                <w:lang w:val="en-US"/>
              </w:rPr>
              <w:t>DSUR</w:t>
            </w:r>
          </w:p>
        </w:tc>
        <w:tc>
          <w:tcPr>
            <w:tcW w:w="6535" w:type="dxa"/>
            <w:vAlign w:val="center"/>
          </w:tcPr>
          <w:p w14:paraId="0DCA2898" w14:textId="3E268F0E" w:rsidR="00ED233B" w:rsidRPr="007B140B" w:rsidRDefault="00F63356" w:rsidP="00ED233B">
            <w:pPr>
              <w:rPr>
                <w:rFonts w:ascii="Times New Roman" w:hAnsi="Times New Roman" w:cs="Times New Roman"/>
                <w:sz w:val="24"/>
                <w:szCs w:val="24"/>
                <w:lang w:val="en-US"/>
              </w:rPr>
            </w:pPr>
            <w:r>
              <w:rPr>
                <w:rFonts w:ascii="Times New Roman" w:hAnsi="Times New Roman" w:cs="Times New Roman"/>
                <w:sz w:val="24"/>
                <w:szCs w:val="24"/>
                <w:lang w:val="en-US"/>
              </w:rPr>
              <w:t>Development</w:t>
            </w:r>
            <w:r w:rsidRPr="007B140B">
              <w:rPr>
                <w:rFonts w:ascii="Times New Roman" w:hAnsi="Times New Roman" w:cs="Times New Roman"/>
                <w:sz w:val="24"/>
                <w:szCs w:val="24"/>
                <w:lang w:val="en-US"/>
              </w:rPr>
              <w:t xml:space="preserve"> </w:t>
            </w:r>
            <w:r w:rsidR="00ED233B" w:rsidRPr="007B140B">
              <w:rPr>
                <w:rFonts w:ascii="Times New Roman" w:hAnsi="Times New Roman" w:cs="Times New Roman"/>
                <w:sz w:val="24"/>
                <w:szCs w:val="24"/>
                <w:lang w:val="en-US"/>
              </w:rPr>
              <w:t>safety update report</w:t>
            </w:r>
          </w:p>
        </w:tc>
      </w:tr>
      <w:tr w:rsidR="00ED233B" w:rsidRPr="007B140B" w14:paraId="0D8951C4" w14:textId="77777777" w:rsidTr="00CB799A">
        <w:trPr>
          <w:trHeight w:val="23"/>
        </w:trPr>
        <w:tc>
          <w:tcPr>
            <w:tcW w:w="2527" w:type="dxa"/>
            <w:vAlign w:val="center"/>
          </w:tcPr>
          <w:p w14:paraId="272A20B2" w14:textId="3725CD67" w:rsidR="00ED233B" w:rsidRPr="007B140B" w:rsidRDefault="00ED233B" w:rsidP="00ED233B">
            <w:pPr>
              <w:rPr>
                <w:rFonts w:ascii="Times New Roman" w:hAnsi="Times New Roman" w:cs="Times New Roman"/>
                <w:sz w:val="24"/>
                <w:szCs w:val="24"/>
                <w:lang w:val="en-US"/>
              </w:rPr>
            </w:pPr>
            <w:r w:rsidRPr="007B140B">
              <w:rPr>
                <w:rFonts w:ascii="Times New Roman" w:hAnsi="Times New Roman" w:cs="Times New Roman"/>
                <w:sz w:val="24"/>
                <w:szCs w:val="24"/>
                <w:lang w:val="en-US"/>
              </w:rPr>
              <w:t>eCRF</w:t>
            </w:r>
          </w:p>
        </w:tc>
        <w:tc>
          <w:tcPr>
            <w:tcW w:w="6535" w:type="dxa"/>
            <w:vAlign w:val="center"/>
          </w:tcPr>
          <w:p w14:paraId="16351592" w14:textId="4045B8E4" w:rsidR="00ED233B" w:rsidRPr="007B140B" w:rsidRDefault="00ED233B" w:rsidP="00ED233B">
            <w:pPr>
              <w:rPr>
                <w:rFonts w:ascii="Times New Roman" w:hAnsi="Times New Roman" w:cs="Times New Roman"/>
                <w:sz w:val="24"/>
                <w:szCs w:val="24"/>
                <w:lang w:val="en-US"/>
              </w:rPr>
            </w:pPr>
            <w:r w:rsidRPr="007B140B">
              <w:rPr>
                <w:rFonts w:ascii="Times New Roman" w:hAnsi="Times New Roman" w:cs="Times New Roman"/>
                <w:sz w:val="24"/>
                <w:szCs w:val="24"/>
                <w:lang w:val="en-US"/>
              </w:rPr>
              <w:t>Electronic case report form</w:t>
            </w:r>
          </w:p>
        </w:tc>
      </w:tr>
      <w:tr w:rsidR="00745C57" w:rsidRPr="00390BA5" w14:paraId="58FCD8A8" w14:textId="77777777" w:rsidTr="00CB799A">
        <w:trPr>
          <w:trHeight w:val="529"/>
        </w:trPr>
        <w:tc>
          <w:tcPr>
            <w:tcW w:w="2527" w:type="dxa"/>
          </w:tcPr>
          <w:p w14:paraId="72267FD1" w14:textId="33E8D66B" w:rsidR="00745C57" w:rsidRPr="007B140B" w:rsidRDefault="00745C57" w:rsidP="00745C57">
            <w:pPr>
              <w:rPr>
                <w:rFonts w:ascii="Times New Roman" w:hAnsi="Times New Roman" w:cs="Times New Roman"/>
                <w:sz w:val="24"/>
                <w:szCs w:val="24"/>
                <w:lang w:val="en-US"/>
              </w:rPr>
            </w:pPr>
            <w:r w:rsidRPr="007B140B">
              <w:rPr>
                <w:rFonts w:ascii="Times New Roman" w:hAnsi="Times New Roman" w:cs="Times New Roman"/>
                <w:sz w:val="24"/>
                <w:szCs w:val="24"/>
                <w:lang w:val="en-US"/>
              </w:rPr>
              <w:t>EudraCT</w:t>
            </w:r>
          </w:p>
        </w:tc>
        <w:tc>
          <w:tcPr>
            <w:tcW w:w="6535" w:type="dxa"/>
            <w:vAlign w:val="center"/>
          </w:tcPr>
          <w:p w14:paraId="4A026581" w14:textId="5828F99E" w:rsidR="00745C57" w:rsidRPr="007B140B" w:rsidRDefault="00745C57" w:rsidP="00745C57">
            <w:pPr>
              <w:rPr>
                <w:rFonts w:ascii="Times New Roman" w:hAnsi="Times New Roman" w:cs="Times New Roman"/>
                <w:sz w:val="24"/>
                <w:szCs w:val="24"/>
                <w:lang w:val="en-US"/>
              </w:rPr>
            </w:pPr>
            <w:r w:rsidRPr="007B140B">
              <w:rPr>
                <w:rFonts w:ascii="Times New Roman" w:hAnsi="Times New Roman" w:cs="Times New Roman"/>
                <w:sz w:val="24"/>
                <w:szCs w:val="24"/>
                <w:lang w:val="en-US"/>
              </w:rPr>
              <w:t>European Union Drug Regulating Authorities Clinical Trials Database</w:t>
            </w:r>
          </w:p>
        </w:tc>
      </w:tr>
      <w:tr w:rsidR="00CB799A" w:rsidRPr="00C2619C" w14:paraId="4580F8E0" w14:textId="77777777" w:rsidTr="00CB799A">
        <w:trPr>
          <w:trHeight w:val="529"/>
        </w:trPr>
        <w:tc>
          <w:tcPr>
            <w:tcW w:w="2527" w:type="dxa"/>
          </w:tcPr>
          <w:p w14:paraId="2245388C" w14:textId="72E0224E" w:rsidR="00CB799A" w:rsidRPr="007B140B" w:rsidRDefault="00CB799A" w:rsidP="00745C57">
            <w:pPr>
              <w:rPr>
                <w:rFonts w:ascii="Times New Roman" w:hAnsi="Times New Roman" w:cs="Times New Roman"/>
                <w:sz w:val="24"/>
                <w:szCs w:val="24"/>
                <w:lang w:val="en-US"/>
              </w:rPr>
            </w:pPr>
            <w:r>
              <w:rPr>
                <w:rFonts w:ascii="Times New Roman" w:hAnsi="Times New Roman" w:cs="Times New Roman"/>
                <w:sz w:val="24"/>
                <w:szCs w:val="24"/>
                <w:lang w:val="en-US"/>
              </w:rPr>
              <w:t>EQ-5D-3L</w:t>
            </w:r>
          </w:p>
        </w:tc>
        <w:tc>
          <w:tcPr>
            <w:tcW w:w="6535" w:type="dxa"/>
            <w:vAlign w:val="center"/>
          </w:tcPr>
          <w:p w14:paraId="5497255B" w14:textId="5A083443" w:rsidR="00CB799A" w:rsidRPr="007B140B" w:rsidRDefault="00CB799A" w:rsidP="00745C57">
            <w:pPr>
              <w:rPr>
                <w:rFonts w:ascii="Times New Roman" w:hAnsi="Times New Roman" w:cs="Times New Roman"/>
                <w:sz w:val="24"/>
                <w:szCs w:val="24"/>
                <w:lang w:val="en-US"/>
              </w:rPr>
            </w:pPr>
            <w:r>
              <w:rPr>
                <w:rFonts w:ascii="Times New Roman" w:hAnsi="Times New Roman" w:cs="Times New Roman"/>
                <w:sz w:val="24"/>
                <w:szCs w:val="24"/>
                <w:lang w:val="en-US"/>
              </w:rPr>
              <w:t>EuroQol-5 Dimensions-3 Levels</w:t>
            </w:r>
          </w:p>
        </w:tc>
      </w:tr>
      <w:tr w:rsidR="00CB799A" w:rsidRPr="00C2619C" w14:paraId="7609D14A" w14:textId="77777777" w:rsidTr="00CB799A">
        <w:trPr>
          <w:trHeight w:val="529"/>
        </w:trPr>
        <w:tc>
          <w:tcPr>
            <w:tcW w:w="2527" w:type="dxa"/>
          </w:tcPr>
          <w:p w14:paraId="48BAB18B" w14:textId="0B37369E" w:rsidR="00CB799A" w:rsidRDefault="00CB799A" w:rsidP="00CB799A">
            <w:pPr>
              <w:rPr>
                <w:rFonts w:ascii="Times New Roman" w:hAnsi="Times New Roman" w:cs="Times New Roman"/>
                <w:sz w:val="24"/>
                <w:szCs w:val="24"/>
                <w:lang w:val="en-US"/>
              </w:rPr>
            </w:pPr>
            <w:r>
              <w:rPr>
                <w:rFonts w:ascii="Times New Roman" w:hAnsi="Times New Roman" w:cs="Times New Roman"/>
                <w:sz w:val="24"/>
                <w:szCs w:val="24"/>
                <w:lang w:val="en-US"/>
              </w:rPr>
              <w:t>EQ-5D-5L</w:t>
            </w:r>
          </w:p>
        </w:tc>
        <w:tc>
          <w:tcPr>
            <w:tcW w:w="6535" w:type="dxa"/>
            <w:vAlign w:val="center"/>
          </w:tcPr>
          <w:p w14:paraId="3D3A0620" w14:textId="11342BF1" w:rsidR="00CB799A" w:rsidRPr="007B140B" w:rsidRDefault="00CB799A" w:rsidP="00CB799A">
            <w:pPr>
              <w:rPr>
                <w:rFonts w:ascii="Times New Roman" w:hAnsi="Times New Roman" w:cs="Times New Roman"/>
                <w:sz w:val="24"/>
                <w:szCs w:val="24"/>
                <w:lang w:val="en-US"/>
              </w:rPr>
            </w:pPr>
            <w:r>
              <w:rPr>
                <w:rFonts w:ascii="Times New Roman" w:hAnsi="Times New Roman" w:cs="Times New Roman"/>
                <w:sz w:val="24"/>
                <w:szCs w:val="24"/>
                <w:lang w:val="en-US"/>
              </w:rPr>
              <w:t>EuroQol-5 Dimensions-5 Levels</w:t>
            </w:r>
          </w:p>
        </w:tc>
      </w:tr>
      <w:tr w:rsidR="00CB799A" w:rsidRPr="007B140B" w14:paraId="313A01DE" w14:textId="77777777" w:rsidTr="00CB799A">
        <w:trPr>
          <w:trHeight w:val="23"/>
        </w:trPr>
        <w:tc>
          <w:tcPr>
            <w:tcW w:w="2527" w:type="dxa"/>
            <w:vAlign w:val="center"/>
          </w:tcPr>
          <w:p w14:paraId="377EAC99" w14:textId="41A9F5B7" w:rsidR="00CB799A" w:rsidRPr="007B140B" w:rsidRDefault="00CB799A" w:rsidP="00CB799A">
            <w:pPr>
              <w:rPr>
                <w:rFonts w:ascii="Times New Roman" w:hAnsi="Times New Roman" w:cs="Times New Roman"/>
                <w:sz w:val="24"/>
                <w:szCs w:val="24"/>
                <w:lang w:val="en-US"/>
              </w:rPr>
            </w:pPr>
            <w:r w:rsidRPr="007B140B">
              <w:rPr>
                <w:rFonts w:ascii="Times New Roman" w:hAnsi="Times New Roman" w:cs="Times New Roman"/>
                <w:sz w:val="24"/>
                <w:szCs w:val="24"/>
                <w:lang w:val="en-US"/>
              </w:rPr>
              <w:t>GCP</w:t>
            </w:r>
          </w:p>
        </w:tc>
        <w:tc>
          <w:tcPr>
            <w:tcW w:w="6535" w:type="dxa"/>
            <w:vAlign w:val="center"/>
          </w:tcPr>
          <w:p w14:paraId="11B03DA8" w14:textId="304454F5" w:rsidR="00CB799A" w:rsidRPr="007B140B" w:rsidRDefault="00CB799A" w:rsidP="00CB799A">
            <w:pPr>
              <w:rPr>
                <w:rFonts w:ascii="Times New Roman" w:hAnsi="Times New Roman" w:cs="Times New Roman"/>
                <w:sz w:val="24"/>
                <w:szCs w:val="24"/>
                <w:lang w:val="en-US"/>
              </w:rPr>
            </w:pPr>
            <w:r w:rsidRPr="007B140B">
              <w:rPr>
                <w:rFonts w:ascii="Times New Roman" w:hAnsi="Times New Roman" w:cs="Times New Roman"/>
                <w:sz w:val="24"/>
                <w:szCs w:val="24"/>
                <w:lang w:val="en-US"/>
              </w:rPr>
              <w:t>Good clinical practice</w:t>
            </w:r>
          </w:p>
        </w:tc>
      </w:tr>
      <w:tr w:rsidR="00CB799A" w:rsidRPr="00390BA5" w14:paraId="61D42F29" w14:textId="77777777" w:rsidTr="00CB799A">
        <w:trPr>
          <w:trHeight w:val="23"/>
        </w:trPr>
        <w:tc>
          <w:tcPr>
            <w:tcW w:w="2527" w:type="dxa"/>
            <w:vAlign w:val="center"/>
          </w:tcPr>
          <w:p w14:paraId="3E27E9DC" w14:textId="384C1047" w:rsidR="00CB799A" w:rsidRPr="007B140B" w:rsidRDefault="00CB799A" w:rsidP="00CB799A">
            <w:pPr>
              <w:rPr>
                <w:rFonts w:ascii="Times New Roman" w:hAnsi="Times New Roman" w:cs="Times New Roman"/>
                <w:sz w:val="24"/>
                <w:szCs w:val="24"/>
                <w:lang w:val="en-US"/>
              </w:rPr>
            </w:pPr>
            <w:r w:rsidRPr="007B140B">
              <w:rPr>
                <w:rFonts w:ascii="Times New Roman" w:hAnsi="Times New Roman" w:cs="Times New Roman"/>
                <w:sz w:val="24"/>
                <w:szCs w:val="24"/>
                <w:lang w:val="en-US"/>
              </w:rPr>
              <w:t>ICD-10-SE</w:t>
            </w:r>
          </w:p>
        </w:tc>
        <w:tc>
          <w:tcPr>
            <w:tcW w:w="6535" w:type="dxa"/>
            <w:vAlign w:val="center"/>
          </w:tcPr>
          <w:p w14:paraId="1C436DB3" w14:textId="31F2B541" w:rsidR="00CB799A" w:rsidRPr="007B140B" w:rsidRDefault="00CB799A" w:rsidP="00CB799A">
            <w:pPr>
              <w:rPr>
                <w:rFonts w:ascii="Times New Roman" w:hAnsi="Times New Roman" w:cs="Times New Roman"/>
                <w:sz w:val="24"/>
                <w:szCs w:val="24"/>
                <w:lang w:val="en-US"/>
              </w:rPr>
            </w:pPr>
            <w:r w:rsidRPr="007B140B">
              <w:rPr>
                <w:rFonts w:ascii="Times New Roman" w:hAnsi="Times New Roman" w:cs="Times New Roman"/>
                <w:sz w:val="24"/>
                <w:szCs w:val="24"/>
                <w:lang w:val="en-US"/>
              </w:rPr>
              <w:t>International Classification of Diseases, 10</w:t>
            </w:r>
            <w:r w:rsidRPr="007B140B">
              <w:rPr>
                <w:rFonts w:ascii="Times New Roman" w:hAnsi="Times New Roman" w:cs="Times New Roman"/>
                <w:sz w:val="24"/>
                <w:szCs w:val="24"/>
                <w:vertAlign w:val="superscript"/>
                <w:lang w:val="en-US"/>
              </w:rPr>
              <w:t>th</w:t>
            </w:r>
            <w:r w:rsidRPr="007B140B">
              <w:rPr>
                <w:rFonts w:ascii="Times New Roman" w:hAnsi="Times New Roman" w:cs="Times New Roman"/>
                <w:sz w:val="24"/>
                <w:szCs w:val="24"/>
                <w:lang w:val="en-US"/>
              </w:rPr>
              <w:t xml:space="preserve"> revision, Swedish Version</w:t>
            </w:r>
          </w:p>
        </w:tc>
      </w:tr>
      <w:tr w:rsidR="00CB799A" w:rsidRPr="00390BA5" w14:paraId="33FCE995" w14:textId="77777777" w:rsidTr="00CB799A">
        <w:trPr>
          <w:trHeight w:val="23"/>
        </w:trPr>
        <w:tc>
          <w:tcPr>
            <w:tcW w:w="2527" w:type="dxa"/>
            <w:vAlign w:val="center"/>
          </w:tcPr>
          <w:p w14:paraId="34260DCE" w14:textId="09925F61" w:rsidR="00CB799A" w:rsidRPr="007B140B" w:rsidRDefault="00CB799A" w:rsidP="00CB799A">
            <w:pPr>
              <w:rPr>
                <w:rFonts w:ascii="Times New Roman" w:hAnsi="Times New Roman" w:cs="Times New Roman"/>
                <w:sz w:val="24"/>
                <w:szCs w:val="24"/>
                <w:lang w:val="en-US"/>
              </w:rPr>
            </w:pPr>
            <w:r w:rsidRPr="007B140B">
              <w:rPr>
                <w:rFonts w:ascii="Times New Roman" w:hAnsi="Times New Roman" w:cs="Times New Roman"/>
                <w:sz w:val="24"/>
                <w:szCs w:val="24"/>
                <w:lang w:val="en-US"/>
              </w:rPr>
              <w:t>ICH</w:t>
            </w:r>
          </w:p>
        </w:tc>
        <w:tc>
          <w:tcPr>
            <w:tcW w:w="6535" w:type="dxa"/>
            <w:vAlign w:val="center"/>
          </w:tcPr>
          <w:p w14:paraId="32EC72CD" w14:textId="6EC7CD73" w:rsidR="00CB799A" w:rsidRPr="007B140B" w:rsidRDefault="00CB799A" w:rsidP="00CB799A">
            <w:pPr>
              <w:rPr>
                <w:rFonts w:ascii="Times New Roman" w:hAnsi="Times New Roman" w:cs="Times New Roman"/>
                <w:sz w:val="24"/>
                <w:szCs w:val="24"/>
                <w:lang w:val="en-US"/>
              </w:rPr>
            </w:pPr>
            <w:r w:rsidRPr="007B140B">
              <w:rPr>
                <w:rFonts w:ascii="Times New Roman" w:hAnsi="Times New Roman" w:cs="Times New Roman"/>
                <w:sz w:val="24"/>
                <w:szCs w:val="24"/>
                <w:lang w:val="en-US"/>
              </w:rPr>
              <w:t>International Conference/Council on Harmonisation of Technical Requirements for Registration of Pharmaceuticals for Human Use</w:t>
            </w:r>
          </w:p>
        </w:tc>
      </w:tr>
      <w:tr w:rsidR="00CB799A" w:rsidRPr="00390BA5" w14:paraId="466C428D" w14:textId="77777777" w:rsidTr="00CB799A">
        <w:trPr>
          <w:trHeight w:val="23"/>
        </w:trPr>
        <w:tc>
          <w:tcPr>
            <w:tcW w:w="2527" w:type="dxa"/>
            <w:vAlign w:val="center"/>
          </w:tcPr>
          <w:p w14:paraId="286C3CB4" w14:textId="4779BCCF" w:rsidR="00CB799A" w:rsidRPr="007B140B" w:rsidRDefault="00CB799A" w:rsidP="00CB799A">
            <w:pPr>
              <w:rPr>
                <w:rFonts w:ascii="Times New Roman" w:hAnsi="Times New Roman" w:cs="Times New Roman"/>
                <w:sz w:val="24"/>
                <w:szCs w:val="24"/>
                <w:lang w:val="en-US"/>
              </w:rPr>
            </w:pPr>
            <w:proofErr w:type="spellStart"/>
            <w:r w:rsidRPr="007B140B">
              <w:rPr>
                <w:rFonts w:ascii="Times New Roman" w:hAnsi="Times New Roman" w:cs="Times New Roman"/>
                <w:sz w:val="24"/>
                <w:szCs w:val="24"/>
                <w:lang w:val="en-US"/>
              </w:rPr>
              <w:t>ICMJE</w:t>
            </w:r>
            <w:proofErr w:type="spellEnd"/>
          </w:p>
        </w:tc>
        <w:tc>
          <w:tcPr>
            <w:tcW w:w="6535" w:type="dxa"/>
            <w:vAlign w:val="center"/>
          </w:tcPr>
          <w:p w14:paraId="5B617FAF" w14:textId="244D2831" w:rsidR="00CB799A" w:rsidRPr="007B140B" w:rsidRDefault="00CB799A" w:rsidP="00CB799A">
            <w:pPr>
              <w:rPr>
                <w:rFonts w:ascii="Times New Roman" w:hAnsi="Times New Roman" w:cs="Times New Roman"/>
                <w:sz w:val="24"/>
                <w:szCs w:val="24"/>
                <w:lang w:val="en-US"/>
              </w:rPr>
            </w:pPr>
            <w:r w:rsidRPr="007B140B">
              <w:rPr>
                <w:rFonts w:ascii="Times New Roman" w:hAnsi="Times New Roman" w:cs="Times New Roman"/>
                <w:sz w:val="24"/>
                <w:szCs w:val="24"/>
                <w:lang w:val="en-US"/>
              </w:rPr>
              <w:t>International Council of Medical Journal Editors</w:t>
            </w:r>
          </w:p>
        </w:tc>
      </w:tr>
      <w:tr w:rsidR="00CB799A" w:rsidRPr="007B140B" w14:paraId="17BF20A2" w14:textId="77777777" w:rsidTr="00CB799A">
        <w:trPr>
          <w:trHeight w:val="23"/>
        </w:trPr>
        <w:tc>
          <w:tcPr>
            <w:tcW w:w="2527" w:type="dxa"/>
            <w:vAlign w:val="center"/>
          </w:tcPr>
          <w:p w14:paraId="742FB337" w14:textId="03DD00F4" w:rsidR="00CB799A" w:rsidRPr="007B140B" w:rsidRDefault="00CB799A" w:rsidP="00CB799A">
            <w:pPr>
              <w:rPr>
                <w:rFonts w:ascii="Times New Roman" w:hAnsi="Times New Roman" w:cs="Times New Roman"/>
                <w:sz w:val="24"/>
                <w:szCs w:val="24"/>
                <w:lang w:val="en-US"/>
              </w:rPr>
            </w:pPr>
            <w:r w:rsidRPr="007B140B">
              <w:rPr>
                <w:rFonts w:ascii="Times New Roman" w:hAnsi="Times New Roman" w:cs="Times New Roman"/>
                <w:sz w:val="24"/>
                <w:szCs w:val="24"/>
                <w:lang w:val="en-US"/>
              </w:rPr>
              <w:t>ID</w:t>
            </w:r>
          </w:p>
        </w:tc>
        <w:tc>
          <w:tcPr>
            <w:tcW w:w="6535" w:type="dxa"/>
            <w:vAlign w:val="center"/>
          </w:tcPr>
          <w:p w14:paraId="64FB4CD3" w14:textId="4C29DDAE" w:rsidR="00CB799A" w:rsidRPr="007B140B" w:rsidRDefault="00CB799A" w:rsidP="00CB799A">
            <w:pPr>
              <w:rPr>
                <w:rFonts w:ascii="Times New Roman" w:hAnsi="Times New Roman" w:cs="Times New Roman"/>
                <w:sz w:val="24"/>
                <w:szCs w:val="24"/>
                <w:lang w:val="en-US"/>
              </w:rPr>
            </w:pPr>
            <w:r w:rsidRPr="007B140B">
              <w:rPr>
                <w:rFonts w:ascii="Times New Roman" w:hAnsi="Times New Roman" w:cs="Times New Roman"/>
                <w:sz w:val="24"/>
                <w:szCs w:val="24"/>
                <w:lang w:val="en-US"/>
              </w:rPr>
              <w:t>Identification</w:t>
            </w:r>
          </w:p>
        </w:tc>
      </w:tr>
      <w:tr w:rsidR="00CB799A" w:rsidRPr="007B140B" w14:paraId="5F99B4BE" w14:textId="77777777" w:rsidTr="00CB799A">
        <w:trPr>
          <w:trHeight w:val="23"/>
        </w:trPr>
        <w:tc>
          <w:tcPr>
            <w:tcW w:w="2527" w:type="dxa"/>
            <w:vAlign w:val="center"/>
          </w:tcPr>
          <w:p w14:paraId="5C25F45E" w14:textId="0FF53E7D" w:rsidR="00CB799A" w:rsidRPr="007B140B" w:rsidRDefault="00CB799A" w:rsidP="00CB799A">
            <w:pPr>
              <w:rPr>
                <w:rFonts w:ascii="Times New Roman" w:hAnsi="Times New Roman" w:cs="Times New Roman"/>
                <w:sz w:val="24"/>
                <w:szCs w:val="24"/>
                <w:lang w:val="en-US"/>
              </w:rPr>
            </w:pPr>
            <w:r w:rsidRPr="007B140B">
              <w:rPr>
                <w:rFonts w:ascii="Times New Roman" w:hAnsi="Times New Roman" w:cs="Times New Roman"/>
                <w:sz w:val="24"/>
                <w:szCs w:val="24"/>
                <w:lang w:val="en-US"/>
              </w:rPr>
              <w:t>SEK</w:t>
            </w:r>
          </w:p>
        </w:tc>
        <w:tc>
          <w:tcPr>
            <w:tcW w:w="6535" w:type="dxa"/>
            <w:vAlign w:val="center"/>
          </w:tcPr>
          <w:p w14:paraId="371C9C01" w14:textId="4E6AFA81" w:rsidR="00CB799A" w:rsidRPr="007B140B" w:rsidRDefault="00CB799A" w:rsidP="00CB799A">
            <w:pPr>
              <w:rPr>
                <w:rFonts w:ascii="Times New Roman" w:hAnsi="Times New Roman" w:cs="Times New Roman"/>
                <w:sz w:val="24"/>
                <w:szCs w:val="24"/>
                <w:lang w:val="en-US"/>
              </w:rPr>
            </w:pPr>
            <w:r w:rsidRPr="007B140B">
              <w:rPr>
                <w:rFonts w:ascii="Times New Roman" w:hAnsi="Times New Roman" w:cs="Times New Roman"/>
                <w:sz w:val="24"/>
                <w:szCs w:val="24"/>
                <w:lang w:val="en-US"/>
              </w:rPr>
              <w:t>Swedish Krona</w:t>
            </w:r>
          </w:p>
        </w:tc>
      </w:tr>
      <w:tr w:rsidR="00CB799A" w:rsidRPr="00390BA5" w14:paraId="1BF07376" w14:textId="77777777" w:rsidTr="00CB799A">
        <w:trPr>
          <w:trHeight w:val="23"/>
        </w:trPr>
        <w:tc>
          <w:tcPr>
            <w:tcW w:w="2527" w:type="dxa"/>
            <w:vAlign w:val="center"/>
          </w:tcPr>
          <w:p w14:paraId="66377C17" w14:textId="484956AC" w:rsidR="00CB799A" w:rsidRPr="007B140B" w:rsidRDefault="00CB799A" w:rsidP="00CB799A">
            <w:pPr>
              <w:rPr>
                <w:rFonts w:ascii="Times New Roman" w:hAnsi="Times New Roman" w:cs="Times New Roman"/>
                <w:sz w:val="24"/>
                <w:szCs w:val="24"/>
                <w:lang w:val="en-US"/>
              </w:rPr>
            </w:pPr>
            <w:r w:rsidRPr="007B140B">
              <w:rPr>
                <w:rFonts w:ascii="Times New Roman" w:hAnsi="Times New Roman" w:cs="Times New Roman"/>
                <w:sz w:val="24"/>
                <w:szCs w:val="24"/>
                <w:lang w:val="en-US"/>
              </w:rPr>
              <w:t>SUSAR</w:t>
            </w:r>
          </w:p>
        </w:tc>
        <w:tc>
          <w:tcPr>
            <w:tcW w:w="6535" w:type="dxa"/>
            <w:vAlign w:val="center"/>
          </w:tcPr>
          <w:p w14:paraId="79A0768A" w14:textId="408ED555" w:rsidR="00CB799A" w:rsidRPr="007B140B" w:rsidRDefault="00CB799A" w:rsidP="00CB799A">
            <w:pPr>
              <w:rPr>
                <w:rFonts w:ascii="Times New Roman" w:hAnsi="Times New Roman" w:cs="Times New Roman"/>
                <w:sz w:val="24"/>
                <w:szCs w:val="24"/>
                <w:lang w:val="en-US"/>
              </w:rPr>
            </w:pPr>
            <w:r w:rsidRPr="007B140B">
              <w:rPr>
                <w:rFonts w:ascii="Times New Roman" w:hAnsi="Times New Roman" w:cs="Times New Roman"/>
                <w:sz w:val="24"/>
                <w:szCs w:val="24"/>
                <w:lang w:val="en-US"/>
              </w:rPr>
              <w:t>Suspected unexpected serious adverse reaction</w:t>
            </w:r>
          </w:p>
        </w:tc>
      </w:tr>
    </w:tbl>
    <w:p w14:paraId="6EBAAE5B" w14:textId="7D90941A" w:rsidR="002D48FC" w:rsidRPr="007B140B" w:rsidRDefault="002D48FC" w:rsidP="002D48FC">
      <w:pPr>
        <w:rPr>
          <w:rFonts w:ascii="Times New Roman" w:hAnsi="Times New Roman" w:cs="Times New Roman"/>
          <w:sz w:val="24"/>
          <w:szCs w:val="24"/>
          <w:lang w:val="en-US"/>
        </w:rPr>
      </w:pPr>
      <w:bookmarkStart w:id="7" w:name="_Toc2083391"/>
    </w:p>
    <w:p w14:paraId="2E8EA0A8" w14:textId="1CFA673C" w:rsidR="002D48FC" w:rsidRPr="007B140B" w:rsidRDefault="002D48FC">
      <w:pPr>
        <w:spacing w:after="0" w:line="240" w:lineRule="auto"/>
        <w:rPr>
          <w:rFonts w:ascii="Times New Roman" w:eastAsiaTheme="majorEastAsia" w:hAnsi="Times New Roman" w:cs="Times New Roman"/>
          <w:b/>
          <w:sz w:val="24"/>
          <w:szCs w:val="24"/>
          <w:lang w:val="en-US"/>
        </w:rPr>
      </w:pPr>
      <w:r w:rsidRPr="007B140B">
        <w:rPr>
          <w:rFonts w:ascii="Times New Roman" w:hAnsi="Times New Roman" w:cs="Times New Roman"/>
          <w:sz w:val="24"/>
          <w:szCs w:val="24"/>
          <w:lang w:val="en-US"/>
        </w:rPr>
        <w:br w:type="page"/>
      </w:r>
    </w:p>
    <w:p w14:paraId="3E132338" w14:textId="399B43FD" w:rsidR="007D6C89" w:rsidRPr="007B140B" w:rsidRDefault="00913D0A" w:rsidP="00D36611">
      <w:pPr>
        <w:pStyle w:val="Formatmall4"/>
        <w:rPr>
          <w:rFonts w:cs="Times New Roman"/>
          <w:lang w:val="en-US"/>
        </w:rPr>
      </w:pPr>
      <w:bookmarkStart w:id="8" w:name="_Toc99001393"/>
      <w:r w:rsidRPr="007B140B">
        <w:rPr>
          <w:rFonts w:cs="Times New Roman"/>
          <w:lang w:val="en-US"/>
        </w:rPr>
        <w:lastRenderedPageBreak/>
        <w:t>Synopsis</w:t>
      </w:r>
      <w:bookmarkEnd w:id="7"/>
      <w:bookmarkEnd w:id="8"/>
    </w:p>
    <w:p w14:paraId="5771BBF9" w14:textId="1C180DD3" w:rsidR="00C2238A" w:rsidRPr="007B140B" w:rsidRDefault="009D3C1C" w:rsidP="009D3C1C">
      <w:pPr>
        <w:rPr>
          <w:rFonts w:ascii="Times New Roman" w:hAnsi="Times New Roman" w:cs="Times New Roman"/>
          <w:sz w:val="24"/>
          <w:szCs w:val="24"/>
          <w:lang w:val="en-US" w:eastAsia="zh-CN"/>
        </w:rPr>
      </w:pPr>
      <w:r w:rsidRPr="007B140B">
        <w:rPr>
          <w:rFonts w:ascii="Times New Roman" w:hAnsi="Times New Roman" w:cs="Times New Roman"/>
          <w:b/>
          <w:sz w:val="24"/>
          <w:szCs w:val="24"/>
          <w:lang w:val="en-US" w:eastAsia="zh-CN"/>
        </w:rPr>
        <w:t>Background:</w:t>
      </w:r>
      <w:r w:rsidRPr="007B140B">
        <w:rPr>
          <w:rFonts w:ascii="Times New Roman" w:hAnsi="Times New Roman" w:cs="Times New Roman"/>
          <w:sz w:val="24"/>
          <w:szCs w:val="24"/>
          <w:lang w:val="en-US" w:eastAsia="zh-CN"/>
        </w:rPr>
        <w:t xml:space="preserve"> </w:t>
      </w:r>
      <w:r w:rsidR="00C2238A" w:rsidRPr="007B140B">
        <w:rPr>
          <w:rFonts w:ascii="Times New Roman" w:hAnsi="Times New Roman" w:cs="Times New Roman"/>
          <w:sz w:val="24"/>
          <w:szCs w:val="24"/>
          <w:lang w:val="en-US" w:eastAsia="zh-CN"/>
        </w:rPr>
        <w:t xml:space="preserve">The incidence of fracture is high among older adults, and </w:t>
      </w:r>
      <w:r w:rsidR="00522DC5" w:rsidRPr="007B140B">
        <w:rPr>
          <w:rFonts w:ascii="Times New Roman" w:hAnsi="Times New Roman" w:cs="Times New Roman"/>
          <w:sz w:val="24"/>
          <w:szCs w:val="24"/>
          <w:lang w:val="en-US" w:eastAsia="zh-CN"/>
        </w:rPr>
        <w:t>older adults</w:t>
      </w:r>
      <w:r w:rsidR="00C2238A" w:rsidRPr="007B140B">
        <w:rPr>
          <w:rFonts w:ascii="Times New Roman" w:hAnsi="Times New Roman" w:cs="Times New Roman"/>
          <w:sz w:val="24"/>
          <w:szCs w:val="24"/>
          <w:lang w:val="en-US" w:eastAsia="zh-CN"/>
        </w:rPr>
        <w:t xml:space="preserve"> who sustain one fracture are at high risk of sustaining new fractures. No </w:t>
      </w:r>
      <w:r w:rsidR="00285121" w:rsidRPr="007B140B">
        <w:rPr>
          <w:rFonts w:ascii="Times New Roman" w:hAnsi="Times New Roman" w:cs="Times New Roman"/>
          <w:sz w:val="24"/>
          <w:szCs w:val="24"/>
          <w:lang w:val="en-US" w:eastAsia="zh-CN"/>
        </w:rPr>
        <w:t>clinical</w:t>
      </w:r>
      <w:r w:rsidR="00C2238A" w:rsidRPr="007B140B">
        <w:rPr>
          <w:rFonts w:ascii="Times New Roman" w:hAnsi="Times New Roman" w:cs="Times New Roman"/>
          <w:sz w:val="24"/>
          <w:szCs w:val="24"/>
          <w:lang w:val="en-US" w:eastAsia="zh-CN"/>
        </w:rPr>
        <w:t xml:space="preserve"> trial has examined whether </w:t>
      </w:r>
      <w:r w:rsidR="00767CB3" w:rsidRPr="007B140B">
        <w:rPr>
          <w:rFonts w:ascii="Times New Roman" w:hAnsi="Times New Roman" w:cs="Times New Roman"/>
          <w:sz w:val="24"/>
          <w:szCs w:val="24"/>
          <w:lang w:val="en-US" w:eastAsia="zh-CN"/>
        </w:rPr>
        <w:t>bone-protective</w:t>
      </w:r>
      <w:r w:rsidR="00C2238A" w:rsidRPr="007B140B">
        <w:rPr>
          <w:rFonts w:ascii="Times New Roman" w:hAnsi="Times New Roman" w:cs="Times New Roman"/>
          <w:sz w:val="24"/>
          <w:szCs w:val="24"/>
          <w:lang w:val="en-US" w:eastAsia="zh-CN"/>
        </w:rPr>
        <w:t xml:space="preserve"> therapy </w:t>
      </w:r>
      <w:r w:rsidR="00285121" w:rsidRPr="007B140B">
        <w:rPr>
          <w:rFonts w:ascii="Times New Roman" w:hAnsi="Times New Roman" w:cs="Times New Roman"/>
          <w:sz w:val="24"/>
          <w:szCs w:val="24"/>
          <w:lang w:val="en-US" w:eastAsia="zh-CN"/>
        </w:rPr>
        <w:t xml:space="preserve">is </w:t>
      </w:r>
      <w:r w:rsidR="00C2238A" w:rsidRPr="007B140B">
        <w:rPr>
          <w:rFonts w:ascii="Times New Roman" w:hAnsi="Times New Roman" w:cs="Times New Roman"/>
          <w:sz w:val="24"/>
          <w:szCs w:val="24"/>
          <w:lang w:val="en-US" w:eastAsia="zh-CN"/>
        </w:rPr>
        <w:t xml:space="preserve">effective </w:t>
      </w:r>
      <w:r w:rsidR="00285121" w:rsidRPr="007B140B">
        <w:rPr>
          <w:rFonts w:ascii="Times New Roman" w:hAnsi="Times New Roman" w:cs="Times New Roman"/>
          <w:sz w:val="24"/>
          <w:szCs w:val="24"/>
          <w:lang w:val="en-US" w:eastAsia="zh-CN"/>
        </w:rPr>
        <w:t>in</w:t>
      </w:r>
      <w:r w:rsidR="00C2238A" w:rsidRPr="007B140B">
        <w:rPr>
          <w:rFonts w:ascii="Times New Roman" w:hAnsi="Times New Roman" w:cs="Times New Roman"/>
          <w:sz w:val="24"/>
          <w:szCs w:val="24"/>
          <w:lang w:val="en-US" w:eastAsia="zh-CN"/>
        </w:rPr>
        <w:t xml:space="preserve"> preventing </w:t>
      </w:r>
      <w:r w:rsidR="00285121" w:rsidRPr="007B140B">
        <w:rPr>
          <w:rFonts w:ascii="Times New Roman" w:hAnsi="Times New Roman" w:cs="Times New Roman"/>
          <w:sz w:val="24"/>
          <w:szCs w:val="24"/>
          <w:lang w:val="en-US" w:eastAsia="zh-CN"/>
        </w:rPr>
        <w:t xml:space="preserve">new </w:t>
      </w:r>
      <w:r w:rsidR="00C2238A" w:rsidRPr="007B140B">
        <w:rPr>
          <w:rFonts w:ascii="Times New Roman" w:hAnsi="Times New Roman" w:cs="Times New Roman"/>
          <w:sz w:val="24"/>
          <w:szCs w:val="24"/>
          <w:lang w:val="en-US" w:eastAsia="zh-CN"/>
        </w:rPr>
        <w:t xml:space="preserve">fractures </w:t>
      </w:r>
      <w:r w:rsidR="00E57332" w:rsidRPr="007B140B">
        <w:rPr>
          <w:rFonts w:ascii="Times New Roman" w:hAnsi="Times New Roman" w:cs="Times New Roman"/>
          <w:sz w:val="24"/>
          <w:szCs w:val="24"/>
          <w:lang w:val="en-US" w:eastAsia="zh-CN"/>
        </w:rPr>
        <w:t>among</w:t>
      </w:r>
      <w:r w:rsidR="00E04121" w:rsidRPr="007B140B">
        <w:rPr>
          <w:rFonts w:ascii="Times New Roman" w:hAnsi="Times New Roman" w:cs="Times New Roman"/>
          <w:sz w:val="24"/>
          <w:szCs w:val="24"/>
          <w:lang w:val="en-US" w:eastAsia="zh-CN"/>
        </w:rPr>
        <w:t xml:space="preserve"> older adults </w:t>
      </w:r>
      <w:r w:rsidR="00A82741" w:rsidRPr="007B140B">
        <w:rPr>
          <w:rFonts w:ascii="Times New Roman" w:hAnsi="Times New Roman" w:cs="Times New Roman"/>
          <w:sz w:val="24"/>
          <w:szCs w:val="24"/>
          <w:lang w:val="en-US" w:eastAsia="zh-CN"/>
        </w:rPr>
        <w:t>with a recent</w:t>
      </w:r>
      <w:r w:rsidR="00C2238A" w:rsidRPr="007B140B">
        <w:rPr>
          <w:rFonts w:ascii="Times New Roman" w:hAnsi="Times New Roman" w:cs="Times New Roman"/>
          <w:sz w:val="24"/>
          <w:szCs w:val="24"/>
          <w:lang w:val="en-US" w:eastAsia="zh-CN"/>
        </w:rPr>
        <w:t xml:space="preserve"> non-hip, non-vertebral fragility fracture</w:t>
      </w:r>
      <w:r w:rsidR="00E04121" w:rsidRPr="007B140B">
        <w:rPr>
          <w:rFonts w:ascii="Times New Roman" w:hAnsi="Times New Roman" w:cs="Times New Roman"/>
          <w:sz w:val="24"/>
          <w:szCs w:val="24"/>
          <w:lang w:val="en-US" w:eastAsia="zh-CN"/>
        </w:rPr>
        <w:t>, without prior measurement of bone mineral density</w:t>
      </w:r>
      <w:r w:rsidR="00C2238A" w:rsidRPr="007B140B">
        <w:rPr>
          <w:rFonts w:ascii="Times New Roman" w:hAnsi="Times New Roman" w:cs="Times New Roman"/>
          <w:sz w:val="24"/>
          <w:szCs w:val="24"/>
          <w:lang w:val="en-US" w:eastAsia="zh-CN"/>
        </w:rPr>
        <w:t>.</w:t>
      </w:r>
    </w:p>
    <w:p w14:paraId="432481A6" w14:textId="0441F6C6" w:rsidR="00426E83" w:rsidRPr="007B140B" w:rsidRDefault="009D3C1C" w:rsidP="00952B8C">
      <w:pPr>
        <w:rPr>
          <w:rFonts w:ascii="Times New Roman" w:hAnsi="Times New Roman" w:cs="Times New Roman"/>
          <w:sz w:val="24"/>
          <w:szCs w:val="24"/>
          <w:lang w:val="en-US" w:eastAsia="zh-CN"/>
        </w:rPr>
      </w:pPr>
      <w:r w:rsidRPr="007B140B">
        <w:rPr>
          <w:rFonts w:ascii="Times New Roman" w:hAnsi="Times New Roman" w:cs="Times New Roman"/>
          <w:b/>
          <w:sz w:val="24"/>
          <w:szCs w:val="24"/>
          <w:lang w:val="en-US" w:eastAsia="zh-CN"/>
        </w:rPr>
        <w:t>Primary objective:</w:t>
      </w:r>
      <w:r w:rsidRPr="007B140B">
        <w:rPr>
          <w:rFonts w:ascii="Times New Roman" w:hAnsi="Times New Roman" w:cs="Times New Roman"/>
          <w:sz w:val="24"/>
          <w:szCs w:val="24"/>
          <w:lang w:val="en-US" w:eastAsia="zh-CN"/>
        </w:rPr>
        <w:t xml:space="preserve"> </w:t>
      </w:r>
      <w:r w:rsidR="00426E83" w:rsidRPr="007B140B">
        <w:rPr>
          <w:rFonts w:ascii="Times New Roman" w:hAnsi="Times New Roman" w:cs="Times New Roman"/>
          <w:sz w:val="24"/>
          <w:szCs w:val="24"/>
          <w:lang w:val="en-US" w:eastAsia="zh-CN"/>
        </w:rPr>
        <w:t xml:space="preserve">To </w:t>
      </w:r>
      <w:r w:rsidR="00724155" w:rsidRPr="007B140B">
        <w:rPr>
          <w:rFonts w:ascii="Times New Roman" w:hAnsi="Times New Roman" w:cs="Times New Roman"/>
          <w:sz w:val="24"/>
          <w:szCs w:val="24"/>
          <w:lang w:val="en-US" w:eastAsia="zh-CN"/>
        </w:rPr>
        <w:t>investigate</w:t>
      </w:r>
      <w:r w:rsidR="00426E83" w:rsidRPr="007B140B">
        <w:rPr>
          <w:rFonts w:ascii="Times New Roman" w:hAnsi="Times New Roman" w:cs="Times New Roman"/>
          <w:sz w:val="24"/>
          <w:szCs w:val="24"/>
          <w:lang w:val="en-US" w:eastAsia="zh-CN"/>
        </w:rPr>
        <w:t xml:space="preserve"> whether zoledronic acid</w:t>
      </w:r>
      <w:r w:rsidR="00C2238A" w:rsidRPr="007B140B">
        <w:rPr>
          <w:rFonts w:ascii="Times New Roman" w:hAnsi="Times New Roman" w:cs="Times New Roman"/>
          <w:sz w:val="24"/>
          <w:szCs w:val="24"/>
          <w:lang w:val="en-US" w:eastAsia="zh-CN"/>
        </w:rPr>
        <w:t xml:space="preserve"> (a widely used antiresorptive)</w:t>
      </w:r>
      <w:r w:rsidR="00426E83" w:rsidRPr="007B140B">
        <w:rPr>
          <w:rFonts w:ascii="Times New Roman" w:hAnsi="Times New Roman" w:cs="Times New Roman"/>
          <w:sz w:val="24"/>
          <w:szCs w:val="24"/>
          <w:lang w:val="en-US" w:eastAsia="zh-CN"/>
        </w:rPr>
        <w:t xml:space="preserve"> reduces the</w:t>
      </w:r>
      <w:r w:rsidR="00BD1759">
        <w:rPr>
          <w:rFonts w:ascii="Times New Roman" w:hAnsi="Times New Roman" w:cs="Times New Roman"/>
          <w:sz w:val="24"/>
          <w:szCs w:val="24"/>
          <w:lang w:val="en-US" w:eastAsia="zh-CN"/>
        </w:rPr>
        <w:t xml:space="preserve"> </w:t>
      </w:r>
      <w:r w:rsidR="00426E83" w:rsidRPr="007B140B">
        <w:rPr>
          <w:rFonts w:ascii="Times New Roman" w:hAnsi="Times New Roman" w:cs="Times New Roman"/>
          <w:sz w:val="24"/>
          <w:szCs w:val="24"/>
          <w:lang w:val="en-US" w:eastAsia="zh-CN"/>
        </w:rPr>
        <w:t>risk of new clinical fractures, as compared with placebo, in older adults with a recent non-hip, non-vertebral fragility fracture.</w:t>
      </w:r>
    </w:p>
    <w:p w14:paraId="690943ED" w14:textId="61D70C66" w:rsidR="009D3C1C" w:rsidRPr="007B140B" w:rsidRDefault="009D3C1C" w:rsidP="009D3C1C">
      <w:pPr>
        <w:rPr>
          <w:rFonts w:ascii="Times New Roman" w:hAnsi="Times New Roman" w:cs="Times New Roman"/>
          <w:sz w:val="24"/>
          <w:szCs w:val="24"/>
          <w:lang w:val="en-US" w:eastAsia="zh-CN"/>
        </w:rPr>
      </w:pPr>
      <w:r w:rsidRPr="007B140B">
        <w:rPr>
          <w:rFonts w:ascii="Times New Roman" w:hAnsi="Times New Roman" w:cs="Times New Roman"/>
          <w:b/>
          <w:sz w:val="24"/>
          <w:szCs w:val="24"/>
          <w:lang w:val="en-US" w:eastAsia="zh-CN"/>
        </w:rPr>
        <w:t>Study design:</w:t>
      </w:r>
      <w:r w:rsidRPr="007B140B">
        <w:rPr>
          <w:rFonts w:ascii="Times New Roman" w:hAnsi="Times New Roman" w:cs="Times New Roman"/>
          <w:sz w:val="24"/>
          <w:szCs w:val="24"/>
          <w:lang w:val="en-US" w:eastAsia="zh-CN"/>
        </w:rPr>
        <w:t xml:space="preserve"> </w:t>
      </w:r>
      <w:r w:rsidR="00A869B0">
        <w:rPr>
          <w:rFonts w:ascii="Times New Roman" w:hAnsi="Times New Roman" w:cs="Times New Roman"/>
          <w:sz w:val="24"/>
          <w:szCs w:val="24"/>
          <w:lang w:val="en-US"/>
        </w:rPr>
        <w:t>10</w:t>
      </w:r>
      <w:r w:rsidR="008C093B" w:rsidRPr="007B140B">
        <w:rPr>
          <w:rFonts w:ascii="Times New Roman" w:hAnsi="Times New Roman" w:cs="Times New Roman"/>
          <w:sz w:val="24"/>
          <w:szCs w:val="24"/>
          <w:lang w:val="en-US"/>
        </w:rPr>
        <w:t>-year, phase IV, multicenter, parallel-group, randomized, double-blind, placebo-controlled trial</w:t>
      </w:r>
      <w:r w:rsidR="005B16C6" w:rsidRPr="007B140B">
        <w:rPr>
          <w:rFonts w:ascii="Times New Roman" w:hAnsi="Times New Roman" w:cs="Times New Roman"/>
          <w:sz w:val="24"/>
          <w:szCs w:val="24"/>
          <w:lang w:val="en-US"/>
        </w:rPr>
        <w:t>.</w:t>
      </w:r>
      <w:r w:rsidR="00BD1E74">
        <w:rPr>
          <w:rFonts w:ascii="Times New Roman" w:hAnsi="Times New Roman" w:cs="Times New Roman"/>
          <w:sz w:val="24"/>
          <w:szCs w:val="24"/>
          <w:lang w:val="en-US"/>
        </w:rPr>
        <w:t xml:space="preserve"> The</w:t>
      </w:r>
      <w:r w:rsidR="007F31CE">
        <w:rPr>
          <w:rFonts w:ascii="Times New Roman" w:hAnsi="Times New Roman" w:cs="Times New Roman"/>
          <w:sz w:val="24"/>
          <w:szCs w:val="24"/>
          <w:lang w:val="en-US"/>
        </w:rPr>
        <w:t xml:space="preserve"> 10 years will be divided into a</w:t>
      </w:r>
      <w:r w:rsidR="00916773">
        <w:rPr>
          <w:rFonts w:ascii="Times New Roman" w:hAnsi="Times New Roman" w:cs="Times New Roman"/>
          <w:sz w:val="24"/>
          <w:szCs w:val="24"/>
          <w:lang w:val="en-US"/>
        </w:rPr>
        <w:t xml:space="preserve"> double-blind Main Phase</w:t>
      </w:r>
      <w:r w:rsidR="007F31CE">
        <w:rPr>
          <w:rFonts w:ascii="Times New Roman" w:hAnsi="Times New Roman" w:cs="Times New Roman"/>
          <w:sz w:val="24"/>
          <w:szCs w:val="24"/>
          <w:lang w:val="en-US"/>
        </w:rPr>
        <w:t xml:space="preserve"> of 4 years</w:t>
      </w:r>
      <w:r w:rsidR="00916773">
        <w:rPr>
          <w:rFonts w:ascii="Times New Roman" w:hAnsi="Times New Roman" w:cs="Times New Roman"/>
          <w:sz w:val="24"/>
          <w:szCs w:val="24"/>
          <w:lang w:val="en-US"/>
        </w:rPr>
        <w:t xml:space="preserve"> and </w:t>
      </w:r>
      <w:r w:rsidR="007F31CE">
        <w:rPr>
          <w:rFonts w:ascii="Times New Roman" w:hAnsi="Times New Roman" w:cs="Times New Roman"/>
          <w:sz w:val="24"/>
          <w:szCs w:val="24"/>
          <w:lang w:val="en-US"/>
        </w:rPr>
        <w:t xml:space="preserve">an </w:t>
      </w:r>
      <w:r w:rsidR="00916773">
        <w:rPr>
          <w:rFonts w:ascii="Times New Roman" w:hAnsi="Times New Roman" w:cs="Times New Roman"/>
          <w:sz w:val="24"/>
          <w:szCs w:val="24"/>
          <w:lang w:val="en-US"/>
        </w:rPr>
        <w:t>open-label Secondary Phase</w:t>
      </w:r>
      <w:r w:rsidR="007F31CE">
        <w:rPr>
          <w:rFonts w:ascii="Times New Roman" w:hAnsi="Times New Roman" w:cs="Times New Roman"/>
          <w:sz w:val="24"/>
          <w:szCs w:val="24"/>
          <w:lang w:val="en-US"/>
        </w:rPr>
        <w:t xml:space="preserve"> of 6 years</w:t>
      </w:r>
      <w:r w:rsidR="00916773">
        <w:rPr>
          <w:rFonts w:ascii="Times New Roman" w:hAnsi="Times New Roman" w:cs="Times New Roman"/>
          <w:sz w:val="24"/>
          <w:szCs w:val="24"/>
          <w:lang w:val="en-US"/>
        </w:rPr>
        <w:t>.</w:t>
      </w:r>
    </w:p>
    <w:p w14:paraId="4044CBA3" w14:textId="6350DEBD" w:rsidR="009D3C1C" w:rsidRPr="007B140B" w:rsidRDefault="009D3C1C" w:rsidP="009D3C1C">
      <w:pPr>
        <w:rPr>
          <w:rFonts w:ascii="Times New Roman" w:hAnsi="Times New Roman" w:cs="Times New Roman"/>
          <w:sz w:val="24"/>
          <w:szCs w:val="24"/>
          <w:lang w:val="en-US" w:eastAsia="zh-CN"/>
        </w:rPr>
      </w:pPr>
      <w:r w:rsidRPr="007B140B">
        <w:rPr>
          <w:rFonts w:ascii="Times New Roman" w:hAnsi="Times New Roman" w:cs="Times New Roman"/>
          <w:b/>
          <w:sz w:val="24"/>
          <w:szCs w:val="24"/>
          <w:lang w:val="en-US" w:eastAsia="zh-CN"/>
        </w:rPr>
        <w:t>Study population:</w:t>
      </w:r>
      <w:r w:rsidRPr="007B140B">
        <w:rPr>
          <w:rFonts w:ascii="Times New Roman" w:hAnsi="Times New Roman" w:cs="Times New Roman"/>
          <w:sz w:val="24"/>
          <w:szCs w:val="24"/>
          <w:lang w:val="en-US" w:eastAsia="zh-CN"/>
        </w:rPr>
        <w:t xml:space="preserve"> </w:t>
      </w:r>
      <w:r w:rsidR="001A6A25">
        <w:rPr>
          <w:rFonts w:ascii="Times New Roman" w:hAnsi="Times New Roman" w:cs="Times New Roman"/>
          <w:sz w:val="24"/>
          <w:szCs w:val="24"/>
          <w:lang w:val="en-US" w:eastAsia="zh-CN"/>
        </w:rPr>
        <w:t>Persons</w:t>
      </w:r>
      <w:r w:rsidR="00B36967" w:rsidRPr="007B140B">
        <w:rPr>
          <w:rFonts w:ascii="Times New Roman" w:hAnsi="Times New Roman" w:cs="Times New Roman"/>
          <w:sz w:val="24"/>
          <w:szCs w:val="24"/>
          <w:lang w:val="en-US" w:eastAsia="zh-CN"/>
        </w:rPr>
        <w:t xml:space="preserve"> </w:t>
      </w:r>
      <w:r w:rsidRPr="007B140B">
        <w:rPr>
          <w:rFonts w:ascii="Times New Roman" w:hAnsi="Times New Roman" w:cs="Times New Roman"/>
          <w:sz w:val="24"/>
          <w:szCs w:val="24"/>
          <w:lang w:val="en-US" w:eastAsia="zh-CN"/>
        </w:rPr>
        <w:t>with a non-hip, non-vertebral fragility fracture</w:t>
      </w:r>
      <w:r w:rsidR="000317EF" w:rsidRPr="007B140B">
        <w:rPr>
          <w:rFonts w:ascii="Times New Roman" w:hAnsi="Times New Roman" w:cs="Times New Roman"/>
          <w:sz w:val="24"/>
          <w:szCs w:val="24"/>
          <w:lang w:val="en-US" w:eastAsia="zh-CN"/>
        </w:rPr>
        <w:t xml:space="preserve"> in the past </w:t>
      </w:r>
      <w:r w:rsidR="0013730A" w:rsidRPr="007B140B">
        <w:rPr>
          <w:rFonts w:ascii="Times New Roman" w:hAnsi="Times New Roman" w:cs="Times New Roman"/>
          <w:sz w:val="24"/>
          <w:szCs w:val="24"/>
          <w:lang w:val="en-US" w:eastAsia="zh-CN"/>
        </w:rPr>
        <w:t>2</w:t>
      </w:r>
      <w:r w:rsidR="000317EF" w:rsidRPr="007B140B">
        <w:rPr>
          <w:rFonts w:ascii="Times New Roman" w:hAnsi="Times New Roman" w:cs="Times New Roman"/>
          <w:sz w:val="24"/>
          <w:szCs w:val="24"/>
          <w:lang w:val="en-US" w:eastAsia="zh-CN"/>
        </w:rPr>
        <w:t xml:space="preserve"> years</w:t>
      </w:r>
      <w:r w:rsidR="00EA19F1">
        <w:rPr>
          <w:rFonts w:ascii="Times New Roman" w:hAnsi="Times New Roman" w:cs="Times New Roman"/>
          <w:sz w:val="24"/>
          <w:szCs w:val="24"/>
          <w:lang w:val="en-US" w:eastAsia="zh-CN"/>
        </w:rPr>
        <w:t xml:space="preserve"> and</w:t>
      </w:r>
      <w:r w:rsidR="008E0AF6">
        <w:rPr>
          <w:rFonts w:ascii="Times New Roman" w:hAnsi="Times New Roman" w:cs="Times New Roman"/>
          <w:sz w:val="24"/>
          <w:szCs w:val="24"/>
          <w:lang w:val="en-US" w:eastAsia="zh-CN"/>
        </w:rPr>
        <w:t xml:space="preserve"> </w:t>
      </w:r>
      <w:r w:rsidR="001A6A25">
        <w:rPr>
          <w:rFonts w:ascii="Times New Roman" w:hAnsi="Times New Roman" w:cs="Times New Roman"/>
          <w:sz w:val="24"/>
          <w:szCs w:val="24"/>
          <w:lang w:val="en-US" w:eastAsia="zh-CN"/>
        </w:rPr>
        <w:t>who were aged 65 years or older at the time of fracture</w:t>
      </w:r>
      <w:r w:rsidRPr="007B140B">
        <w:rPr>
          <w:rFonts w:ascii="Times New Roman" w:hAnsi="Times New Roman" w:cs="Times New Roman"/>
          <w:sz w:val="24"/>
          <w:szCs w:val="24"/>
          <w:lang w:val="en-US" w:eastAsia="zh-CN"/>
        </w:rPr>
        <w:t>.</w:t>
      </w:r>
      <w:r w:rsidR="00AD0865">
        <w:rPr>
          <w:rFonts w:ascii="Times New Roman" w:hAnsi="Times New Roman" w:cs="Times New Roman"/>
          <w:sz w:val="24"/>
          <w:szCs w:val="24"/>
          <w:lang w:val="en-US" w:eastAsia="zh-CN"/>
        </w:rPr>
        <w:t xml:space="preserve"> Fragility fracture is defined as a fracture occurring after a fall from standing height or less.</w:t>
      </w:r>
    </w:p>
    <w:p w14:paraId="0EA8D23C" w14:textId="7E416C45" w:rsidR="009D3C1C" w:rsidRPr="007B140B" w:rsidRDefault="009D3C1C" w:rsidP="00913D0A">
      <w:pPr>
        <w:rPr>
          <w:rFonts w:ascii="Times New Roman" w:hAnsi="Times New Roman" w:cs="Times New Roman"/>
          <w:sz w:val="24"/>
          <w:szCs w:val="24"/>
          <w:lang w:val="en-US" w:eastAsia="zh-CN"/>
        </w:rPr>
      </w:pPr>
      <w:r w:rsidRPr="007B140B">
        <w:rPr>
          <w:rFonts w:ascii="Times New Roman" w:hAnsi="Times New Roman" w:cs="Times New Roman"/>
          <w:b/>
          <w:sz w:val="24"/>
          <w:szCs w:val="24"/>
          <w:lang w:val="en-US" w:eastAsia="zh-CN"/>
        </w:rPr>
        <w:t xml:space="preserve">Number of </w:t>
      </w:r>
      <w:r w:rsidR="00D737A3" w:rsidRPr="007B140B">
        <w:rPr>
          <w:rFonts w:ascii="Times New Roman" w:hAnsi="Times New Roman" w:cs="Times New Roman"/>
          <w:b/>
          <w:sz w:val="24"/>
          <w:szCs w:val="24"/>
          <w:lang w:val="en-US" w:eastAsia="zh-CN"/>
        </w:rPr>
        <w:t>participants</w:t>
      </w:r>
      <w:r w:rsidRPr="007B140B">
        <w:rPr>
          <w:rFonts w:ascii="Times New Roman" w:hAnsi="Times New Roman" w:cs="Times New Roman"/>
          <w:b/>
          <w:sz w:val="24"/>
          <w:szCs w:val="24"/>
          <w:lang w:val="en-US" w:eastAsia="zh-CN"/>
        </w:rPr>
        <w:t>:</w:t>
      </w:r>
      <w:r w:rsidRPr="007B140B">
        <w:rPr>
          <w:rFonts w:ascii="Times New Roman" w:hAnsi="Times New Roman" w:cs="Times New Roman"/>
          <w:sz w:val="24"/>
          <w:szCs w:val="24"/>
          <w:lang w:val="en-US" w:eastAsia="zh-CN"/>
        </w:rPr>
        <w:t xml:space="preserve"> </w:t>
      </w:r>
      <w:r w:rsidR="004B3C65" w:rsidRPr="007B140B">
        <w:rPr>
          <w:rFonts w:ascii="Times New Roman" w:hAnsi="Times New Roman" w:cs="Times New Roman"/>
          <w:sz w:val="24"/>
          <w:szCs w:val="24"/>
          <w:lang w:val="en-US" w:eastAsia="zh-CN"/>
        </w:rPr>
        <w:t>2900.</w:t>
      </w:r>
    </w:p>
    <w:p w14:paraId="0F211614" w14:textId="1320A652" w:rsidR="004B3C65" w:rsidRPr="007B140B" w:rsidRDefault="009D3C1C" w:rsidP="00127146">
      <w:pPr>
        <w:autoSpaceDE w:val="0"/>
        <w:autoSpaceDN w:val="0"/>
        <w:adjustRightInd w:val="0"/>
        <w:spacing w:after="0" w:line="240" w:lineRule="auto"/>
        <w:rPr>
          <w:rFonts w:ascii="Times New Roman" w:hAnsi="Times New Roman" w:cs="Times New Roman"/>
          <w:sz w:val="24"/>
          <w:szCs w:val="24"/>
          <w:lang w:val="en-US" w:eastAsia="zh-CN"/>
        </w:rPr>
      </w:pPr>
      <w:r w:rsidRPr="007B140B">
        <w:rPr>
          <w:rFonts w:ascii="Times New Roman" w:hAnsi="Times New Roman" w:cs="Times New Roman"/>
          <w:b/>
          <w:sz w:val="24"/>
          <w:szCs w:val="24"/>
          <w:lang w:val="en-US" w:eastAsia="zh-CN"/>
        </w:rPr>
        <w:t>Investigational product</w:t>
      </w:r>
      <w:r w:rsidR="00CB5CCA" w:rsidRPr="007B140B">
        <w:rPr>
          <w:rFonts w:ascii="Times New Roman" w:hAnsi="Times New Roman" w:cs="Times New Roman"/>
          <w:b/>
          <w:sz w:val="24"/>
          <w:szCs w:val="24"/>
          <w:lang w:val="en-US" w:eastAsia="zh-CN"/>
        </w:rPr>
        <w:t>s</w:t>
      </w:r>
      <w:r w:rsidRPr="007B140B">
        <w:rPr>
          <w:rFonts w:ascii="Times New Roman" w:hAnsi="Times New Roman" w:cs="Times New Roman"/>
          <w:b/>
          <w:sz w:val="24"/>
          <w:szCs w:val="24"/>
          <w:lang w:val="en-US" w:eastAsia="zh-CN"/>
        </w:rPr>
        <w:t>:</w:t>
      </w:r>
      <w:r w:rsidRPr="007B140B">
        <w:rPr>
          <w:rFonts w:ascii="Times New Roman" w:hAnsi="Times New Roman" w:cs="Times New Roman"/>
          <w:sz w:val="24"/>
          <w:szCs w:val="24"/>
          <w:lang w:val="en-US" w:eastAsia="zh-CN"/>
        </w:rPr>
        <w:t xml:space="preserve"> </w:t>
      </w:r>
      <w:r w:rsidR="00806602" w:rsidRPr="007B140B">
        <w:rPr>
          <w:rFonts w:ascii="Times New Roman" w:hAnsi="Times New Roman" w:cs="Times New Roman"/>
          <w:sz w:val="24"/>
          <w:szCs w:val="24"/>
          <w:lang w:val="en-US" w:eastAsia="zh-CN"/>
        </w:rPr>
        <w:t>Two infusions of zoledronic acid (5 mg) or placebo, one at baseline and one at 24 months</w:t>
      </w:r>
      <w:r w:rsidR="00C336FF" w:rsidRPr="007B140B">
        <w:rPr>
          <w:rFonts w:ascii="Times New Roman" w:hAnsi="Times New Roman" w:cs="Times New Roman"/>
          <w:sz w:val="24"/>
          <w:szCs w:val="24"/>
          <w:lang w:val="en-US" w:eastAsia="zh-CN"/>
        </w:rPr>
        <w:t>.</w:t>
      </w:r>
      <w:r w:rsidR="00806602" w:rsidRPr="007B140B">
        <w:rPr>
          <w:rFonts w:ascii="Times New Roman" w:hAnsi="Times New Roman" w:cs="Times New Roman"/>
          <w:sz w:val="24"/>
          <w:szCs w:val="24"/>
          <w:lang w:val="en-US" w:eastAsia="zh-CN"/>
        </w:rPr>
        <w:t xml:space="preserve"> </w:t>
      </w:r>
      <w:r w:rsidR="00B3464D" w:rsidRPr="007B140B">
        <w:rPr>
          <w:rFonts w:ascii="Times New Roman" w:hAnsi="Times New Roman" w:cs="Times New Roman"/>
          <w:sz w:val="24"/>
          <w:szCs w:val="24"/>
          <w:lang w:val="en-US" w:eastAsia="zh-CN"/>
        </w:rPr>
        <w:t xml:space="preserve">Prior to </w:t>
      </w:r>
      <w:r w:rsidR="00BD1759">
        <w:rPr>
          <w:rFonts w:ascii="Times New Roman" w:hAnsi="Times New Roman" w:cs="Times New Roman"/>
          <w:sz w:val="24"/>
          <w:szCs w:val="24"/>
          <w:lang w:val="en-US" w:eastAsia="zh-CN"/>
        </w:rPr>
        <w:t>each</w:t>
      </w:r>
      <w:r w:rsidR="0041415F">
        <w:rPr>
          <w:rFonts w:ascii="Times New Roman" w:hAnsi="Times New Roman" w:cs="Times New Roman"/>
          <w:sz w:val="24"/>
          <w:szCs w:val="24"/>
          <w:lang w:val="en-US" w:eastAsia="zh-CN"/>
        </w:rPr>
        <w:t xml:space="preserve"> first </w:t>
      </w:r>
      <w:r w:rsidR="00B3464D" w:rsidRPr="007B140B">
        <w:rPr>
          <w:rFonts w:ascii="Times New Roman" w:hAnsi="Times New Roman" w:cs="Times New Roman"/>
          <w:sz w:val="24"/>
          <w:szCs w:val="24"/>
          <w:lang w:val="en-US" w:eastAsia="zh-CN"/>
        </w:rPr>
        <w:t xml:space="preserve">infusion, </w:t>
      </w:r>
      <w:r w:rsidR="003D5D45" w:rsidRPr="007B140B">
        <w:rPr>
          <w:rFonts w:ascii="Times New Roman" w:hAnsi="Times New Roman" w:cs="Times New Roman"/>
          <w:sz w:val="24"/>
          <w:szCs w:val="24"/>
          <w:lang w:val="en-US" w:eastAsia="zh-CN"/>
        </w:rPr>
        <w:t xml:space="preserve">participants will </w:t>
      </w:r>
      <w:r w:rsidR="00AF48BC" w:rsidRPr="007B140B">
        <w:rPr>
          <w:rFonts w:ascii="Times New Roman" w:hAnsi="Times New Roman" w:cs="Times New Roman"/>
          <w:sz w:val="24"/>
          <w:szCs w:val="24"/>
          <w:lang w:val="en-US" w:eastAsia="zh-CN"/>
        </w:rPr>
        <w:t>receive a loading dose of oral vitamin D</w:t>
      </w:r>
      <w:r w:rsidR="003D5D45" w:rsidRPr="007B140B">
        <w:rPr>
          <w:rFonts w:ascii="Times New Roman" w:hAnsi="Times New Roman" w:cs="Times New Roman"/>
          <w:sz w:val="24"/>
          <w:szCs w:val="24"/>
          <w:lang w:val="en-US" w:eastAsia="zh-CN"/>
        </w:rPr>
        <w:t xml:space="preserve"> </w:t>
      </w:r>
      <w:r w:rsidR="00AF48BC" w:rsidRPr="007B140B">
        <w:rPr>
          <w:rFonts w:ascii="Times New Roman" w:hAnsi="Times New Roman" w:cs="Times New Roman"/>
          <w:sz w:val="24"/>
          <w:szCs w:val="24"/>
          <w:lang w:val="en-US" w:eastAsia="zh-CN"/>
        </w:rPr>
        <w:t>(</w:t>
      </w:r>
      <w:r w:rsidR="0088136B">
        <w:rPr>
          <w:rFonts w:ascii="Times New Roman" w:hAnsi="Times New Roman" w:cs="Times New Roman"/>
          <w:sz w:val="24"/>
          <w:szCs w:val="24"/>
          <w:lang w:val="en-US" w:eastAsia="zh-CN"/>
        </w:rPr>
        <w:t>10</w:t>
      </w:r>
      <w:r w:rsidR="00AF48BC" w:rsidRPr="007B140B">
        <w:rPr>
          <w:rFonts w:ascii="Times New Roman" w:hAnsi="Times New Roman" w:cs="Times New Roman"/>
          <w:sz w:val="24"/>
          <w:szCs w:val="24"/>
          <w:lang w:val="en-US" w:eastAsia="zh-CN"/>
        </w:rPr>
        <w:t>0,000 IU or 2.5 mg)</w:t>
      </w:r>
      <w:r w:rsidR="00943BEF" w:rsidRPr="007B140B">
        <w:rPr>
          <w:rFonts w:ascii="Times New Roman" w:hAnsi="Times New Roman" w:cs="Times New Roman"/>
          <w:sz w:val="24"/>
          <w:szCs w:val="24"/>
          <w:lang w:val="en-US" w:eastAsia="zh-CN"/>
        </w:rPr>
        <w:t xml:space="preserve">. </w:t>
      </w:r>
    </w:p>
    <w:p w14:paraId="580805AF" w14:textId="77777777" w:rsidR="00952B8C" w:rsidRPr="007B140B" w:rsidRDefault="00952B8C" w:rsidP="00127146">
      <w:pPr>
        <w:spacing w:after="0" w:line="240" w:lineRule="auto"/>
        <w:rPr>
          <w:rFonts w:ascii="Times New Roman" w:hAnsi="Times New Roman" w:cs="Times New Roman"/>
          <w:b/>
          <w:sz w:val="24"/>
          <w:szCs w:val="24"/>
          <w:lang w:val="en-US"/>
        </w:rPr>
      </w:pPr>
    </w:p>
    <w:p w14:paraId="4D5DD871" w14:textId="2D1C8FBF" w:rsidR="00F65632" w:rsidRPr="007B140B" w:rsidRDefault="009D3C1C" w:rsidP="00952B8C">
      <w:pPr>
        <w:spacing w:after="0" w:line="240" w:lineRule="auto"/>
        <w:rPr>
          <w:rFonts w:ascii="Times New Roman" w:hAnsi="Times New Roman" w:cs="Times New Roman"/>
          <w:b/>
          <w:sz w:val="24"/>
          <w:szCs w:val="24"/>
          <w:lang w:val="en-US"/>
        </w:rPr>
      </w:pPr>
      <w:r w:rsidRPr="007B140B">
        <w:rPr>
          <w:rFonts w:ascii="Times New Roman" w:hAnsi="Times New Roman" w:cs="Times New Roman"/>
          <w:b/>
          <w:sz w:val="24"/>
          <w:szCs w:val="24"/>
          <w:lang w:val="en-US"/>
        </w:rPr>
        <w:t xml:space="preserve">Primary outcome: </w:t>
      </w:r>
      <w:r w:rsidR="00C30A09" w:rsidRPr="007B140B">
        <w:rPr>
          <w:rFonts w:ascii="Times New Roman" w:hAnsi="Times New Roman" w:cs="Times New Roman"/>
          <w:sz w:val="24"/>
          <w:szCs w:val="24"/>
          <w:lang w:val="en-US"/>
        </w:rPr>
        <w:t>Time to</w:t>
      </w:r>
      <w:r w:rsidR="00283EA4" w:rsidRPr="007B140B">
        <w:rPr>
          <w:rFonts w:ascii="Times New Roman" w:hAnsi="Times New Roman" w:cs="Times New Roman"/>
          <w:sz w:val="24"/>
          <w:szCs w:val="24"/>
          <w:lang w:val="en-US"/>
        </w:rPr>
        <w:t xml:space="preserve"> first</w:t>
      </w:r>
      <w:r w:rsidR="00C30A09" w:rsidRPr="007B140B">
        <w:rPr>
          <w:rFonts w:ascii="Times New Roman" w:hAnsi="Times New Roman" w:cs="Times New Roman"/>
          <w:sz w:val="24"/>
          <w:szCs w:val="24"/>
          <w:lang w:val="en-US"/>
        </w:rPr>
        <w:t xml:space="preserve"> </w:t>
      </w:r>
      <w:r w:rsidRPr="007B140B">
        <w:rPr>
          <w:rFonts w:ascii="Times New Roman" w:hAnsi="Times New Roman" w:cs="Times New Roman"/>
          <w:sz w:val="24"/>
          <w:szCs w:val="24"/>
          <w:lang w:val="en-US"/>
        </w:rPr>
        <w:t>new clinical fracture.</w:t>
      </w:r>
    </w:p>
    <w:p w14:paraId="3BC35C31" w14:textId="77777777" w:rsidR="00952B8C" w:rsidRPr="007B140B" w:rsidRDefault="00952B8C" w:rsidP="00952B8C">
      <w:pPr>
        <w:spacing w:after="0" w:line="240" w:lineRule="auto"/>
        <w:rPr>
          <w:rFonts w:ascii="Times New Roman" w:hAnsi="Times New Roman" w:cs="Times New Roman"/>
          <w:b/>
          <w:sz w:val="24"/>
          <w:szCs w:val="24"/>
          <w:lang w:val="en-US"/>
        </w:rPr>
      </w:pPr>
    </w:p>
    <w:p w14:paraId="0890CD1A" w14:textId="68395DCF" w:rsidR="006344F3" w:rsidRPr="007B140B" w:rsidRDefault="009D3C1C" w:rsidP="00806602">
      <w:pPr>
        <w:rPr>
          <w:rFonts w:ascii="Times New Roman" w:hAnsi="Times New Roman" w:cs="Times New Roman"/>
          <w:b/>
          <w:iCs/>
          <w:color w:val="000000" w:themeColor="text1"/>
          <w:sz w:val="24"/>
          <w:szCs w:val="24"/>
          <w:lang w:val="en-US"/>
        </w:rPr>
      </w:pPr>
      <w:r w:rsidRPr="007B140B">
        <w:rPr>
          <w:rFonts w:ascii="Times New Roman" w:hAnsi="Times New Roman" w:cs="Times New Roman"/>
          <w:b/>
          <w:sz w:val="24"/>
          <w:szCs w:val="24"/>
          <w:lang w:val="en-US"/>
        </w:rPr>
        <w:t>Study period:</w:t>
      </w:r>
      <w:r w:rsidR="004B3C65" w:rsidRPr="007B140B">
        <w:rPr>
          <w:rFonts w:ascii="Times New Roman" w:hAnsi="Times New Roman" w:cs="Times New Roman"/>
          <w:iCs/>
          <w:color w:val="000000" w:themeColor="text1"/>
          <w:sz w:val="24"/>
          <w:szCs w:val="24"/>
          <w:lang w:val="en-US"/>
        </w:rPr>
        <w:t xml:space="preserve"> </w:t>
      </w:r>
      <w:r w:rsidRPr="007B140B">
        <w:rPr>
          <w:rFonts w:ascii="Times New Roman" w:hAnsi="Times New Roman" w:cs="Times New Roman"/>
          <w:iCs/>
          <w:color w:val="000000" w:themeColor="text1"/>
          <w:sz w:val="24"/>
          <w:szCs w:val="24"/>
          <w:lang w:val="en-US"/>
        </w:rPr>
        <w:t>202</w:t>
      </w:r>
      <w:r w:rsidR="009F4F9D">
        <w:rPr>
          <w:rFonts w:ascii="Times New Roman" w:hAnsi="Times New Roman" w:cs="Times New Roman"/>
          <w:iCs/>
          <w:color w:val="000000" w:themeColor="text1"/>
          <w:sz w:val="24"/>
          <w:szCs w:val="24"/>
          <w:lang w:val="en-US"/>
        </w:rPr>
        <w:t>2</w:t>
      </w:r>
      <w:r w:rsidRPr="007B140B">
        <w:rPr>
          <w:rFonts w:ascii="Times New Roman" w:hAnsi="Times New Roman" w:cs="Times New Roman"/>
          <w:iCs/>
          <w:color w:val="000000" w:themeColor="text1"/>
          <w:sz w:val="24"/>
          <w:szCs w:val="24"/>
          <w:lang w:val="en-US"/>
        </w:rPr>
        <w:t xml:space="preserve"> </w:t>
      </w:r>
      <w:r w:rsidR="00A869B0">
        <w:rPr>
          <w:rFonts w:ascii="Times New Roman" w:hAnsi="Times New Roman" w:cs="Times New Roman"/>
          <w:iCs/>
          <w:color w:val="000000" w:themeColor="text1"/>
          <w:sz w:val="24"/>
          <w:szCs w:val="24"/>
          <w:lang w:val="en-US"/>
        </w:rPr>
        <w:t>–</w:t>
      </w:r>
      <w:r w:rsidRPr="007B140B">
        <w:rPr>
          <w:rFonts w:ascii="Times New Roman" w:hAnsi="Times New Roman" w:cs="Times New Roman"/>
          <w:iCs/>
          <w:color w:val="000000" w:themeColor="text1"/>
          <w:sz w:val="24"/>
          <w:szCs w:val="24"/>
          <w:lang w:val="en-US"/>
        </w:rPr>
        <w:t xml:space="preserve"> 20</w:t>
      </w:r>
      <w:r w:rsidR="00287F2F">
        <w:rPr>
          <w:rFonts w:ascii="Times New Roman" w:hAnsi="Times New Roman" w:cs="Times New Roman"/>
          <w:iCs/>
          <w:color w:val="000000" w:themeColor="text1"/>
          <w:sz w:val="24"/>
          <w:szCs w:val="24"/>
          <w:lang w:val="en-US"/>
        </w:rPr>
        <w:t>3</w:t>
      </w:r>
      <w:r w:rsidR="009F4F9D">
        <w:rPr>
          <w:rFonts w:ascii="Times New Roman" w:hAnsi="Times New Roman" w:cs="Times New Roman"/>
          <w:iCs/>
          <w:color w:val="000000" w:themeColor="text1"/>
          <w:sz w:val="24"/>
          <w:szCs w:val="24"/>
          <w:lang w:val="en-US"/>
        </w:rPr>
        <w:t>5</w:t>
      </w:r>
      <w:bookmarkStart w:id="9" w:name="_Toc2083392"/>
      <w:r w:rsidR="004B3C65" w:rsidRPr="007B140B">
        <w:rPr>
          <w:rFonts w:ascii="Times New Roman" w:hAnsi="Times New Roman" w:cs="Times New Roman"/>
          <w:iCs/>
          <w:color w:val="000000" w:themeColor="text1"/>
          <w:sz w:val="24"/>
          <w:szCs w:val="24"/>
          <w:lang w:val="en-US"/>
        </w:rPr>
        <w:t>.</w:t>
      </w:r>
    </w:p>
    <w:p w14:paraId="467BC7F1" w14:textId="52428314" w:rsidR="00601D74" w:rsidRPr="007B140B" w:rsidRDefault="00601D74">
      <w:pPr>
        <w:spacing w:after="0" w:line="240" w:lineRule="auto"/>
        <w:rPr>
          <w:rFonts w:ascii="Times New Roman" w:hAnsi="Times New Roman" w:cs="Times New Roman"/>
          <w:iCs/>
          <w:color w:val="000000" w:themeColor="text1"/>
          <w:sz w:val="24"/>
          <w:szCs w:val="24"/>
          <w:lang w:val="en-US"/>
        </w:rPr>
      </w:pPr>
      <w:r w:rsidRPr="007B140B">
        <w:rPr>
          <w:rFonts w:ascii="Times New Roman" w:hAnsi="Times New Roman" w:cs="Times New Roman"/>
          <w:iCs/>
          <w:color w:val="000000" w:themeColor="text1"/>
          <w:sz w:val="24"/>
          <w:szCs w:val="24"/>
          <w:lang w:val="en-US"/>
        </w:rPr>
        <w:br w:type="page"/>
      </w:r>
    </w:p>
    <w:p w14:paraId="17BF88F4" w14:textId="7FFAC01F" w:rsidR="00572A08" w:rsidRPr="007B140B" w:rsidRDefault="00F01E74" w:rsidP="00D36611">
      <w:pPr>
        <w:pStyle w:val="Formatmall4"/>
        <w:rPr>
          <w:rFonts w:cs="Times New Roman"/>
          <w:lang w:val="en-US"/>
        </w:rPr>
      </w:pPr>
      <w:bookmarkStart w:id="10" w:name="_Toc28786599"/>
      <w:bookmarkStart w:id="11" w:name="_Toc28786808"/>
      <w:bookmarkStart w:id="12" w:name="_Toc28786600"/>
      <w:bookmarkStart w:id="13" w:name="_Toc28786809"/>
      <w:bookmarkStart w:id="14" w:name="_Toc28786601"/>
      <w:bookmarkStart w:id="15" w:name="_Toc28786810"/>
      <w:bookmarkStart w:id="16" w:name="_Toc28786602"/>
      <w:bookmarkStart w:id="17" w:name="_Toc28786811"/>
      <w:bookmarkStart w:id="18" w:name="_Toc99001394"/>
      <w:bookmarkEnd w:id="9"/>
      <w:bookmarkEnd w:id="10"/>
      <w:bookmarkEnd w:id="11"/>
      <w:bookmarkEnd w:id="12"/>
      <w:bookmarkEnd w:id="13"/>
      <w:bookmarkEnd w:id="14"/>
      <w:bookmarkEnd w:id="15"/>
      <w:bookmarkEnd w:id="16"/>
      <w:bookmarkEnd w:id="17"/>
      <w:r w:rsidRPr="007B140B">
        <w:rPr>
          <w:rFonts w:cs="Times New Roman"/>
          <w:lang w:val="en-US"/>
        </w:rPr>
        <w:lastRenderedPageBreak/>
        <w:t>Introduction</w:t>
      </w:r>
      <w:bookmarkEnd w:id="18"/>
    </w:p>
    <w:p w14:paraId="1B6BA6F7" w14:textId="06DD3768" w:rsidR="00572A08" w:rsidRPr="007B140B" w:rsidRDefault="00572A08" w:rsidP="006B2481">
      <w:pPr>
        <w:rPr>
          <w:rFonts w:ascii="Times New Roman" w:hAnsi="Times New Roman" w:cs="Times New Roman"/>
          <w:sz w:val="24"/>
          <w:szCs w:val="24"/>
          <w:lang w:val="en-US"/>
        </w:rPr>
      </w:pPr>
      <w:bookmarkStart w:id="19" w:name="_Toc27746950"/>
      <w:r w:rsidRPr="007B140B">
        <w:rPr>
          <w:rFonts w:ascii="Times New Roman" w:hAnsi="Times New Roman" w:cs="Times New Roman"/>
          <w:sz w:val="24"/>
          <w:szCs w:val="24"/>
          <w:lang w:val="en-US"/>
        </w:rPr>
        <w:t>About 95,000 individuals suffered a major fracture in Sweden in 2017.</w:t>
      </w:r>
      <w:r w:rsidR="00C93DB4" w:rsidRPr="007B140B">
        <w:rPr>
          <w:rFonts w:ascii="Times New Roman" w:hAnsi="Times New Roman" w:cs="Times New Roman"/>
          <w:sz w:val="24"/>
          <w:szCs w:val="24"/>
          <w:lang w:val="en-US"/>
        </w:rPr>
        <w:fldChar w:fldCharType="begin" w:fldLock="1"/>
      </w:r>
      <w:r w:rsidR="00C93DB4" w:rsidRPr="007B140B">
        <w:rPr>
          <w:rFonts w:ascii="Times New Roman" w:hAnsi="Times New Roman" w:cs="Times New Roman"/>
          <w:sz w:val="24"/>
          <w:szCs w:val="24"/>
          <w:lang w:val="en-US"/>
        </w:rPr>
        <w:instrText>ADDIN CSL_CITATION {"citationItems":[{"id":"ITEM-1","itemData":{"URL":"https://sdb.socialstyrelsen.se/if_par/val.aspx","accessed":{"date-parts":[["2019","11","29"]]},"author":[{"dropping-particle":"","family":"Socialstyrelsen","given":"","non-dropping-particle":"","parse-names":false,"suffix":""}],"id":"ITEM-1","issued":{"date-parts":[["0"]]},"title":"Statistikdatabas för diagnoser i sluten vården","type":"webpage"},"uris":["http://www.mendeley.com/documents/?uuid=fcc6edb4-14fd-445e-876b-94a6ab5adef9"]},{"id":"ITEM-2","itemData":{"URL":"https://sdb.socialstyrelsen.se/if_paro/val.aspx","accessed":{"date-parts":[["2019","11","29"]]},"author":[{"dropping-particle":"","family":"Socialstyrelsen","given":"","non-dropping-particle":"","parse-names":false,"suffix":""}],"id":"ITEM-2","issued":{"date-parts":[["0"]]},"title":"Statistikdatabas för diagnoser i specialiserad öppen vård","type":"webpage"},"uris":["http://www.mendeley.com/documents/?uuid=f611a9db-3aa2-47fc-b7d3-021146fe5df1"]}],"mendeley":{"formattedCitation":"&lt;sup&gt;&lt;sup&gt;1&lt;/sup&gt;,&lt;sup&gt;2&lt;/sup&gt;&lt;/sup&gt;","plainTextFormattedCitation":"1,2","previouslyFormattedCitation":"&lt;sup&gt;&lt;sup&gt;1&lt;/sup&gt;,&lt;sup&gt;2&lt;/sup&gt;&lt;/sup&gt;"},"properties":{"noteIndex":0},"schema":"https://github.com/citation-style-language/schema/raw/master/csl-citation.json"}</w:instrText>
      </w:r>
      <w:r w:rsidR="00C93DB4" w:rsidRPr="007B140B">
        <w:rPr>
          <w:rFonts w:ascii="Times New Roman" w:hAnsi="Times New Roman" w:cs="Times New Roman"/>
          <w:sz w:val="24"/>
          <w:szCs w:val="24"/>
          <w:lang w:val="en-US"/>
        </w:rPr>
        <w:fldChar w:fldCharType="separate"/>
      </w:r>
      <w:r w:rsidR="00C93DB4" w:rsidRPr="007B140B">
        <w:rPr>
          <w:rFonts w:ascii="Times New Roman" w:hAnsi="Times New Roman" w:cs="Times New Roman"/>
          <w:noProof/>
          <w:sz w:val="24"/>
          <w:szCs w:val="24"/>
          <w:vertAlign w:val="superscript"/>
          <w:lang w:val="en-US"/>
        </w:rPr>
        <w:t>1,2</w:t>
      </w:r>
      <w:r w:rsidR="00C93DB4" w:rsidRPr="007B140B">
        <w:rPr>
          <w:rFonts w:ascii="Times New Roman" w:hAnsi="Times New Roman" w:cs="Times New Roman"/>
          <w:sz w:val="24"/>
          <w:szCs w:val="24"/>
          <w:lang w:val="en-US"/>
        </w:rPr>
        <w:fldChar w:fldCharType="end"/>
      </w:r>
      <w:r w:rsidRPr="007B140B">
        <w:rPr>
          <w:rFonts w:ascii="Times New Roman" w:hAnsi="Times New Roman" w:cs="Times New Roman"/>
          <w:sz w:val="24"/>
          <w:szCs w:val="24"/>
          <w:lang w:val="en-US"/>
        </w:rPr>
        <w:t xml:space="preserve"> In comparison, less than half that number, about 40,000, suffered a stroke or myocardial infarction.</w:t>
      </w:r>
      <w:r w:rsidR="00C93DB4" w:rsidRPr="007B140B">
        <w:rPr>
          <w:rFonts w:ascii="Times New Roman" w:hAnsi="Times New Roman" w:cs="Times New Roman"/>
          <w:sz w:val="24"/>
          <w:szCs w:val="24"/>
          <w:lang w:val="en-US"/>
        </w:rPr>
        <w:fldChar w:fldCharType="begin" w:fldLock="1"/>
      </w:r>
      <w:r w:rsidR="00AF57F7" w:rsidRPr="007B140B">
        <w:rPr>
          <w:rFonts w:ascii="Times New Roman" w:hAnsi="Times New Roman" w:cs="Times New Roman"/>
          <w:sz w:val="24"/>
          <w:szCs w:val="24"/>
          <w:lang w:val="en-US"/>
        </w:rPr>
        <w:instrText>ADDIN CSL_CITATION {"citationItems":[{"id":"ITEM-1","itemData":{"URL":"https://sdb.socialstyrelsen.se/if_par/val.aspx","accessed":{"date-parts":[["2019","11","29"]]},"author":[{"dropping-particle":"","family":"Socialstyrelsen","given":"","non-dropping-particle":"","parse-names":false,"suffix":""}],"id":"ITEM-1","issued":{"date-parts":[["0"]]},"title":"Statistikdatabas för diagnoser i sluten vården","type":"webpage"},"uris":["http://www.mendeley.com/documents/?uuid=fcc6edb4-14fd-445e-876b-94a6ab5adef9"]}],"mendeley":{"formattedCitation":"&lt;sup&gt;&lt;sup&gt;1&lt;/sup&gt;&lt;/sup&gt;","plainTextFormattedCitation":"1","previouslyFormattedCitation":"&lt;sup&gt;&lt;sup&gt;1&lt;/sup&gt;&lt;/sup&gt;"},"properties":{"noteIndex":0},"schema":"https://github.com/citation-style-language/schema/raw/master/csl-citation.json"}</w:instrText>
      </w:r>
      <w:r w:rsidR="00C93DB4" w:rsidRPr="007B140B">
        <w:rPr>
          <w:rFonts w:ascii="Times New Roman" w:hAnsi="Times New Roman" w:cs="Times New Roman"/>
          <w:sz w:val="24"/>
          <w:szCs w:val="24"/>
          <w:lang w:val="en-US"/>
        </w:rPr>
        <w:fldChar w:fldCharType="separate"/>
      </w:r>
      <w:r w:rsidR="00C93DB4" w:rsidRPr="007B140B">
        <w:rPr>
          <w:rFonts w:ascii="Times New Roman" w:hAnsi="Times New Roman" w:cs="Times New Roman"/>
          <w:noProof/>
          <w:sz w:val="24"/>
          <w:szCs w:val="24"/>
          <w:vertAlign w:val="superscript"/>
          <w:lang w:val="en-US"/>
        </w:rPr>
        <w:t>1</w:t>
      </w:r>
      <w:r w:rsidR="00C93DB4" w:rsidRPr="007B140B">
        <w:rPr>
          <w:rFonts w:ascii="Times New Roman" w:hAnsi="Times New Roman" w:cs="Times New Roman"/>
          <w:sz w:val="24"/>
          <w:szCs w:val="24"/>
          <w:lang w:val="en-US"/>
        </w:rPr>
        <w:fldChar w:fldCharType="end"/>
      </w:r>
      <w:r w:rsidRPr="007B140B">
        <w:rPr>
          <w:rFonts w:ascii="Times New Roman" w:hAnsi="Times New Roman" w:cs="Times New Roman"/>
          <w:sz w:val="24"/>
          <w:szCs w:val="24"/>
          <w:lang w:val="en-US"/>
        </w:rPr>
        <w:t xml:space="preserve"> The most serious type of fracture is the hip fracture, which is regarded as an end stage disease because 25% of </w:t>
      </w:r>
      <w:r w:rsidR="00E15DF8" w:rsidRPr="007B140B">
        <w:rPr>
          <w:rFonts w:ascii="Times New Roman" w:hAnsi="Times New Roman" w:cs="Times New Roman"/>
          <w:sz w:val="24"/>
          <w:szCs w:val="24"/>
          <w:lang w:val="en-US"/>
        </w:rPr>
        <w:t xml:space="preserve">hip fracture </w:t>
      </w:r>
      <w:r w:rsidRPr="007B140B">
        <w:rPr>
          <w:rFonts w:ascii="Times New Roman" w:hAnsi="Times New Roman" w:cs="Times New Roman"/>
          <w:sz w:val="24"/>
          <w:szCs w:val="24"/>
          <w:lang w:val="en-US"/>
        </w:rPr>
        <w:t>patients die within</w:t>
      </w:r>
      <w:r w:rsidR="00E15DF8" w:rsidRPr="007B140B">
        <w:rPr>
          <w:rFonts w:ascii="Times New Roman" w:hAnsi="Times New Roman" w:cs="Times New Roman"/>
          <w:sz w:val="24"/>
          <w:szCs w:val="24"/>
          <w:lang w:val="en-US"/>
        </w:rPr>
        <w:t xml:space="preserve"> a</w:t>
      </w:r>
      <w:r w:rsidRPr="007B140B">
        <w:rPr>
          <w:rFonts w:ascii="Times New Roman" w:hAnsi="Times New Roman" w:cs="Times New Roman"/>
          <w:sz w:val="24"/>
          <w:szCs w:val="24"/>
          <w:lang w:val="en-US"/>
        </w:rPr>
        <w:t xml:space="preserve"> year</w:t>
      </w:r>
      <w:r w:rsidR="00DF3731" w:rsidRPr="007B140B">
        <w:rPr>
          <w:rFonts w:ascii="Times New Roman" w:hAnsi="Times New Roman" w:cs="Times New Roman"/>
          <w:sz w:val="24"/>
          <w:szCs w:val="24"/>
          <w:lang w:val="en-US"/>
        </w:rPr>
        <w:t>.</w:t>
      </w:r>
      <w:r w:rsidR="00DE08F5" w:rsidRPr="007B140B">
        <w:rPr>
          <w:rFonts w:ascii="Times New Roman" w:hAnsi="Times New Roman" w:cs="Times New Roman"/>
          <w:sz w:val="24"/>
          <w:szCs w:val="24"/>
          <w:lang w:val="en-US"/>
        </w:rPr>
        <w:fldChar w:fldCharType="begin" w:fldLock="1"/>
      </w:r>
      <w:r w:rsidR="00C93DB4" w:rsidRPr="007B140B">
        <w:rPr>
          <w:rFonts w:ascii="Times New Roman" w:hAnsi="Times New Roman" w:cs="Times New Roman"/>
          <w:sz w:val="24"/>
          <w:szCs w:val="24"/>
          <w:lang w:val="en-US"/>
        </w:rPr>
        <w:instrText>ADDIN CSL_CITATION {"citationItems":[{"id":"ITEM-1","itemData":{"DOI":"10.1136/bmj.h696","ISSN":"17561833","PMID":"25700551","abstract":"OBJECTIVE: To investigate relation between inpatient length of stay after hip fracture and risk of death after hospital discharge.\\n\\nSETTING: Population ≥50 years old living in Sweden as of 31 December 2005 with a first hip fracture the years 2006-12.\\n\\nPARTICIPANTS: 116,111 patients with an incident hip fracture from a closed nationwide cohort.\\n\\nMAIN OUTCOME MEASURE: Death within 30 days of hospital discharge in relation to hospital length of stay after adjustment for multiple covariates.\\n\\nRESULTS: Mean inpatient length of stay after a hip fracture decreased from 14.2 days in 2006 to 11.6 days in 2012 (P&lt;0.001). The association between length of stay and risk of death after discharge was non-linear (P&lt;0.001), with a threshold for this non-linear effect of about 10 days. Thus, for patients with length of stay of ≤10 days (n=59,154), each 1-day reduction in length of stay increased the odds of death within 30 days of discharge by 8% in 2006 (odds ratio 1.08 (95% confidence interval 1.04 to 1.12)), which increased to16% in 2012 (odds ratio 1.16 (1.12 to 1.20)). In contrast, for patients with a length of stay of ≥11 days (n=56,957), a 1-day reduction in length of stay was not associated with an increased risk of death after discharge during any of the years of follow up.\\n\\nLIMITATIONS: No accurate evaluation of the underlying cause of death could be performed.\\n\\nCONCLUSION: Shorter length of stay in hospital after hip fracture is associated with increased risk of death after hospital discharge, but only among patients with length of stay of 10 days or less. This association remained robust over consecutive years.","author":[{"dropping-particle":"","family":"Nordström","given":"Peter","non-dropping-particle":"","parse-names":false,"suffix":""},{"dropping-particle":"","family":"Gustafson","given":"Yngve","non-dropping-particle":"","parse-names":false,"suffix":""},{"dropping-particle":"","family":"Michaëlsson","given":"Karl","non-dropping-particle":"","parse-names":false,"suffix":""},{"dropping-particle":"","family":"Nordström","given":"Anna","non-dropping-particle":"","parse-names":false,"suffix":""}],"container-title":"BMJ (Online)","id":"ITEM-1","issue":"February","issued":{"date-parts":[["2015"]]},"page":"1-11","title":"Length of hospital stay after hip fracture and short term risk of death after discharge: a total cohort study in Sweden","type":"article-journal","volume":"350"},"uris":["http://www.mendeley.com/documents/?uuid=d8c01c46-cab3-4cca-beea-f4b608fe25cd"]},{"id":"ITEM-2","itemData":{"DOI":"10.1002/jbmr.2029","ISSN":"08840431","abstract":"Several studies have shown a long-lasting higher mortality after hip fracture, but the reasons for the excess risk are not well understood. We aimed to determine whether a higher mortality after hip fracture exists when controlling for genetic constitution, shared environment, comorbidity, and lifestyle by use of a nationwide cohort study in hip fracture discordant monozygotic twins. All 286 identical Swedish twin pairs discordant for hip fracture (1972 to 2010) were identified. Comorbidity and lifestyle information was retrieved by registers and questionnaire information. We used intrapair Cox regression to compute multivariable-adjusted hazard ratios (HRs) for death. During follow-up, 143 twins with a hip fracture died (50%) compared with 101 twins (35%) without a hip fracture. Through the first year after hip fracture, the rate of death increased fourfold in women (HR = 3.71; 95% confidence interval [CI] 1.32-10.40) and sevenfold in men (HR = 6.67; 95% CI 1.47-30.13). The increased rate in women only persisted during the first year after hip fracture (HR after 1 year = 0.99; 95% CI 0.66-1.50), whereas the corresponding HR in men was 2.58 (95% CI 1.02-6.62). The higher risk in men after the hip fracture event was successively attenuated during follow-up. After 5 years, the hazard ratio in men with a hip fracture was 1.19 (95% CI 0.29-4.90). On average, the hip fracture contributed to 0.9 years of life lost in women (95% CI 0.06-1.7) and 2.7 years in men (95% CI 1.7-3.7). The potential years of life lost associated with the hip fracture was especially pronounced in older men (&gt;75 years), with an average loss of 47% (95% CI 31-61) of the expected remaining lifetime. We conclude that both women and men display a higher mortality after hip fracture independent of genes, comorbidity, and lifestyle. © 2014 American Society for Bone and Mineral Research. © 2014 American Society for Bone and Mineral Research.","author":[{"dropping-particle":"","family":"Michaëlsson","given":"Karl","non-dropping-particle":"","parse-names":false,"suffix":""},{"dropping-particle":"","family":"Nordström","given":"Peter","non-dropping-particle":"","parse-names":false,"suffix":""},{"dropping-particle":"","family":"Nordström","given":"Anna","non-dropping-particle":"","parse-names":false,"suffix":""},{"dropping-particle":"","family":"Garmo","given":"Hans","non-dropping-particle":"","parse-names":false,"suffix":""},{"dropping-particle":"","family":"Byberg","given":"Liisa","non-dropping-particle":"","parse-names":false,"suffix":""},{"dropping-particle":"","family":"Pedersen","given":"Nancy L.","non-dropping-particle":"","parse-names":false,"suffix":""},{"dropping-particle":"","family":"Malhus","given":"Håkan","non-dropping-particle":"","parse-names":false,"suffix":""}],"container-title":"Journal of Bone and Mineral Research","id":"ITEM-2","issue":"2","issued":{"date-parts":[["2014"]]},"page":"424-431","title":"Impact of hip fracture on mortality: a cohort study in hip fracture discordant identical twins","type":"article-journal","volume":"29"},"uris":["http://www.mendeley.com/documents/?uuid=619bc68b-51d8-4e27-988d-60b4a14f71be"]}],"mendeley":{"formattedCitation":"&lt;sup&gt;&lt;sup&gt;3&lt;/sup&gt;,&lt;sup&gt;4&lt;/sup&gt;&lt;/sup&gt;","plainTextFormattedCitation":"3,4","previouslyFormattedCitation":"&lt;sup&gt;&lt;sup&gt;3&lt;/sup&gt;,&lt;sup&gt;4&lt;/sup&gt;&lt;/sup&gt;"},"properties":{"noteIndex":0},"schema":"https://github.com/citation-style-language/schema/raw/master/csl-citation.json"}</w:instrText>
      </w:r>
      <w:r w:rsidR="00DE08F5" w:rsidRPr="007B140B">
        <w:rPr>
          <w:rFonts w:ascii="Times New Roman" w:hAnsi="Times New Roman" w:cs="Times New Roman"/>
          <w:sz w:val="24"/>
          <w:szCs w:val="24"/>
          <w:lang w:val="en-US"/>
        </w:rPr>
        <w:fldChar w:fldCharType="separate"/>
      </w:r>
      <w:r w:rsidR="00C93DB4" w:rsidRPr="007B140B">
        <w:rPr>
          <w:rFonts w:ascii="Times New Roman" w:hAnsi="Times New Roman" w:cs="Times New Roman"/>
          <w:noProof/>
          <w:sz w:val="24"/>
          <w:szCs w:val="24"/>
          <w:vertAlign w:val="superscript"/>
          <w:lang w:val="en-US"/>
        </w:rPr>
        <w:t>3,4</w:t>
      </w:r>
      <w:r w:rsidR="00DE08F5" w:rsidRPr="007B140B">
        <w:rPr>
          <w:rFonts w:ascii="Times New Roman" w:hAnsi="Times New Roman" w:cs="Times New Roman"/>
          <w:sz w:val="24"/>
          <w:szCs w:val="24"/>
          <w:lang w:val="en-US"/>
        </w:rPr>
        <w:fldChar w:fldCharType="end"/>
      </w:r>
      <w:r w:rsidR="00692DCA" w:rsidRPr="007B140B">
        <w:rPr>
          <w:rFonts w:ascii="Times New Roman" w:hAnsi="Times New Roman" w:cs="Times New Roman"/>
          <w:sz w:val="24"/>
          <w:szCs w:val="24"/>
          <w:lang w:val="en-US"/>
        </w:rPr>
        <w:t xml:space="preserve"> </w:t>
      </w:r>
      <w:r w:rsidR="0038491C" w:rsidRPr="007B140B">
        <w:rPr>
          <w:rFonts w:ascii="Times New Roman" w:hAnsi="Times New Roman" w:cs="Times New Roman"/>
          <w:sz w:val="24"/>
          <w:szCs w:val="24"/>
          <w:lang w:val="en-US"/>
        </w:rPr>
        <w:t>O</w:t>
      </w:r>
      <w:r w:rsidR="00462B83" w:rsidRPr="007B140B">
        <w:rPr>
          <w:rFonts w:ascii="Times New Roman" w:hAnsi="Times New Roman" w:cs="Times New Roman"/>
          <w:sz w:val="24"/>
          <w:szCs w:val="24"/>
          <w:lang w:val="en-US"/>
        </w:rPr>
        <w:t>f</w:t>
      </w:r>
      <w:r w:rsidRPr="007B140B">
        <w:rPr>
          <w:rFonts w:ascii="Times New Roman" w:hAnsi="Times New Roman" w:cs="Times New Roman"/>
          <w:sz w:val="24"/>
          <w:szCs w:val="24"/>
          <w:lang w:val="en-US"/>
        </w:rPr>
        <w:t xml:space="preserve"> </w:t>
      </w:r>
      <w:r w:rsidR="00DF3731" w:rsidRPr="007B140B">
        <w:rPr>
          <w:rFonts w:ascii="Times New Roman" w:hAnsi="Times New Roman" w:cs="Times New Roman"/>
          <w:sz w:val="24"/>
          <w:szCs w:val="24"/>
          <w:lang w:val="en-US"/>
        </w:rPr>
        <w:t xml:space="preserve">surviving </w:t>
      </w:r>
      <w:r w:rsidRPr="007B140B">
        <w:rPr>
          <w:rFonts w:ascii="Times New Roman" w:hAnsi="Times New Roman" w:cs="Times New Roman"/>
          <w:sz w:val="24"/>
          <w:szCs w:val="24"/>
          <w:lang w:val="en-US"/>
        </w:rPr>
        <w:t>hip fracture</w:t>
      </w:r>
      <w:r w:rsidR="00DF3731" w:rsidRPr="007B140B">
        <w:rPr>
          <w:rFonts w:ascii="Times New Roman" w:hAnsi="Times New Roman" w:cs="Times New Roman"/>
          <w:sz w:val="24"/>
          <w:szCs w:val="24"/>
          <w:lang w:val="en-US"/>
        </w:rPr>
        <w:t xml:space="preserve"> patients</w:t>
      </w:r>
      <w:r w:rsidRPr="007B140B">
        <w:rPr>
          <w:rFonts w:ascii="Times New Roman" w:hAnsi="Times New Roman" w:cs="Times New Roman"/>
          <w:sz w:val="24"/>
          <w:szCs w:val="24"/>
          <w:lang w:val="en-US"/>
        </w:rPr>
        <w:t xml:space="preserve">, only a minority regain their pre-fracture </w:t>
      </w:r>
      <w:r w:rsidR="00A93C4D" w:rsidRPr="007B140B">
        <w:rPr>
          <w:rFonts w:ascii="Times New Roman" w:hAnsi="Times New Roman" w:cs="Times New Roman"/>
          <w:sz w:val="24"/>
          <w:szCs w:val="24"/>
          <w:lang w:val="en-US"/>
        </w:rPr>
        <w:t xml:space="preserve">level of </w:t>
      </w:r>
      <w:r w:rsidRPr="007B140B">
        <w:rPr>
          <w:rFonts w:ascii="Times New Roman" w:hAnsi="Times New Roman" w:cs="Times New Roman"/>
          <w:sz w:val="24"/>
          <w:szCs w:val="24"/>
          <w:lang w:val="en-US"/>
        </w:rPr>
        <w:t>physical functioning and quality of life.</w:t>
      </w:r>
      <w:r w:rsidR="00D10767" w:rsidRPr="007B140B">
        <w:rPr>
          <w:rFonts w:ascii="Times New Roman" w:hAnsi="Times New Roman" w:cs="Times New Roman"/>
          <w:sz w:val="24"/>
          <w:szCs w:val="24"/>
          <w:lang w:val="en-US"/>
        </w:rPr>
        <w:fldChar w:fldCharType="begin" w:fldLock="1"/>
      </w:r>
      <w:r w:rsidR="0000067D" w:rsidRPr="007B140B">
        <w:rPr>
          <w:rFonts w:ascii="Times New Roman" w:hAnsi="Times New Roman" w:cs="Times New Roman"/>
          <w:sz w:val="24"/>
          <w:szCs w:val="24"/>
          <w:lang w:val="en-US"/>
        </w:rPr>
        <w:instrText>ADDIN CSL_CITATION {"citationItems":[{"id":"ITEM-1","itemData":{"DOI":"10.1016/j.injury.2016.04.018","ISSN":"18790267","abstract":"Background With an increasing ageing population, hip fractures have become a major public health issue in the elderly. It is important to examine the health status (HS) and health-related quality of life (HRQOL) of the elderly faced with the epidemic of hip fractures. Objective To provide an overview of reported HS and HRQOL in elderly patients with a hip fracture. Design A systematic literature search was performed in Embase, Medline, Web of Science, Scopus, CINAHL, Cochrane, PsycINFO, Pubmed, and Google Scholar in July 2014. Studies which reported the HS or HRQOL based on standardised questionnaires in patients older than 65 years with a hip fracture were considered eligible for inclusion. Results After inspecting the 2725 potentially eligible studies, 49 fulfilled the inclusion criteria. All included studies were randomised controlled trials or prospective cohort studies. The methodological quality of the studies was moderate. Patients' functioning on the physical, social, and emotional domains were affected after a hip fracture. The HS and HRQOL of the majority of patients recovered in the first 6 months after fracture. However, their HS did not return to prefracture level. Mental state, prefracture functioning on physical and psychosocial domains, comorbidity, female gender, nutritional status, postoperative pain, length of hospital stay, and complications were factors associated with HS or HRQOL. Treatment with total hip arthroplasty or hemi-arthroplasty provided better HS than treatment with internal fixation with displaced femoral neck fractures. Supportive psychotherapy in \"low-functioning\" patients, (home) rehabilitation programmes and nutritional supplementation appeared to have beneficial effects on HS. Conclusions Optimizing nutrition intake, (home) rehabilitation programmes, and the possibility for psychological counselling in patients with difficulties in the psychosocial dimensions would be recommended after hip fracture surgery. Besides HS questionnaires like EQ-5D and SF-36, adequate measurements like the WHOQOL-Bref or ICECAP-O are warranted in future studies regarding hip fracture surgery and postoperative treatment options.","author":[{"dropping-particle":"","family":"Peeters","given":"Charles M.M.","non-dropping-particle":"","parse-names":false,"suffix":""},{"dropping-particle":"","family":"Visser","given":"Eva","non-dropping-particle":"","parse-names":false,"suffix":""},{"dropping-particle":"","family":"Ree","given":"Cornelis L.P.","non-dropping-particle":"Van De","parse-names":false,"suffix":""},{"dropping-particle":"","family":"Gosens","given":"Taco","non-dropping-particle":"","parse-names":false,"suffix":""},{"dropping-particle":"","family":"Oudsten","given":"Brenda L.","non-dropping-particle":"Den","parse-names":false,"suffix":""},{"dropping-particle":"","family":"Vries","given":"Jolanda","non-dropping-particle":"De","parse-names":false,"suffix":""}],"container-title":"Injury","id":"ITEM-1","issue":"7","issued":{"date-parts":[["2016"]]},"page":"1369-1382","title":"Quality of life after hip fracture in the elderly: a systematic literature review","type":"article-journal","volume":"47"},"uris":["http://www.mendeley.com/documents/?uuid=e3dbb163-22b4-4b11-bcab-f346293eabc1"]}],"mendeley":{"formattedCitation":"&lt;sup&gt;&lt;sup&gt;5&lt;/sup&gt;&lt;/sup&gt;","plainTextFormattedCitation":"5","previouslyFormattedCitation":"&lt;sup&gt;&lt;sup&gt;5&lt;/sup&gt;&lt;/sup&gt;"},"properties":{"noteIndex":0},"schema":"https://github.com/citation-style-language/schema/raw/master/csl-citation.json"}</w:instrText>
      </w:r>
      <w:r w:rsidR="00D10767" w:rsidRPr="007B140B">
        <w:rPr>
          <w:rFonts w:ascii="Times New Roman" w:hAnsi="Times New Roman" w:cs="Times New Roman"/>
          <w:sz w:val="24"/>
          <w:szCs w:val="24"/>
          <w:lang w:val="en-US"/>
        </w:rPr>
        <w:fldChar w:fldCharType="separate"/>
      </w:r>
      <w:r w:rsidR="00C93DB4" w:rsidRPr="007B140B">
        <w:rPr>
          <w:rFonts w:ascii="Times New Roman" w:hAnsi="Times New Roman" w:cs="Times New Roman"/>
          <w:noProof/>
          <w:sz w:val="24"/>
          <w:szCs w:val="24"/>
          <w:vertAlign w:val="superscript"/>
          <w:lang w:val="en-US"/>
        </w:rPr>
        <w:t>5</w:t>
      </w:r>
      <w:r w:rsidR="00D10767" w:rsidRPr="007B140B">
        <w:rPr>
          <w:rFonts w:ascii="Times New Roman" w:hAnsi="Times New Roman" w:cs="Times New Roman"/>
          <w:sz w:val="24"/>
          <w:szCs w:val="24"/>
          <w:lang w:val="en-US"/>
        </w:rPr>
        <w:fldChar w:fldCharType="end"/>
      </w:r>
      <w:r w:rsidRPr="007B140B">
        <w:rPr>
          <w:rFonts w:ascii="Times New Roman" w:hAnsi="Times New Roman" w:cs="Times New Roman"/>
          <w:sz w:val="24"/>
          <w:szCs w:val="24"/>
          <w:lang w:val="en-US"/>
        </w:rPr>
        <w:t xml:space="preserve"> </w:t>
      </w:r>
      <w:r w:rsidR="0007373B" w:rsidRPr="007B140B">
        <w:rPr>
          <w:rFonts w:ascii="Times New Roman" w:hAnsi="Times New Roman" w:cs="Times New Roman"/>
          <w:sz w:val="24"/>
          <w:szCs w:val="24"/>
          <w:lang w:val="en-US"/>
        </w:rPr>
        <w:t>High mortality rates and reduced quality of life are also seen in patients with vertebral fracture</w:t>
      </w:r>
      <w:r w:rsidR="00EC4B0A" w:rsidRPr="007B140B">
        <w:rPr>
          <w:rFonts w:ascii="Times New Roman" w:hAnsi="Times New Roman" w:cs="Times New Roman"/>
          <w:sz w:val="24"/>
          <w:szCs w:val="24"/>
          <w:lang w:val="en-US"/>
        </w:rPr>
        <w:t>s</w:t>
      </w:r>
      <w:r w:rsidR="0007373B" w:rsidRPr="007B140B">
        <w:rPr>
          <w:rFonts w:ascii="Times New Roman" w:hAnsi="Times New Roman" w:cs="Times New Roman"/>
          <w:sz w:val="24"/>
          <w:szCs w:val="24"/>
          <w:lang w:val="en-US"/>
        </w:rPr>
        <w:t>.</w:t>
      </w:r>
      <w:r w:rsidR="0007373B" w:rsidRPr="007B140B">
        <w:rPr>
          <w:rFonts w:ascii="Times New Roman" w:hAnsi="Times New Roman" w:cs="Times New Roman"/>
          <w:sz w:val="24"/>
          <w:szCs w:val="24"/>
          <w:lang w:val="en-US"/>
        </w:rPr>
        <w:fldChar w:fldCharType="begin" w:fldLock="1"/>
      </w:r>
      <w:r w:rsidR="00C93DB4" w:rsidRPr="007B140B">
        <w:rPr>
          <w:rFonts w:ascii="Times New Roman" w:hAnsi="Times New Roman" w:cs="Times New Roman"/>
          <w:sz w:val="24"/>
          <w:szCs w:val="24"/>
          <w:lang w:val="en-US"/>
        </w:rPr>
        <w:instrText>ADDIN CSL_CITATION {"citationItems":[{"id":"ITEM-1","itemData":{"DOI":"10.1007/s00198-003-1412-5","ISBN":"0019800314125","ISSN":"0937941X","abstract":"Older persons who have prevalent vertebral fractures have an increased risk of mortality. It is not known whether incident vertebral fractures are also associated with an increased risk of mortality. To determine whether older women with incident vertebral fractures have an increased risk of mortality, we conducted a prospective cohort study of 7233 community-dwelling older women aged 65 years or older who were enrolled in the Study of Osteoporotic Fractures. We measured incident vertebral fractures by radiographic morphometry of paired lateral spine X-rays taken an average of 3.7 years apart. We also collected information on baseline prevalent vertebral fractures; calcaneal bone density; anthropometric measures; and demographic, medical history, and lifestyle variables. Overall mortality was assessed and confirmed by receipt of death certificates. Over an average of 3.7 years, 389 (5.4%) women developed at least one incident vertebral fracture. During an additional 8 years of follow-up, 1617 (22%) women died. Women with at least one new fracture had an age-adjusted 32% increased risk of mortality (RH = 1.32; 95% CI = 1.10-1.58, P = 0.003) compared to those without incident vertebral fractures. After adjustment for weight loss, physical frailty markers, and nine other predictors of mortality, there was no longer an independent association between incident vertebral fractures and mortality (RH = 1.06; 95% CI = 0.88 1.28). Older women with incident vertebral fractures have an increased risk of mortality that may be explained by weight loss and physical frailty.","author":[{"dropping-particle":"","family":"Kado","given":"D. M.","non-dropping-particle":"","parse-names":false,"suffix":""},{"dropping-particle":"","family":"Duong","given":"T.","non-dropping-particle":"","parse-names":false,"suffix":""},{"dropping-particle":"","family":"Stone","given":"K. L.","non-dropping-particle":"","parse-names":false,"suffix":""},{"dropping-particle":"","family":"Ensrud","given":"K. E.","non-dropping-particle":"","parse-names":false,"suffix":""},{"dropping-particle":"","family":"Nevitt","given":"M. C.","non-dropping-particle":"","parse-names":false,"suffix":""},{"dropping-particle":"","family":"Greendale","given":"G. A.","non-dropping-particle":"","parse-names":false,"suffix":""},{"dropping-particle":"","family":"Cummings","given":"S. R.","non-dropping-particle":"","parse-names":false,"suffix":""}],"container-title":"Osteoporosis International","id":"ITEM-1","issue":"7","issued":{"date-parts":[["2003"]]},"page":"589-594","title":"Incident vertebral fractures and mortality in older women: a prospective study","type":"article-journal","volume":"14"},"uris":["http://www.mendeley.com/documents/?uuid=197bfc68-584e-4d3d-aa15-f3cedc2cbf8d"]},{"id":"ITEM-2","itemData":{"DOI":"10.1007/s00198-015-3445-y","ISSN":"14332965","PMID":"26659067","abstract":"Summary: Vertebral compression fractures (VCF) cause pain and decreased physical ability, with no known well-established treatment. The aim of this study was to illuminate the experience of living with a VCF. The results show that fear and concerns are a major part of daily life. The women’s initial contact with health-care providers should focus on making them feel acknowledged by offering person-centered and tailored support. Introduction: In the past decade, osteoporotic-related fractures have become an increasingly common and costly public health problem worldwide. Vertebral compression fracture (VCF) is the second most common osteoporotic fracture, and patients with VCF describe an abrupt descent into disability, with a subsequent desire to regain independence in everyday life; however, little is known of their situation. The aim of this study was to illuminate the lived experience of women with an osteoporotic VCF. Methods: Ten women were interviewed during 2012–2013, starting with an open-ended question: could you tell me what it is like to live with a vertebral compression fracture? The verbatim transcribed interviews were analyzed using a phenomenological hermeneutical approach. Results: The narrative provided descriptions of living in turmoil and chaos, unable to find stability in their life with little improvement regarding pain and physical function. Shifts from periods of constant pain to periods of fear of constant pain created a loss of confidence and an increased sense of confinement. The structural analysis revealed fear and concerns as the most prominent experience building on five themes: struggling to understand a deceiving body, breakthrough pain fueling fear, fearing a trajectory into isolation, concerns of dependency, and fearing an uncertain future. Conclusions: Until researchers find a successful prevention or medical/surgical treatment for osteoporotic VCFs, health-care providers and society abandon these women to remain in a painful and never ending story.","author":[{"dropping-particle":"","family":"Svensson","given":"H. K.","non-dropping-particle":"","parse-names":false,"suffix":""},{"dropping-particle":"","family":"Olofsson","given":"E. H.","non-dropping-particle":"","parse-names":false,"suffix":""},{"dropping-particle":"","family":"Karlsson","given":"J.","non-dropping-particle":"","parse-names":false,"suffix":""},{"dropping-particle":"","family":"Hansson","given":"T.","non-dropping-particle":"","parse-names":false,"suffix":""},{"dropping-particle":"","family":"Olsson","given":"L. E.","non-dropping-particle":"","parse-names":false,"suffix":""}],"container-title":"Osteoporosis International","id":"ITEM-2","issue":"5","issued":{"date-parts":[["2016"]]},"page":"1729-1736","title":"A painful, never ending story: older women’s experiences of living with an osteoporotic vertebral compression fracture","type":"article-journal","volume":"27"},"uris":["http://www.mendeley.com/documents/?uuid=9bfa97a4-1c35-454e-92f9-96a838a33e07"]}],"mendeley":{"formattedCitation":"&lt;sup&gt;&lt;sup&gt;6&lt;/sup&gt;,&lt;sup&gt;7&lt;/sup&gt;&lt;/sup&gt;","plainTextFormattedCitation":"6,7","previouslyFormattedCitation":"&lt;sup&gt;&lt;sup&gt;6&lt;/sup&gt;,&lt;sup&gt;7&lt;/sup&gt;&lt;/sup&gt;"},"properties":{"noteIndex":0},"schema":"https://github.com/citation-style-language/schema/raw/master/csl-citation.json"}</w:instrText>
      </w:r>
      <w:r w:rsidR="0007373B" w:rsidRPr="007B140B">
        <w:rPr>
          <w:rFonts w:ascii="Times New Roman" w:hAnsi="Times New Roman" w:cs="Times New Roman"/>
          <w:sz w:val="24"/>
          <w:szCs w:val="24"/>
          <w:lang w:val="en-US"/>
        </w:rPr>
        <w:fldChar w:fldCharType="separate"/>
      </w:r>
      <w:r w:rsidR="00C93DB4" w:rsidRPr="007B140B">
        <w:rPr>
          <w:rFonts w:ascii="Times New Roman" w:hAnsi="Times New Roman" w:cs="Times New Roman"/>
          <w:noProof/>
          <w:sz w:val="24"/>
          <w:szCs w:val="24"/>
          <w:vertAlign w:val="superscript"/>
          <w:lang w:val="en-US"/>
        </w:rPr>
        <w:t>6,7</w:t>
      </w:r>
      <w:r w:rsidR="0007373B" w:rsidRPr="007B140B">
        <w:rPr>
          <w:rFonts w:ascii="Times New Roman" w:hAnsi="Times New Roman" w:cs="Times New Roman"/>
          <w:sz w:val="24"/>
          <w:szCs w:val="24"/>
          <w:lang w:val="en-US"/>
        </w:rPr>
        <w:fldChar w:fldCharType="end"/>
      </w:r>
      <w:r w:rsidR="0007373B" w:rsidRPr="007B140B">
        <w:rPr>
          <w:rFonts w:ascii="Times New Roman" w:hAnsi="Times New Roman" w:cs="Times New Roman"/>
          <w:sz w:val="24"/>
          <w:szCs w:val="24"/>
          <w:lang w:val="en-US"/>
        </w:rPr>
        <w:t xml:space="preserve"> </w:t>
      </w:r>
      <w:r w:rsidRPr="007B140B">
        <w:rPr>
          <w:rFonts w:ascii="Times New Roman" w:hAnsi="Times New Roman" w:cs="Times New Roman"/>
          <w:sz w:val="24"/>
          <w:szCs w:val="24"/>
          <w:lang w:val="en-US"/>
        </w:rPr>
        <w:t xml:space="preserve">Thus, </w:t>
      </w:r>
      <w:r w:rsidR="00B87759" w:rsidRPr="007B140B">
        <w:rPr>
          <w:rFonts w:ascii="Times New Roman" w:hAnsi="Times New Roman" w:cs="Times New Roman"/>
          <w:sz w:val="24"/>
          <w:szCs w:val="24"/>
          <w:lang w:val="en-US"/>
        </w:rPr>
        <w:t xml:space="preserve">hip and vertebral </w:t>
      </w:r>
      <w:r w:rsidRPr="007B140B">
        <w:rPr>
          <w:rFonts w:ascii="Times New Roman" w:hAnsi="Times New Roman" w:cs="Times New Roman"/>
          <w:sz w:val="24"/>
          <w:szCs w:val="24"/>
          <w:lang w:val="en-US"/>
        </w:rPr>
        <w:t xml:space="preserve">fractures are </w:t>
      </w:r>
      <w:r w:rsidR="006820CA" w:rsidRPr="007B140B">
        <w:rPr>
          <w:rFonts w:ascii="Times New Roman" w:hAnsi="Times New Roman" w:cs="Times New Roman"/>
          <w:sz w:val="24"/>
          <w:szCs w:val="24"/>
          <w:lang w:val="en-US"/>
        </w:rPr>
        <w:t>serious</w:t>
      </w:r>
      <w:r w:rsidRPr="007B140B">
        <w:rPr>
          <w:rFonts w:ascii="Times New Roman" w:hAnsi="Times New Roman" w:cs="Times New Roman"/>
          <w:sz w:val="24"/>
          <w:szCs w:val="24"/>
          <w:lang w:val="en-US"/>
        </w:rPr>
        <w:t xml:space="preserve"> threat</w:t>
      </w:r>
      <w:r w:rsidR="00B87759" w:rsidRPr="007B140B">
        <w:rPr>
          <w:rFonts w:ascii="Times New Roman" w:hAnsi="Times New Roman" w:cs="Times New Roman"/>
          <w:sz w:val="24"/>
          <w:szCs w:val="24"/>
          <w:lang w:val="en-US"/>
        </w:rPr>
        <w:t>s</w:t>
      </w:r>
      <w:r w:rsidRPr="007B140B">
        <w:rPr>
          <w:rFonts w:ascii="Times New Roman" w:hAnsi="Times New Roman" w:cs="Times New Roman"/>
          <w:sz w:val="24"/>
          <w:szCs w:val="24"/>
          <w:lang w:val="en-US"/>
        </w:rPr>
        <w:t xml:space="preserve"> to the health and independence of older people.</w:t>
      </w:r>
      <w:bookmarkEnd w:id="19"/>
    </w:p>
    <w:p w14:paraId="695D0224" w14:textId="11BC54FC" w:rsidR="007D7683" w:rsidRPr="007B140B" w:rsidRDefault="00572A08" w:rsidP="006B2481">
      <w:pPr>
        <w:rPr>
          <w:rFonts w:ascii="Times New Roman" w:hAnsi="Times New Roman" w:cs="Times New Roman"/>
          <w:sz w:val="24"/>
          <w:szCs w:val="24"/>
          <w:lang w:val="en-US"/>
        </w:rPr>
      </w:pPr>
      <w:bookmarkStart w:id="20" w:name="_Toc27746951"/>
      <w:r w:rsidRPr="007B140B">
        <w:rPr>
          <w:rFonts w:ascii="Times New Roman" w:hAnsi="Times New Roman" w:cs="Times New Roman"/>
          <w:sz w:val="24"/>
          <w:szCs w:val="24"/>
          <w:lang w:val="en-US"/>
        </w:rPr>
        <w:t xml:space="preserve">Despite the seriousness of hip and vertebral fractures, these do not constitute </w:t>
      </w:r>
      <w:r w:rsidR="00E1302B" w:rsidRPr="007B140B">
        <w:rPr>
          <w:rFonts w:ascii="Times New Roman" w:hAnsi="Times New Roman" w:cs="Times New Roman"/>
          <w:sz w:val="24"/>
          <w:szCs w:val="24"/>
          <w:lang w:val="en-US"/>
        </w:rPr>
        <w:t xml:space="preserve">the majority </w:t>
      </w:r>
      <w:r w:rsidR="001D65B3">
        <w:rPr>
          <w:rFonts w:ascii="Times New Roman" w:hAnsi="Times New Roman" w:cs="Times New Roman"/>
          <w:sz w:val="24"/>
          <w:szCs w:val="24"/>
          <w:lang w:val="en-US"/>
        </w:rPr>
        <w:t xml:space="preserve">of </w:t>
      </w:r>
      <w:r w:rsidR="00E1302B" w:rsidRPr="007B140B">
        <w:rPr>
          <w:rFonts w:ascii="Times New Roman" w:hAnsi="Times New Roman" w:cs="Times New Roman"/>
          <w:sz w:val="24"/>
          <w:szCs w:val="24"/>
          <w:lang w:val="en-US"/>
        </w:rPr>
        <w:t xml:space="preserve">fractures, </w:t>
      </w:r>
      <w:r w:rsidR="00E82A8C">
        <w:rPr>
          <w:rFonts w:ascii="Times New Roman" w:hAnsi="Times New Roman" w:cs="Times New Roman"/>
          <w:sz w:val="24"/>
          <w:szCs w:val="24"/>
          <w:lang w:val="en-US"/>
        </w:rPr>
        <w:t xml:space="preserve">as they </w:t>
      </w:r>
      <w:r w:rsidRPr="007B140B">
        <w:rPr>
          <w:rFonts w:ascii="Times New Roman" w:hAnsi="Times New Roman" w:cs="Times New Roman"/>
          <w:sz w:val="24"/>
          <w:szCs w:val="24"/>
          <w:lang w:val="en-US"/>
        </w:rPr>
        <w:t xml:space="preserve">occur in about 28,000 </w:t>
      </w:r>
      <w:r w:rsidR="009D32E3" w:rsidRPr="007B140B">
        <w:rPr>
          <w:rFonts w:ascii="Times New Roman" w:hAnsi="Times New Roman" w:cs="Times New Roman"/>
          <w:sz w:val="24"/>
          <w:szCs w:val="24"/>
          <w:lang w:val="en-US"/>
        </w:rPr>
        <w:t>persons</w:t>
      </w:r>
      <w:r w:rsidRPr="007B140B">
        <w:rPr>
          <w:rFonts w:ascii="Times New Roman" w:hAnsi="Times New Roman" w:cs="Times New Roman"/>
          <w:sz w:val="24"/>
          <w:szCs w:val="24"/>
          <w:lang w:val="en-US"/>
        </w:rPr>
        <w:t xml:space="preserve"> </w:t>
      </w:r>
      <w:r w:rsidR="002D0E30" w:rsidRPr="007B140B">
        <w:rPr>
          <w:rFonts w:ascii="Times New Roman" w:hAnsi="Times New Roman" w:cs="Times New Roman"/>
          <w:sz w:val="24"/>
          <w:szCs w:val="24"/>
          <w:lang w:val="en-US"/>
        </w:rPr>
        <w:t>per year</w:t>
      </w:r>
      <w:r w:rsidR="0038491C" w:rsidRPr="007B140B">
        <w:rPr>
          <w:rFonts w:ascii="Times New Roman" w:hAnsi="Times New Roman" w:cs="Times New Roman"/>
          <w:sz w:val="24"/>
          <w:szCs w:val="24"/>
          <w:lang w:val="en-US"/>
        </w:rPr>
        <w:t xml:space="preserve"> in Sweden</w:t>
      </w:r>
      <w:r w:rsidRPr="007B140B">
        <w:rPr>
          <w:rFonts w:ascii="Times New Roman" w:hAnsi="Times New Roman" w:cs="Times New Roman"/>
          <w:sz w:val="24"/>
          <w:szCs w:val="24"/>
          <w:lang w:val="en-US"/>
        </w:rPr>
        <w:t>.</w:t>
      </w:r>
      <w:r w:rsidR="00C93DB4" w:rsidRPr="007B140B">
        <w:rPr>
          <w:rFonts w:ascii="Times New Roman" w:hAnsi="Times New Roman" w:cs="Times New Roman"/>
          <w:sz w:val="24"/>
          <w:szCs w:val="24"/>
          <w:lang w:val="en-US"/>
        </w:rPr>
        <w:fldChar w:fldCharType="begin" w:fldLock="1"/>
      </w:r>
      <w:r w:rsidR="00C93DB4" w:rsidRPr="007B140B">
        <w:rPr>
          <w:rFonts w:ascii="Times New Roman" w:hAnsi="Times New Roman" w:cs="Times New Roman"/>
          <w:sz w:val="24"/>
          <w:szCs w:val="24"/>
          <w:lang w:val="en-US"/>
        </w:rPr>
        <w:instrText>ADDIN CSL_CITATION {"citationItems":[{"id":"ITEM-1","itemData":{"URL":"https://sdb.socialstyrelsen.se/if_par/val.aspx","accessed":{"date-parts":[["2019","11","29"]]},"author":[{"dropping-particle":"","family":"Socialstyrelsen","given":"","non-dropping-particle":"","parse-names":false,"suffix":""}],"id":"ITEM-1","issued":{"date-parts":[["0"]]},"title":"Statistikdatabas för diagnoser i sluten vården","type":"webpage"},"uris":["http://www.mendeley.com/documents/?uuid=fcc6edb4-14fd-445e-876b-94a6ab5adef9"]},{"id":"ITEM-2","itemData":{"URL":"https://sdb.socialstyrelsen.se/if_paro/val.aspx","accessed":{"date-parts":[["2019","11","29"]]},"author":[{"dropping-particle":"","family":"Socialstyrelsen","given":"","non-dropping-particle":"","parse-names":false,"suffix":""}],"id":"ITEM-2","issued":{"date-parts":[["0"]]},"title":"Statistikdatabas för diagnoser i specialiserad öppen vård","type":"webpage"},"uris":["http://www.mendeley.com/documents/?uuid=f611a9db-3aa2-47fc-b7d3-021146fe5df1"]}],"mendeley":{"formattedCitation":"&lt;sup&gt;&lt;sup&gt;1&lt;/sup&gt;,&lt;sup&gt;2&lt;/sup&gt;&lt;/sup&gt;","plainTextFormattedCitation":"1,2","previouslyFormattedCitation":"&lt;sup&gt;&lt;sup&gt;1&lt;/sup&gt;,&lt;sup&gt;2&lt;/sup&gt;&lt;/sup&gt;"},"properties":{"noteIndex":0},"schema":"https://github.com/citation-style-language/schema/raw/master/csl-citation.json"}</w:instrText>
      </w:r>
      <w:r w:rsidR="00C93DB4" w:rsidRPr="007B140B">
        <w:rPr>
          <w:rFonts w:ascii="Times New Roman" w:hAnsi="Times New Roman" w:cs="Times New Roman"/>
          <w:sz w:val="24"/>
          <w:szCs w:val="24"/>
          <w:lang w:val="en-US"/>
        </w:rPr>
        <w:fldChar w:fldCharType="separate"/>
      </w:r>
      <w:r w:rsidR="00C93DB4" w:rsidRPr="007B140B">
        <w:rPr>
          <w:rFonts w:ascii="Times New Roman" w:hAnsi="Times New Roman" w:cs="Times New Roman"/>
          <w:noProof/>
          <w:sz w:val="24"/>
          <w:szCs w:val="24"/>
          <w:vertAlign w:val="superscript"/>
          <w:lang w:val="en-US"/>
        </w:rPr>
        <w:t>1,2</w:t>
      </w:r>
      <w:r w:rsidR="00C93DB4" w:rsidRPr="007B140B">
        <w:rPr>
          <w:rFonts w:ascii="Times New Roman" w:hAnsi="Times New Roman" w:cs="Times New Roman"/>
          <w:sz w:val="24"/>
          <w:szCs w:val="24"/>
          <w:lang w:val="en-US"/>
        </w:rPr>
        <w:fldChar w:fldCharType="end"/>
      </w:r>
      <w:r w:rsidRPr="007B140B">
        <w:rPr>
          <w:rFonts w:ascii="Times New Roman" w:hAnsi="Times New Roman" w:cs="Times New Roman"/>
          <w:sz w:val="24"/>
          <w:szCs w:val="24"/>
          <w:lang w:val="en-US"/>
        </w:rPr>
        <w:t xml:space="preserve">  Far more common are fractures of the arm or lower leg, which occurred in about 58,000 people in Sweden</w:t>
      </w:r>
      <w:r w:rsidR="007D7683" w:rsidRPr="007B140B">
        <w:rPr>
          <w:rFonts w:ascii="Times New Roman" w:hAnsi="Times New Roman" w:cs="Times New Roman"/>
          <w:sz w:val="24"/>
          <w:szCs w:val="24"/>
          <w:lang w:val="en-US"/>
        </w:rPr>
        <w:t xml:space="preserve"> in 2017</w:t>
      </w:r>
      <w:r w:rsidRPr="007B140B">
        <w:rPr>
          <w:rFonts w:ascii="Times New Roman" w:hAnsi="Times New Roman" w:cs="Times New Roman"/>
          <w:sz w:val="24"/>
          <w:szCs w:val="24"/>
          <w:lang w:val="en-US"/>
        </w:rPr>
        <w:t>.</w:t>
      </w:r>
      <w:r w:rsidR="00C93DB4" w:rsidRPr="007B140B">
        <w:rPr>
          <w:rFonts w:ascii="Times New Roman" w:hAnsi="Times New Roman" w:cs="Times New Roman"/>
          <w:sz w:val="24"/>
          <w:szCs w:val="24"/>
          <w:lang w:val="en-US"/>
        </w:rPr>
        <w:fldChar w:fldCharType="begin" w:fldLock="1"/>
      </w:r>
      <w:r w:rsidR="00C93DB4" w:rsidRPr="007B140B">
        <w:rPr>
          <w:rFonts w:ascii="Times New Roman" w:hAnsi="Times New Roman" w:cs="Times New Roman"/>
          <w:sz w:val="24"/>
          <w:szCs w:val="24"/>
          <w:lang w:val="en-US"/>
        </w:rPr>
        <w:instrText>ADDIN CSL_CITATION {"citationItems":[{"id":"ITEM-1","itemData":{"URL":"https://sdb.socialstyrelsen.se/if_par/val.aspx","accessed":{"date-parts":[["2019","11","29"]]},"author":[{"dropping-particle":"","family":"Socialstyrelsen","given":"","non-dropping-particle":"","parse-names":false,"suffix":""}],"id":"ITEM-1","issued":{"date-parts":[["0"]]},"title":"Statistikdatabas för diagnoser i sluten vården","type":"webpage"},"uris":["http://www.mendeley.com/documents/?uuid=fcc6edb4-14fd-445e-876b-94a6ab5adef9"]},{"id":"ITEM-2","itemData":{"URL":"https://sdb.socialstyrelsen.se/if_paro/val.aspx","accessed":{"date-parts":[["2019","11","29"]]},"author":[{"dropping-particle":"","family":"Socialstyrelsen","given":"","non-dropping-particle":"","parse-names":false,"suffix":""}],"id":"ITEM-2","issued":{"date-parts":[["0"]]},"title":"Statistikdatabas för diagnoser i specialiserad öppen vård","type":"webpage"},"uris":["http://www.mendeley.com/documents/?uuid=f611a9db-3aa2-47fc-b7d3-021146fe5df1"]}],"mendeley":{"formattedCitation":"&lt;sup&gt;&lt;sup&gt;1&lt;/sup&gt;,&lt;sup&gt;2&lt;/sup&gt;&lt;/sup&gt;","plainTextFormattedCitation":"1,2","previouslyFormattedCitation":"&lt;sup&gt;&lt;sup&gt;1&lt;/sup&gt;,&lt;sup&gt;2&lt;/sup&gt;&lt;/sup&gt;"},"properties":{"noteIndex":0},"schema":"https://github.com/citation-style-language/schema/raw/master/csl-citation.json"}</w:instrText>
      </w:r>
      <w:r w:rsidR="00C93DB4" w:rsidRPr="007B140B">
        <w:rPr>
          <w:rFonts w:ascii="Times New Roman" w:hAnsi="Times New Roman" w:cs="Times New Roman"/>
          <w:sz w:val="24"/>
          <w:szCs w:val="24"/>
          <w:lang w:val="en-US"/>
        </w:rPr>
        <w:fldChar w:fldCharType="separate"/>
      </w:r>
      <w:r w:rsidR="00C93DB4" w:rsidRPr="007B140B">
        <w:rPr>
          <w:rFonts w:ascii="Times New Roman" w:hAnsi="Times New Roman" w:cs="Times New Roman"/>
          <w:noProof/>
          <w:sz w:val="24"/>
          <w:szCs w:val="24"/>
          <w:vertAlign w:val="superscript"/>
          <w:lang w:val="en-US"/>
        </w:rPr>
        <w:t>1,2</w:t>
      </w:r>
      <w:r w:rsidR="00C93DB4" w:rsidRPr="007B140B">
        <w:rPr>
          <w:rFonts w:ascii="Times New Roman" w:hAnsi="Times New Roman" w:cs="Times New Roman"/>
          <w:sz w:val="24"/>
          <w:szCs w:val="24"/>
          <w:lang w:val="en-US"/>
        </w:rPr>
        <w:fldChar w:fldCharType="end"/>
      </w:r>
      <w:r w:rsidRPr="007B140B">
        <w:rPr>
          <w:rFonts w:ascii="Times New Roman" w:hAnsi="Times New Roman" w:cs="Times New Roman"/>
          <w:sz w:val="24"/>
          <w:szCs w:val="24"/>
          <w:lang w:val="en-US"/>
        </w:rPr>
        <w:t xml:space="preserve"> Furthermore, according to government data we have on hand, individuals with a </w:t>
      </w:r>
      <w:r w:rsidR="00167839">
        <w:rPr>
          <w:rFonts w:ascii="Times New Roman" w:hAnsi="Times New Roman" w:cs="Times New Roman"/>
          <w:sz w:val="24"/>
          <w:szCs w:val="24"/>
          <w:lang w:val="en-US"/>
        </w:rPr>
        <w:t xml:space="preserve">previous </w:t>
      </w:r>
      <w:r w:rsidRPr="007B140B">
        <w:rPr>
          <w:rFonts w:ascii="Times New Roman" w:hAnsi="Times New Roman" w:cs="Times New Roman"/>
          <w:sz w:val="24"/>
          <w:szCs w:val="24"/>
          <w:lang w:val="en-US"/>
        </w:rPr>
        <w:t xml:space="preserve">fracture of the </w:t>
      </w:r>
      <w:r w:rsidR="00735931" w:rsidRPr="007B140B">
        <w:rPr>
          <w:rFonts w:ascii="Times New Roman" w:hAnsi="Times New Roman" w:cs="Times New Roman"/>
          <w:sz w:val="24"/>
          <w:szCs w:val="24"/>
          <w:lang w:val="en-US"/>
        </w:rPr>
        <w:t>arm or lower leg</w:t>
      </w:r>
      <w:r w:rsidR="00725E58" w:rsidRPr="007B140B">
        <w:rPr>
          <w:rFonts w:ascii="Times New Roman" w:hAnsi="Times New Roman" w:cs="Times New Roman"/>
          <w:sz w:val="24"/>
          <w:szCs w:val="24"/>
          <w:lang w:val="en-US"/>
        </w:rPr>
        <w:t xml:space="preserve"> have</w:t>
      </w:r>
      <w:r w:rsidRPr="007B140B">
        <w:rPr>
          <w:rFonts w:ascii="Times New Roman" w:hAnsi="Times New Roman" w:cs="Times New Roman"/>
          <w:sz w:val="24"/>
          <w:szCs w:val="24"/>
          <w:lang w:val="en-US"/>
        </w:rPr>
        <w:t xml:space="preserve"> 2.6 times </w:t>
      </w:r>
      <w:r w:rsidR="00735931" w:rsidRPr="007B140B">
        <w:rPr>
          <w:rFonts w:ascii="Times New Roman" w:hAnsi="Times New Roman" w:cs="Times New Roman"/>
          <w:sz w:val="24"/>
          <w:szCs w:val="24"/>
          <w:lang w:val="en-US"/>
        </w:rPr>
        <w:t>the</w:t>
      </w:r>
      <w:r w:rsidRPr="007B140B">
        <w:rPr>
          <w:rFonts w:ascii="Times New Roman" w:hAnsi="Times New Roman" w:cs="Times New Roman"/>
          <w:sz w:val="24"/>
          <w:szCs w:val="24"/>
          <w:lang w:val="en-US"/>
        </w:rPr>
        <w:t xml:space="preserve"> risk of </w:t>
      </w:r>
      <w:r w:rsidR="00735931" w:rsidRPr="007B140B">
        <w:rPr>
          <w:rFonts w:ascii="Times New Roman" w:hAnsi="Times New Roman" w:cs="Times New Roman"/>
          <w:sz w:val="24"/>
          <w:szCs w:val="24"/>
          <w:lang w:val="en-US"/>
        </w:rPr>
        <w:t>sustaining a</w:t>
      </w:r>
      <w:r w:rsidRPr="007B140B">
        <w:rPr>
          <w:rFonts w:ascii="Times New Roman" w:hAnsi="Times New Roman" w:cs="Times New Roman"/>
          <w:sz w:val="24"/>
          <w:szCs w:val="24"/>
          <w:lang w:val="en-US"/>
        </w:rPr>
        <w:t xml:space="preserve"> fracture </w:t>
      </w:r>
      <w:r w:rsidR="00735931" w:rsidRPr="007B140B">
        <w:rPr>
          <w:rFonts w:ascii="Times New Roman" w:hAnsi="Times New Roman" w:cs="Times New Roman"/>
          <w:sz w:val="24"/>
          <w:szCs w:val="24"/>
          <w:lang w:val="en-US"/>
        </w:rPr>
        <w:t xml:space="preserve">as </w:t>
      </w:r>
      <w:r w:rsidR="00725E58" w:rsidRPr="007B140B">
        <w:rPr>
          <w:rFonts w:ascii="Times New Roman" w:hAnsi="Times New Roman" w:cs="Times New Roman"/>
          <w:sz w:val="24"/>
          <w:szCs w:val="24"/>
          <w:lang w:val="en-US"/>
        </w:rPr>
        <w:t>do</w:t>
      </w:r>
      <w:r w:rsidR="00735931" w:rsidRPr="007B140B">
        <w:rPr>
          <w:rFonts w:ascii="Times New Roman" w:hAnsi="Times New Roman" w:cs="Times New Roman"/>
          <w:sz w:val="24"/>
          <w:szCs w:val="24"/>
          <w:lang w:val="en-US"/>
        </w:rPr>
        <w:t xml:space="preserve"> individuals without a </w:t>
      </w:r>
      <w:r w:rsidR="00167839">
        <w:rPr>
          <w:rFonts w:ascii="Times New Roman" w:hAnsi="Times New Roman" w:cs="Times New Roman"/>
          <w:sz w:val="24"/>
          <w:szCs w:val="24"/>
          <w:lang w:val="en-US"/>
        </w:rPr>
        <w:t xml:space="preserve">previous </w:t>
      </w:r>
      <w:r w:rsidR="00735931" w:rsidRPr="007B140B">
        <w:rPr>
          <w:rFonts w:ascii="Times New Roman" w:hAnsi="Times New Roman" w:cs="Times New Roman"/>
          <w:sz w:val="24"/>
          <w:szCs w:val="24"/>
          <w:lang w:val="en-US"/>
        </w:rPr>
        <w:t>fracture. The</w:t>
      </w:r>
      <w:r w:rsidRPr="007B140B">
        <w:rPr>
          <w:rFonts w:ascii="Times New Roman" w:hAnsi="Times New Roman" w:cs="Times New Roman"/>
          <w:sz w:val="24"/>
          <w:szCs w:val="24"/>
          <w:lang w:val="en-US"/>
        </w:rPr>
        <w:t xml:space="preserve"> data also show that fractures of the arm and lower leg occur at a mean age of 71 years, compared to 77 years for vertebral f</w:t>
      </w:r>
      <w:r w:rsidR="00735931" w:rsidRPr="007B140B">
        <w:rPr>
          <w:rFonts w:ascii="Times New Roman" w:hAnsi="Times New Roman" w:cs="Times New Roman"/>
          <w:sz w:val="24"/>
          <w:szCs w:val="24"/>
          <w:lang w:val="en-US"/>
        </w:rPr>
        <w:t>ractures</w:t>
      </w:r>
      <w:r w:rsidR="00725E58" w:rsidRPr="007B140B">
        <w:rPr>
          <w:rFonts w:ascii="Times New Roman" w:hAnsi="Times New Roman" w:cs="Times New Roman"/>
          <w:sz w:val="24"/>
          <w:szCs w:val="24"/>
          <w:lang w:val="en-US"/>
        </w:rPr>
        <w:t xml:space="preserve"> and 83 years for hip fractures</w:t>
      </w:r>
      <w:r w:rsidR="00735931" w:rsidRPr="007B140B">
        <w:rPr>
          <w:rFonts w:ascii="Times New Roman" w:hAnsi="Times New Roman" w:cs="Times New Roman"/>
          <w:sz w:val="24"/>
          <w:szCs w:val="24"/>
          <w:lang w:val="en-US"/>
        </w:rPr>
        <w:t xml:space="preserve">. These facts </w:t>
      </w:r>
      <w:r w:rsidR="007D7683" w:rsidRPr="007B140B">
        <w:rPr>
          <w:rFonts w:ascii="Times New Roman" w:hAnsi="Times New Roman" w:cs="Times New Roman"/>
          <w:sz w:val="24"/>
          <w:szCs w:val="24"/>
          <w:lang w:val="en-US"/>
        </w:rPr>
        <w:t>suggest that health ca</w:t>
      </w:r>
      <w:r w:rsidR="00F4434A" w:rsidRPr="007B140B">
        <w:rPr>
          <w:rFonts w:ascii="Times New Roman" w:hAnsi="Times New Roman" w:cs="Times New Roman"/>
          <w:sz w:val="24"/>
          <w:szCs w:val="24"/>
          <w:lang w:val="en-US"/>
        </w:rPr>
        <w:t>re professionals may be able to prevent</w:t>
      </w:r>
      <w:r w:rsidR="00EC4F8D" w:rsidRPr="007B140B">
        <w:rPr>
          <w:rFonts w:ascii="Times New Roman" w:hAnsi="Times New Roman" w:cs="Times New Roman"/>
          <w:sz w:val="24"/>
          <w:szCs w:val="24"/>
          <w:lang w:val="en-US"/>
        </w:rPr>
        <w:t xml:space="preserve"> </w:t>
      </w:r>
      <w:r w:rsidR="00936AC6" w:rsidRPr="007B140B">
        <w:rPr>
          <w:rFonts w:ascii="Times New Roman" w:hAnsi="Times New Roman" w:cs="Times New Roman"/>
          <w:sz w:val="24"/>
          <w:szCs w:val="24"/>
          <w:lang w:val="en-US"/>
        </w:rPr>
        <w:t>hip and vertebral fractures</w:t>
      </w:r>
      <w:r w:rsidR="0038491C" w:rsidRPr="007B140B">
        <w:rPr>
          <w:rFonts w:ascii="Times New Roman" w:hAnsi="Times New Roman" w:cs="Times New Roman"/>
          <w:sz w:val="24"/>
          <w:szCs w:val="24"/>
          <w:lang w:val="en-US"/>
        </w:rPr>
        <w:t xml:space="preserve"> </w:t>
      </w:r>
      <w:r w:rsidR="00936AC6" w:rsidRPr="007B140B">
        <w:rPr>
          <w:rFonts w:ascii="Times New Roman" w:hAnsi="Times New Roman" w:cs="Times New Roman"/>
          <w:sz w:val="24"/>
          <w:szCs w:val="24"/>
          <w:lang w:val="en-US"/>
        </w:rPr>
        <w:t>by t</w:t>
      </w:r>
      <w:r w:rsidR="00881DC2" w:rsidRPr="007B140B">
        <w:rPr>
          <w:rFonts w:ascii="Times New Roman" w:hAnsi="Times New Roman" w:cs="Times New Roman"/>
          <w:sz w:val="24"/>
          <w:szCs w:val="24"/>
          <w:lang w:val="en-US"/>
        </w:rPr>
        <w:t xml:space="preserve">argeting interventions to older adults </w:t>
      </w:r>
      <w:r w:rsidR="00936AC6" w:rsidRPr="007B140B">
        <w:rPr>
          <w:rFonts w:ascii="Times New Roman" w:hAnsi="Times New Roman" w:cs="Times New Roman"/>
          <w:sz w:val="24"/>
          <w:szCs w:val="24"/>
          <w:lang w:val="en-US"/>
        </w:rPr>
        <w:t xml:space="preserve">with </w:t>
      </w:r>
      <w:r w:rsidR="00E82A8C">
        <w:rPr>
          <w:rFonts w:ascii="Times New Roman" w:hAnsi="Times New Roman" w:cs="Times New Roman"/>
          <w:sz w:val="24"/>
          <w:szCs w:val="24"/>
          <w:lang w:val="en-US"/>
        </w:rPr>
        <w:t xml:space="preserve">a </w:t>
      </w:r>
      <w:r w:rsidR="00936AC6" w:rsidRPr="007B140B">
        <w:rPr>
          <w:rFonts w:ascii="Times New Roman" w:hAnsi="Times New Roman" w:cs="Times New Roman"/>
          <w:sz w:val="24"/>
          <w:szCs w:val="24"/>
          <w:lang w:val="en-US"/>
        </w:rPr>
        <w:t>non</w:t>
      </w:r>
      <w:r w:rsidR="007D7683" w:rsidRPr="007B140B">
        <w:rPr>
          <w:rFonts w:ascii="Times New Roman" w:hAnsi="Times New Roman" w:cs="Times New Roman"/>
          <w:sz w:val="24"/>
          <w:szCs w:val="24"/>
          <w:lang w:val="en-US"/>
        </w:rPr>
        <w:t>-hip, non-vertebral fracture.</w:t>
      </w:r>
    </w:p>
    <w:p w14:paraId="04CE67B0" w14:textId="3618403E" w:rsidR="0038240B" w:rsidRPr="007B140B" w:rsidRDefault="00767CB3" w:rsidP="0038240B">
      <w:pPr>
        <w:rPr>
          <w:rFonts w:ascii="Times New Roman" w:hAnsi="Times New Roman" w:cs="Times New Roman"/>
          <w:sz w:val="24"/>
          <w:szCs w:val="24"/>
          <w:lang w:val="en-US"/>
        </w:rPr>
      </w:pPr>
      <w:bookmarkStart w:id="21" w:name="_Toc27746952"/>
      <w:bookmarkEnd w:id="20"/>
      <w:r w:rsidRPr="007B140B">
        <w:rPr>
          <w:rFonts w:ascii="Times New Roman" w:hAnsi="Times New Roman" w:cs="Times New Roman"/>
          <w:sz w:val="24"/>
          <w:szCs w:val="24"/>
          <w:lang w:val="en-US"/>
        </w:rPr>
        <w:t>Bone-protective</w:t>
      </w:r>
      <w:r w:rsidR="00C51F55" w:rsidRPr="007B140B">
        <w:rPr>
          <w:rFonts w:ascii="Times New Roman" w:hAnsi="Times New Roman" w:cs="Times New Roman"/>
          <w:sz w:val="24"/>
          <w:szCs w:val="24"/>
          <w:lang w:val="en-US"/>
        </w:rPr>
        <w:t xml:space="preserve"> agents</w:t>
      </w:r>
      <w:r w:rsidR="00555CDC" w:rsidRPr="007B140B">
        <w:rPr>
          <w:rFonts w:ascii="Times New Roman" w:hAnsi="Times New Roman" w:cs="Times New Roman"/>
          <w:sz w:val="24"/>
          <w:szCs w:val="24"/>
          <w:lang w:val="en-US"/>
        </w:rPr>
        <w:t>, such as bisphosphonates,</w:t>
      </w:r>
      <w:r w:rsidR="00C51F55" w:rsidRPr="007B140B">
        <w:rPr>
          <w:rFonts w:ascii="Times New Roman" w:hAnsi="Times New Roman" w:cs="Times New Roman"/>
          <w:sz w:val="24"/>
          <w:szCs w:val="24"/>
          <w:lang w:val="en-US"/>
        </w:rPr>
        <w:t xml:space="preserve"> are currently available for reducing fracture risks</w:t>
      </w:r>
      <w:r w:rsidR="00572A08" w:rsidRPr="007B140B">
        <w:rPr>
          <w:rFonts w:ascii="Times New Roman" w:hAnsi="Times New Roman" w:cs="Times New Roman"/>
          <w:sz w:val="24"/>
          <w:szCs w:val="24"/>
          <w:lang w:val="en-US"/>
        </w:rPr>
        <w:t xml:space="preserve"> in older </w:t>
      </w:r>
      <w:r w:rsidR="00C51F55" w:rsidRPr="007B140B">
        <w:rPr>
          <w:rFonts w:ascii="Times New Roman" w:hAnsi="Times New Roman" w:cs="Times New Roman"/>
          <w:sz w:val="24"/>
          <w:szCs w:val="24"/>
          <w:lang w:val="en-US"/>
        </w:rPr>
        <w:t>adults</w:t>
      </w:r>
      <w:r w:rsidR="00572A08" w:rsidRPr="007B140B">
        <w:rPr>
          <w:rFonts w:ascii="Times New Roman" w:hAnsi="Times New Roman" w:cs="Times New Roman"/>
          <w:sz w:val="24"/>
          <w:szCs w:val="24"/>
          <w:lang w:val="en-US"/>
        </w:rPr>
        <w:t>.</w:t>
      </w:r>
      <w:r w:rsidR="00555CDC" w:rsidRPr="007B140B">
        <w:rPr>
          <w:rFonts w:ascii="Times New Roman" w:hAnsi="Times New Roman" w:cs="Times New Roman"/>
          <w:sz w:val="24"/>
          <w:szCs w:val="24"/>
          <w:lang w:val="en-US"/>
        </w:rPr>
        <w:fldChar w:fldCharType="begin" w:fldLock="1"/>
      </w:r>
      <w:r w:rsidR="00555CDC" w:rsidRPr="007B140B">
        <w:rPr>
          <w:rFonts w:ascii="Times New Roman" w:hAnsi="Times New Roman" w:cs="Times New Roman"/>
          <w:sz w:val="24"/>
          <w:szCs w:val="24"/>
          <w:lang w:val="en-US"/>
        </w:rPr>
        <w:instrText>ADDIN CSL_CITATION {"citationItems":[{"id":"ITEM-1","itemData":{"DOI":"https://doi.org/10.7326/M14-0317","ISBN":"0003-4819","ISSN":"15393704","PMID":"25199883","abstract":"BACKGROUND: Osteoporosis is a major contributor to the propensity to fracture among older adults, and various pharmaceuticals are available to treat it. PURPOSE: To update a review about the benefits and harms of pharmacologic treatments used to prevent fractures in adults at risk. DATA SOURCES: Multiple computerized databases were searched between 2 January 2005 and 4 March 2014 for English-language studies. STUDY SELECTION: Trials, observational studies, and systematic reviews. DATA EXTRACTION: Duplicate extraction and assessment of data about study characteristics, outcomes, and quality. DATA SYNTHESIS: From more than 52 000 titles screened, 315 articles were included in this update. There is high-strength evidence that bisphosphonates, denosumab, and teriparatide reduce fractures compared with placebo, with relative risk reductions from 0.40 to 0.60 for vertebral fractures and 0.60 to 0.80 for nonvertebral fractures. Raloxifene has been shown in placebo-controlled trials to reduce only vertebral fractures. Since 2007, there is a newly recognized adverse event of bisphosphonate use: atypical subtrochanteric femur fracture. Gastrointestinal side effects, hot flashes, thromboembolic events, and infections vary among drugs. LIMITATIONS: Few studies have directly compared drugs used to treat osteoporosis. Data in men are very sparse. Costs were not assessed. CONCLUSION: Good-quality evidence supports that several medications for bone density in osteoporotic range and/or preexisting hip or vertebral fracture reduce fracture risk. Side effects vary among drugs, and the comparative effectiveness of the drugs is unclear. PRIMARY FUNDING SOURCE: Agency for Healthcare Research and Quality and RAND Corporation.","author":[{"dropping-particle":"","family":"Crandall","given":"Carolyn J.","non-dropping-particle":"","parse-names":false,"suffix":""},{"dropping-particle":"","family":"Newberry","given":"Sydne J.","non-dropping-particle":"","parse-names":false,"suffix":""},{"dropping-particle":"","family":"Diamant","given":"Allison","non-dropping-particle":"","parse-names":false,"suffix":""},{"dropping-particle":"","family":"Lim","given":"Yee Wei","non-dropping-particle":"","parse-names":false,"suffix":""},{"dropping-particle":"","family":"Gellad","given":"Walid F.","non-dropping-particle":"","parse-names":false,"suffix":""},{"dropping-particle":"","family":"Booth","given":"Marika J.","non-dropping-particle":"","parse-names":false,"suffix":""},{"dropping-particle":"","family":"Motala","given":"Aneesa","non-dropping-particle":"","parse-names":false,"suffix":""},{"dropping-particle":"","family":"Shekelle","given":"Paul G.","non-dropping-particle":"","parse-names":false,"suffix":""}],"container-title":"Annals of Internal Medicine","id":"ITEM-1","issue":"10","issued":{"date-parts":[["2014"]]},"page":"711-723","title":"Comparative effectiveness of pharmacologic treatments to prevent fractures: an updated systematic review","type":"article-journal","volume":"161"},"uris":["http://www.mendeley.com/documents/?uuid=b3ee6a31-7a74-4c50-8e8f-ba611309cd89"]}],"mendeley":{"formattedCitation":"&lt;sup&gt;&lt;sup&gt;8&lt;/sup&gt;&lt;/sup&gt;","plainTextFormattedCitation":"8","previouslyFormattedCitation":"&lt;sup&gt;&lt;sup&gt;8&lt;/sup&gt;&lt;/sup&gt;"},"properties":{"noteIndex":0},"schema":"https://github.com/citation-style-language/schema/raw/master/csl-citation.json"}</w:instrText>
      </w:r>
      <w:r w:rsidR="00555CDC" w:rsidRPr="007B140B">
        <w:rPr>
          <w:rFonts w:ascii="Times New Roman" w:hAnsi="Times New Roman" w:cs="Times New Roman"/>
          <w:sz w:val="24"/>
          <w:szCs w:val="24"/>
          <w:lang w:val="en-US"/>
        </w:rPr>
        <w:fldChar w:fldCharType="separate"/>
      </w:r>
      <w:r w:rsidR="00555CDC" w:rsidRPr="007B140B">
        <w:rPr>
          <w:rFonts w:ascii="Times New Roman" w:hAnsi="Times New Roman" w:cs="Times New Roman"/>
          <w:noProof/>
          <w:sz w:val="24"/>
          <w:szCs w:val="24"/>
          <w:vertAlign w:val="superscript"/>
          <w:lang w:val="en-US"/>
        </w:rPr>
        <w:t>8</w:t>
      </w:r>
      <w:r w:rsidR="00555CDC" w:rsidRPr="007B140B">
        <w:rPr>
          <w:rFonts w:ascii="Times New Roman" w:hAnsi="Times New Roman" w:cs="Times New Roman"/>
          <w:sz w:val="24"/>
          <w:szCs w:val="24"/>
          <w:lang w:val="en-US"/>
        </w:rPr>
        <w:fldChar w:fldCharType="end"/>
      </w:r>
      <w:r w:rsidR="00572A08" w:rsidRPr="007B140B">
        <w:rPr>
          <w:rFonts w:ascii="Times New Roman" w:hAnsi="Times New Roman" w:cs="Times New Roman"/>
          <w:sz w:val="24"/>
          <w:szCs w:val="24"/>
          <w:lang w:val="en-US"/>
        </w:rPr>
        <w:t xml:space="preserve"> </w:t>
      </w:r>
      <w:r w:rsidR="00C51F55" w:rsidRPr="007B140B">
        <w:rPr>
          <w:rFonts w:ascii="Times New Roman" w:hAnsi="Times New Roman" w:cs="Times New Roman"/>
          <w:sz w:val="24"/>
          <w:szCs w:val="24"/>
          <w:lang w:val="en-US"/>
        </w:rPr>
        <w:t xml:space="preserve">However, the efficacy of </w:t>
      </w:r>
      <w:r w:rsidR="00555CDC" w:rsidRPr="007B140B">
        <w:rPr>
          <w:rFonts w:ascii="Times New Roman" w:hAnsi="Times New Roman" w:cs="Times New Roman"/>
          <w:sz w:val="24"/>
          <w:szCs w:val="24"/>
          <w:lang w:val="en-US"/>
        </w:rPr>
        <w:t>these agents</w:t>
      </w:r>
      <w:r w:rsidR="00572A08" w:rsidRPr="007B140B">
        <w:rPr>
          <w:rFonts w:ascii="Times New Roman" w:hAnsi="Times New Roman" w:cs="Times New Roman"/>
          <w:sz w:val="24"/>
          <w:szCs w:val="24"/>
          <w:lang w:val="en-US"/>
        </w:rPr>
        <w:t xml:space="preserve"> </w:t>
      </w:r>
      <w:r w:rsidR="00D702B7" w:rsidRPr="007B140B">
        <w:rPr>
          <w:rFonts w:ascii="Times New Roman" w:hAnsi="Times New Roman" w:cs="Times New Roman"/>
          <w:sz w:val="24"/>
          <w:szCs w:val="24"/>
          <w:lang w:val="en-US"/>
        </w:rPr>
        <w:t xml:space="preserve">after a fracture has not been studied </w:t>
      </w:r>
      <w:r w:rsidR="00686840" w:rsidRPr="007B140B">
        <w:rPr>
          <w:rFonts w:ascii="Times New Roman" w:hAnsi="Times New Roman" w:cs="Times New Roman"/>
          <w:sz w:val="24"/>
          <w:szCs w:val="24"/>
          <w:lang w:val="en-US"/>
        </w:rPr>
        <w:t xml:space="preserve">in clinical trials </w:t>
      </w:r>
      <w:r w:rsidR="00D702B7" w:rsidRPr="007B140B">
        <w:rPr>
          <w:rFonts w:ascii="Times New Roman" w:hAnsi="Times New Roman" w:cs="Times New Roman"/>
          <w:sz w:val="24"/>
          <w:szCs w:val="24"/>
          <w:lang w:val="en-US"/>
        </w:rPr>
        <w:t>other than after a hip or vertebral fracture.</w:t>
      </w:r>
      <w:r w:rsidR="0092653F" w:rsidRPr="007B140B">
        <w:rPr>
          <w:rFonts w:ascii="Times New Roman" w:hAnsi="Times New Roman" w:cs="Times New Roman"/>
          <w:sz w:val="24"/>
          <w:szCs w:val="24"/>
          <w:lang w:val="en-US"/>
        </w:rPr>
        <w:fldChar w:fldCharType="begin" w:fldLock="1"/>
      </w:r>
      <w:r w:rsidR="00553784" w:rsidRPr="007B140B">
        <w:rPr>
          <w:rFonts w:ascii="Times New Roman" w:hAnsi="Times New Roman" w:cs="Times New Roman"/>
          <w:sz w:val="24"/>
          <w:szCs w:val="24"/>
          <w:lang w:val="en-US"/>
        </w:rPr>
        <w:instrText>ADDIN CSL_CITATION {"citationItems":[{"id":"ITEM-1","itemData":{"abstract":"To update a 2007 systematic review on the effectiveness and safety of treatments to prevent fractures in persons with low bone density or osteoporosis and factors affecting adherence to these treatments, and to assess whether monitoring helps identify those most likely to benefit from treatment and the benefits of long-term treatment. MEDLINE(R), Embase, the Cochrane Database of Systematic Reviews, and Clinical Trials.gov were searched from January 2005 through March 2011. After review by two investigators against predetermined inclusion/exclusion criteria, we included existing systematic reviews, randomized controlled clinical trials, and large observational studies, where appropriate, for assessment of treatment efficacy, safety, and adherence. Alendronate, risedronate, zoledronic acid, denosumab, and teriparatide reduce the risk of vertebral and nonvertebral fractures among postmenopausal women with osteoporosis. Ibandronate and raloxifene reduce the risk of vertebral but not nonvertebral fractures. Alendronate, risedronate, zoledronic acid, and denosumab prevent hip fractures among postmenopausal women with osteoporosis. Risedronate decreases the risk of vertebral and nonvertebral fracture among men with osteoporosis. Among those treated with glucocorticoids, fracture risk reduction was demonstrated for risedronate and alendronate compared to placebo; and for teriparatide compared to alendronate. Few studies have compared osteoporosis therapies head-to-head. Adherence to pharmacotherapy is poor in patients with osteoporosis, as with other chronic conditions. Many factors affect adherence to medications, including dosing frequency, side effects of medications, knowledge about osteoporosis, and cost. Age, prior history of fracture, and concomitant medication use do not appear to have an independent association with adherence. Dosing frequency appears to affect adherence: Adherence is improved with weekly compared to daily regimens, but evidence is lacking to show that monthly regimens improve adherence over that of weekly regimens. Decreased adherence to bisphosphonates is associated with less than optimal reduction in the risk of fracture. Insufficient evidence is available to make conclusions about how adherence to and persistence with newer osteoporosis therapies compare to that with bisphosphonates. Assessment of adverse effects finds that raloxifene is associated with an increased risk for pulmonary embolism and vasomotor flushing; and limited da…","author":[{"dropping-particle":"","family":"Crandall","given":"Carolyn J.","non-dropping-particle":"","parse-names":false,"suffix":""},{"dropping-particle":"","family":"Newberry","given":"Sydne J.","non-dropping-particle":"","parse-names":false,"suffix":""},{"dropping-particle":"","family":"Diamant","given":"Allison","non-dropping-particle":"","parse-names":false,"suffix":""},{"dropping-particle":"","family":"Lim","given":"Yee-Wei","non-dropping-particle":"","parse-names":false,"suffix":""},{"dropping-particle":"","family":"Gellad","given":"Walid F.","non-dropping-particle":"","parse-names":false,"suffix":""},{"dropping-particle":"","family":"Suttorp","given":"Marika J.","non-dropping-particle":"","parse-names":false,"suffix":""},{"dropping-particle":"","family":"Motala","given":"Aneesa","non-dropping-particle":"","parse-names":false,"suffix":""},{"dropping-particle":"","family":"Ewing","given":"Brett","non-dropping-particle":"","parse-names":false,"suffix":""},{"dropping-particle":"","family":"Roth","given":"Beth","non-dropping-particle":"","parse-names":false,"suffix":""},{"dropping-particle":"","family":"Shanman","given":"Roberta","non-dropping-particle":"","parse-names":false,"suffix":""},{"dropping-particle":"","family":"Timmer","given":"Martha","non-dropping-particle":"","parse-names":false,"suffix":""},{"dropping-particle":"","family":"Shekelle","given":"Paul G.","non-dropping-particle":"","parse-names":false,"suffix":""}],"id":"ITEM-1","issued":{"date-parts":[["2012"]]},"publisher":"Agency for Healthcare Research and Quality","publisher-place":"Rockville","title":"Treatment to prevent fractures in men and women with low bone density or osteoporosis: update of a 2007 report","type":"book"},"uris":["http://www.mendeley.com/documents/?uuid=3fc2648b-9bcc-4b66-894d-acda117609d5"]}],"mendeley":{"formattedCitation":"&lt;sup&gt;&lt;sup&gt;9&lt;/sup&gt;&lt;/sup&gt;","plainTextFormattedCitation":"9","previouslyFormattedCitation":"&lt;sup&gt;&lt;sup&gt;9&lt;/sup&gt;&lt;/sup&gt;"},"properties":{"noteIndex":0},"schema":"https://github.com/citation-style-language/schema/raw/master/csl-citation.json"}</w:instrText>
      </w:r>
      <w:r w:rsidR="0092653F" w:rsidRPr="007B140B">
        <w:rPr>
          <w:rFonts w:ascii="Times New Roman" w:hAnsi="Times New Roman" w:cs="Times New Roman"/>
          <w:sz w:val="24"/>
          <w:szCs w:val="24"/>
          <w:lang w:val="en-US"/>
        </w:rPr>
        <w:fldChar w:fldCharType="separate"/>
      </w:r>
      <w:r w:rsidR="00555CDC" w:rsidRPr="007B140B">
        <w:rPr>
          <w:rFonts w:ascii="Times New Roman" w:hAnsi="Times New Roman" w:cs="Times New Roman"/>
          <w:noProof/>
          <w:sz w:val="24"/>
          <w:szCs w:val="24"/>
          <w:vertAlign w:val="superscript"/>
          <w:lang w:val="en-US"/>
        </w:rPr>
        <w:t>9</w:t>
      </w:r>
      <w:r w:rsidR="0092653F" w:rsidRPr="007B140B">
        <w:rPr>
          <w:rFonts w:ascii="Times New Roman" w:hAnsi="Times New Roman" w:cs="Times New Roman"/>
          <w:sz w:val="24"/>
          <w:szCs w:val="24"/>
          <w:lang w:val="en-US"/>
        </w:rPr>
        <w:fldChar w:fldCharType="end"/>
      </w:r>
      <w:r w:rsidR="0092653F" w:rsidRPr="007B140B">
        <w:rPr>
          <w:rFonts w:ascii="Times New Roman" w:hAnsi="Times New Roman" w:cs="Times New Roman"/>
          <w:sz w:val="24"/>
          <w:szCs w:val="24"/>
          <w:lang w:val="en-US"/>
        </w:rPr>
        <w:t xml:space="preserve"> </w:t>
      </w:r>
      <w:r w:rsidR="00D702B7" w:rsidRPr="007B140B">
        <w:rPr>
          <w:rFonts w:ascii="Times New Roman" w:hAnsi="Times New Roman" w:cs="Times New Roman"/>
          <w:sz w:val="24"/>
          <w:szCs w:val="24"/>
          <w:lang w:val="en-US"/>
        </w:rPr>
        <w:t xml:space="preserve"> </w:t>
      </w:r>
      <w:r w:rsidR="0092653F" w:rsidRPr="007B140B">
        <w:rPr>
          <w:rFonts w:ascii="Times New Roman" w:hAnsi="Times New Roman" w:cs="Times New Roman"/>
          <w:sz w:val="24"/>
          <w:szCs w:val="24"/>
          <w:lang w:val="en-US"/>
        </w:rPr>
        <w:t xml:space="preserve">Most trials have recruited participants on the basis of osteoporosis or low </w:t>
      </w:r>
      <w:r w:rsidR="00C51F55" w:rsidRPr="007B140B">
        <w:rPr>
          <w:rFonts w:ascii="Times New Roman" w:hAnsi="Times New Roman" w:cs="Times New Roman"/>
          <w:sz w:val="24"/>
          <w:szCs w:val="24"/>
          <w:lang w:val="en-US"/>
        </w:rPr>
        <w:t>bone density</w:t>
      </w:r>
      <w:r w:rsidR="0092653F" w:rsidRPr="007B140B">
        <w:rPr>
          <w:rFonts w:ascii="Times New Roman" w:hAnsi="Times New Roman" w:cs="Times New Roman"/>
          <w:sz w:val="24"/>
          <w:szCs w:val="24"/>
          <w:lang w:val="en-US"/>
        </w:rPr>
        <w:t xml:space="preserve"> (with or without a vertebral fracture)</w:t>
      </w:r>
      <w:r w:rsidR="00C51F55" w:rsidRPr="007B140B">
        <w:rPr>
          <w:rFonts w:ascii="Times New Roman" w:hAnsi="Times New Roman" w:cs="Times New Roman"/>
          <w:sz w:val="24"/>
          <w:szCs w:val="24"/>
          <w:lang w:val="en-US"/>
        </w:rPr>
        <w:t>,</w:t>
      </w:r>
      <w:r w:rsidR="005724D0" w:rsidRPr="007B140B">
        <w:rPr>
          <w:rFonts w:ascii="Times New Roman" w:hAnsi="Times New Roman" w:cs="Times New Roman"/>
          <w:sz w:val="24"/>
          <w:szCs w:val="24"/>
          <w:lang w:val="en-US"/>
        </w:rPr>
        <w:fldChar w:fldCharType="begin" w:fldLock="1"/>
      </w:r>
      <w:r w:rsidR="00553784" w:rsidRPr="007B140B">
        <w:rPr>
          <w:rFonts w:ascii="Times New Roman" w:hAnsi="Times New Roman" w:cs="Times New Roman"/>
          <w:sz w:val="24"/>
          <w:szCs w:val="24"/>
          <w:lang w:val="en-US"/>
        </w:rPr>
        <w:instrText>ADDIN CSL_CITATION {"citationItems":[{"id":"ITEM-1","itemData":{"abstract":"To update a 2007 systematic review on the effectiveness and safety of treatments to prevent fractures in persons with low bone density or osteoporosis and factors affecting adherence to these treatments, and to assess whether monitoring helps identify those most likely to benefit from treatment and the benefits of long-term treatment. MEDLINE(R), Embase, the Cochrane Database of Systematic Reviews, and Clinical Trials.gov were searched from January 2005 through March 2011. After review by two investigators against predetermined inclusion/exclusion criteria, we included existing systematic reviews, randomized controlled clinical trials, and large observational studies, where appropriate, for assessment of treatment efficacy, safety, and adherence. Alendronate, risedronate, zoledronic acid, denosumab, and teriparatide reduce the risk of vertebral and nonvertebral fractures among postmenopausal women with osteoporosis. Ibandronate and raloxifene reduce the risk of vertebral but not nonvertebral fractures. Alendronate, risedronate, zoledronic acid, and denosumab prevent hip fractures among postmenopausal women with osteoporosis. Risedronate decreases the risk of vertebral and nonvertebral fracture among men with osteoporosis. Among those treated with glucocorticoids, fracture risk reduction was demonstrated for risedronate and alendronate compared to placebo; and for teriparatide compared to alendronate. Few studies have compared osteoporosis therapies head-to-head. Adherence to pharmacotherapy is poor in patients with osteoporosis, as with other chronic conditions. Many factors affect adherence to medications, including dosing frequency, side effects of medications, knowledge about osteoporosis, and cost. Age, prior history of fracture, and concomitant medication use do not appear to have an independent association with adherence. Dosing frequency appears to affect adherence: Adherence is improved with weekly compared to daily regimens, but evidence is lacking to show that monthly regimens improve adherence over that of weekly regimens. Decreased adherence to bisphosphonates is associated with less than optimal reduction in the risk of fracture. Insufficient evidence is available to make conclusions about how adherence to and persistence with newer osteoporosis therapies compare to that with bisphosphonates. Assessment of adverse effects finds that raloxifene is associated with an increased risk for pulmonary embolism and vasomotor flushing; and limited da…","author":[{"dropping-particle":"","family":"Crandall","given":"Carolyn J.","non-dropping-particle":"","parse-names":false,"suffix":""},{"dropping-particle":"","family":"Newberry","given":"Sydne J.","non-dropping-particle":"","parse-names":false,"suffix":""},{"dropping-particle":"","family":"Diamant","given":"Allison","non-dropping-particle":"","parse-names":false,"suffix":""},{"dropping-particle":"","family":"Lim","given":"Yee-Wei","non-dropping-particle":"","parse-names":false,"suffix":""},{"dropping-particle":"","family":"Gellad","given":"Walid F.","non-dropping-particle":"","parse-names":false,"suffix":""},{"dropping-particle":"","family":"Suttorp","given":"Marika J.","non-dropping-particle":"","parse-names":false,"suffix":""},{"dropping-particle":"","family":"Motala","given":"Aneesa","non-dropping-particle":"","parse-names":false,"suffix":""},{"dropping-particle":"","family":"Ewing","given":"Brett","non-dropping-particle":"","parse-names":false,"suffix":""},{"dropping-particle":"","family":"Roth","given":"Beth","non-dropping-particle":"","parse-names":false,"suffix":""},{"dropping-particle":"","family":"Shanman","given":"Roberta","non-dropping-particle":"","parse-names":false,"suffix":""},{"dropping-particle":"","family":"Timmer","given":"Martha","non-dropping-particle":"","parse-names":false,"suffix":""},{"dropping-particle":"","family":"Shekelle","given":"Paul G.","non-dropping-particle":"","parse-names":false,"suffix":""}],"id":"ITEM-1","issued":{"date-parts":[["2012"]]},"publisher":"Agency for Healthcare Research and Quality","publisher-place":"Rockville","title":"Treatment to prevent fractures in men and women with low bone density or osteoporosis: update of a 2007 report","type":"book"},"uris":["http://www.mendeley.com/documents/?uuid=3fc2648b-9bcc-4b66-894d-acda117609d5"]}],"mendeley":{"formattedCitation":"&lt;sup&gt;&lt;sup&gt;9&lt;/sup&gt;&lt;/sup&gt;","plainTextFormattedCitation":"9","previouslyFormattedCitation":"&lt;sup&gt;&lt;sup&gt;9&lt;/sup&gt;&lt;/sup&gt;"},"properties":{"noteIndex":0},"schema":"https://github.com/citation-style-language/schema/raw/master/csl-citation.json"}</w:instrText>
      </w:r>
      <w:r w:rsidR="005724D0" w:rsidRPr="007B140B">
        <w:rPr>
          <w:rFonts w:ascii="Times New Roman" w:hAnsi="Times New Roman" w:cs="Times New Roman"/>
          <w:sz w:val="24"/>
          <w:szCs w:val="24"/>
          <w:lang w:val="en-US"/>
        </w:rPr>
        <w:fldChar w:fldCharType="separate"/>
      </w:r>
      <w:r w:rsidR="00555CDC" w:rsidRPr="007B140B">
        <w:rPr>
          <w:rFonts w:ascii="Times New Roman" w:hAnsi="Times New Roman" w:cs="Times New Roman"/>
          <w:noProof/>
          <w:sz w:val="24"/>
          <w:szCs w:val="24"/>
          <w:vertAlign w:val="superscript"/>
          <w:lang w:val="en-US"/>
        </w:rPr>
        <w:t>9</w:t>
      </w:r>
      <w:r w:rsidR="005724D0" w:rsidRPr="007B140B">
        <w:rPr>
          <w:rFonts w:ascii="Times New Roman" w:hAnsi="Times New Roman" w:cs="Times New Roman"/>
          <w:sz w:val="24"/>
          <w:szCs w:val="24"/>
          <w:lang w:val="en-US"/>
        </w:rPr>
        <w:fldChar w:fldCharType="end"/>
      </w:r>
      <w:r w:rsidR="0092653F" w:rsidRPr="007B140B">
        <w:rPr>
          <w:rFonts w:ascii="Times New Roman" w:hAnsi="Times New Roman" w:cs="Times New Roman"/>
          <w:sz w:val="24"/>
          <w:szCs w:val="24"/>
          <w:lang w:val="en-US"/>
        </w:rPr>
        <w:t xml:space="preserve"> but</w:t>
      </w:r>
      <w:r w:rsidR="004252C9" w:rsidRPr="007B140B">
        <w:rPr>
          <w:rFonts w:ascii="Times New Roman" w:hAnsi="Times New Roman" w:cs="Times New Roman"/>
          <w:sz w:val="24"/>
          <w:szCs w:val="24"/>
          <w:lang w:val="en-US"/>
        </w:rPr>
        <w:t xml:space="preserve"> </w:t>
      </w:r>
      <w:r w:rsidR="001B43B7" w:rsidRPr="007B140B">
        <w:rPr>
          <w:rFonts w:ascii="Times New Roman" w:hAnsi="Times New Roman" w:cs="Times New Roman"/>
          <w:sz w:val="24"/>
          <w:szCs w:val="24"/>
          <w:lang w:val="en-US"/>
        </w:rPr>
        <w:t xml:space="preserve">this approach has </w:t>
      </w:r>
      <w:r w:rsidR="0092653F" w:rsidRPr="007B140B">
        <w:rPr>
          <w:rFonts w:ascii="Times New Roman" w:hAnsi="Times New Roman" w:cs="Times New Roman"/>
          <w:sz w:val="24"/>
          <w:szCs w:val="24"/>
          <w:lang w:val="en-US"/>
        </w:rPr>
        <w:t xml:space="preserve">the disadvantage </w:t>
      </w:r>
      <w:r w:rsidR="004252C9" w:rsidRPr="007B140B">
        <w:rPr>
          <w:rFonts w:ascii="Times New Roman" w:hAnsi="Times New Roman" w:cs="Times New Roman"/>
          <w:sz w:val="24"/>
          <w:szCs w:val="24"/>
          <w:lang w:val="en-US"/>
        </w:rPr>
        <w:t xml:space="preserve">that </w:t>
      </w:r>
      <w:r w:rsidR="0092653F" w:rsidRPr="007B140B">
        <w:rPr>
          <w:rFonts w:ascii="Times New Roman" w:hAnsi="Times New Roman" w:cs="Times New Roman"/>
          <w:sz w:val="24"/>
          <w:szCs w:val="24"/>
          <w:lang w:val="en-US"/>
        </w:rPr>
        <w:t>physicians</w:t>
      </w:r>
      <w:r w:rsidR="001B43B7" w:rsidRPr="007B140B">
        <w:rPr>
          <w:rFonts w:ascii="Times New Roman" w:hAnsi="Times New Roman" w:cs="Times New Roman"/>
          <w:sz w:val="24"/>
          <w:szCs w:val="24"/>
          <w:lang w:val="en-US"/>
        </w:rPr>
        <w:t xml:space="preserve"> </w:t>
      </w:r>
      <w:r w:rsidR="0092653F" w:rsidRPr="007B140B">
        <w:rPr>
          <w:rFonts w:ascii="Times New Roman" w:hAnsi="Times New Roman" w:cs="Times New Roman"/>
          <w:sz w:val="24"/>
          <w:szCs w:val="24"/>
          <w:lang w:val="en-US"/>
        </w:rPr>
        <w:t xml:space="preserve">often </w:t>
      </w:r>
      <w:r w:rsidR="00190803" w:rsidRPr="007B140B">
        <w:rPr>
          <w:rFonts w:ascii="Times New Roman" w:hAnsi="Times New Roman" w:cs="Times New Roman"/>
          <w:sz w:val="24"/>
          <w:szCs w:val="24"/>
          <w:lang w:val="en-US"/>
        </w:rPr>
        <w:t xml:space="preserve">have </w:t>
      </w:r>
      <w:r w:rsidR="0092653F" w:rsidRPr="007B140B">
        <w:rPr>
          <w:rFonts w:ascii="Times New Roman" w:hAnsi="Times New Roman" w:cs="Times New Roman"/>
          <w:sz w:val="24"/>
          <w:szCs w:val="24"/>
          <w:lang w:val="en-US"/>
        </w:rPr>
        <w:t>limited access to bone densitometry</w:t>
      </w:r>
      <w:r w:rsidR="00891AC6" w:rsidRPr="007B140B">
        <w:rPr>
          <w:rFonts w:ascii="Times New Roman" w:hAnsi="Times New Roman" w:cs="Times New Roman"/>
          <w:sz w:val="24"/>
          <w:szCs w:val="24"/>
          <w:lang w:val="en-US"/>
        </w:rPr>
        <w:t>,</w:t>
      </w:r>
      <w:r w:rsidR="0078211F" w:rsidRPr="007B140B">
        <w:rPr>
          <w:rFonts w:ascii="Times New Roman" w:hAnsi="Times New Roman" w:cs="Times New Roman"/>
          <w:sz w:val="24"/>
          <w:szCs w:val="24"/>
          <w:lang w:val="en-US"/>
        </w:rPr>
        <w:fldChar w:fldCharType="begin" w:fldLock="1"/>
      </w:r>
      <w:r w:rsidR="00424E99" w:rsidRPr="007B140B">
        <w:rPr>
          <w:rFonts w:ascii="Times New Roman" w:hAnsi="Times New Roman" w:cs="Times New Roman"/>
          <w:sz w:val="24"/>
          <w:szCs w:val="24"/>
          <w:lang w:val="en-US"/>
        </w:rPr>
        <w:instrText>ADDIN CSL_CITATION {"citationItems":[{"id":"ITEM-1","itemData":{"DOI":"10.1007/s11657-013-0136-1","ISBN":"1862-3514 (Electronic)","ISSN":"18623522","PMID":"24113837","abstract":"UNLABELLED: This report describes the epidemiology, burden, and treatment of osteoporosis in the 27 countries of the European Union (EU27).\\n\\nINTRODUCTION: Osteoporosis is characterized by reduced bone mass and disruption of bone architecture, resulting in increased risk of fragility fractures which represent the main clinical consequence of the disease. Fragility fractures are associated with substantial pain and suffering, disability and even death for affected patients and substantial costs to society. The aim of this report was to characterize the burden of osteoporosis in the EU27 in 2010 and beyond.\\n\\nMETHODS: The literature on fracture incidence and costs of fractures in the EU27 was reviewed and incorporated into a model estimating the clinical and economic burden of osteoporotic fractures in 2010.\\n\\nRESULTS: Twenty-two million women and 5.5 million men were estimated to have osteoporosis; and 3.5 million new fragility fractures were sustained, comprising 610,000 hip fractures, 520,000 vertebral fractures, 560,000 forearm fractures and 1,800,000 other fractures (i.e. fractures of the pelvis, rib, humerus, tibia, fibula, clavicle, scapula, sternum and other femoral fractures). The economic burden of incident and prior fragility fractures was estimated at &lt;euro&gt; 37 billion. Incident fractures represented 66 % of this cost, long-term fracture care 29 % and pharmacological prevention 5 %. Previous and incident fractures also accounted for 1,180,000 quality-adjusted life years lost during 2010. The costs are expected to increase by 25 % in 2025. The majority of individuals who have sustained an osteoporosis-related fracture or who are at high risk of fracture are untreated and the number of patients on treatment is declining.\\n\\nCONCLUSIONS: In spite of the high social and economic cost of osteoporosis, a substantial treatment gap and projected increase of the economic burden driven by the aging populations, the use of pharmacological interventions to prevent fractures has decreased in recent years, suggesting that a change in healthcare policy is warranted.","author":[{"dropping-particle":"","family":"Hernlund","given":"E.","non-dropping-particle":"","parse-names":false,"suffix":""},{"dropping-particle":"","family":"Svedbom","given":"A.","non-dropping-particle":"","parse-names":false,"suffix":""},{"dropping-particle":"","family":"Ivergård","given":"M.","non-dropping-particle":"","parse-names":false,"suffix":""},{"dropping-particle":"","family":"Compston","given":"J.","non-dropping-particle":"","parse-names":false,"suffix":""},{"dropping-particle":"","family":"Cooper","given":"C.","non-dropping-particle":"","parse-names":false,"suffix":""},{"dropping-particle":"","family":"Stenmark","given":"J.","non-dropping-particle":"","parse-names":false,"suffix":""},{"dropping-particle":"V.","family":"McCloskey","given":"E.","non-dropping-particle":"","parse-names":false,"suffix":""},{"dropping-particle":"","family":"Jönsson","given":"B.","non-dropping-particle":"","parse-names":false,"suffix":""},{"dropping-particle":"","family":"Kanis","given":"J. A.","non-dropping-particle":"","parse-names":false,"suffix":""}],"container-title":"Archives of Osteoporosis","id":"ITEM-1","issued":{"date-parts":[["2013"]]},"page":"136","title":"Osteoporosis in the European Union: medical management, epidemiology and economic burden: a report prepared in collaboration with the International Osteoporosis Foundation (IOF) and the European Federation of Pharmaceutical Industry Associations (EFPIA)","type":"article-journal","volume":"8"},"uris":["http://www.mendeley.com/documents/?uuid=06163511-c547-4bb9-8bce-8df6b029298d"]}],"mendeley":{"formattedCitation":"&lt;sup&gt;&lt;sup&gt;10&lt;/sup&gt;&lt;/sup&gt;","plainTextFormattedCitation":"10","previouslyFormattedCitation":"&lt;sup&gt;&lt;sup&gt;10&lt;/sup&gt;&lt;/sup&gt;"},"properties":{"noteIndex":0},"schema":"https://github.com/citation-style-language/schema/raw/master/csl-citation.json"}</w:instrText>
      </w:r>
      <w:r w:rsidR="0078211F" w:rsidRPr="007B140B">
        <w:rPr>
          <w:rFonts w:ascii="Times New Roman" w:hAnsi="Times New Roman" w:cs="Times New Roman"/>
          <w:sz w:val="24"/>
          <w:szCs w:val="24"/>
          <w:lang w:val="en-US"/>
        </w:rPr>
        <w:fldChar w:fldCharType="separate"/>
      </w:r>
      <w:r w:rsidR="0078211F" w:rsidRPr="007B140B">
        <w:rPr>
          <w:rFonts w:ascii="Times New Roman" w:hAnsi="Times New Roman" w:cs="Times New Roman"/>
          <w:noProof/>
          <w:sz w:val="24"/>
          <w:szCs w:val="24"/>
          <w:vertAlign w:val="superscript"/>
          <w:lang w:val="en-US"/>
        </w:rPr>
        <w:t>10</w:t>
      </w:r>
      <w:r w:rsidR="0078211F" w:rsidRPr="007B140B">
        <w:rPr>
          <w:rFonts w:ascii="Times New Roman" w:hAnsi="Times New Roman" w:cs="Times New Roman"/>
          <w:sz w:val="24"/>
          <w:szCs w:val="24"/>
          <w:lang w:val="en-US"/>
        </w:rPr>
        <w:fldChar w:fldCharType="end"/>
      </w:r>
      <w:r w:rsidR="00891AC6" w:rsidRPr="007B140B">
        <w:rPr>
          <w:rFonts w:ascii="Times New Roman" w:hAnsi="Times New Roman" w:cs="Times New Roman"/>
          <w:sz w:val="24"/>
          <w:szCs w:val="24"/>
          <w:lang w:val="en-US"/>
        </w:rPr>
        <w:t xml:space="preserve"> </w:t>
      </w:r>
      <w:r w:rsidR="00F46A70">
        <w:rPr>
          <w:rFonts w:ascii="Times New Roman" w:hAnsi="Times New Roman" w:cs="Times New Roman"/>
          <w:sz w:val="24"/>
          <w:szCs w:val="24"/>
          <w:lang w:val="en-US"/>
        </w:rPr>
        <w:t xml:space="preserve">which </w:t>
      </w:r>
      <w:r w:rsidR="00891AC6" w:rsidRPr="007B140B">
        <w:rPr>
          <w:rFonts w:ascii="Times New Roman" w:hAnsi="Times New Roman" w:cs="Times New Roman"/>
          <w:sz w:val="24"/>
          <w:szCs w:val="24"/>
          <w:lang w:val="en-US"/>
        </w:rPr>
        <w:t>complicat</w:t>
      </w:r>
      <w:r w:rsidR="00F46A70">
        <w:rPr>
          <w:rFonts w:ascii="Times New Roman" w:hAnsi="Times New Roman" w:cs="Times New Roman"/>
          <w:sz w:val="24"/>
          <w:szCs w:val="24"/>
          <w:lang w:val="en-US"/>
        </w:rPr>
        <w:t xml:space="preserve">es </w:t>
      </w:r>
      <w:r w:rsidR="00891AC6" w:rsidRPr="007B140B">
        <w:rPr>
          <w:rFonts w:ascii="Times New Roman" w:hAnsi="Times New Roman" w:cs="Times New Roman"/>
          <w:sz w:val="24"/>
          <w:szCs w:val="24"/>
          <w:lang w:val="en-US"/>
        </w:rPr>
        <w:t>treatment decisions</w:t>
      </w:r>
      <w:r w:rsidR="006966B8" w:rsidRPr="007B140B">
        <w:rPr>
          <w:rFonts w:ascii="Times New Roman" w:hAnsi="Times New Roman" w:cs="Times New Roman"/>
          <w:sz w:val="24"/>
          <w:szCs w:val="24"/>
          <w:lang w:val="en-US"/>
        </w:rPr>
        <w:t xml:space="preserve"> in clinical practice</w:t>
      </w:r>
      <w:r w:rsidR="00891AC6" w:rsidRPr="007B140B">
        <w:rPr>
          <w:rFonts w:ascii="Times New Roman" w:hAnsi="Times New Roman" w:cs="Times New Roman"/>
          <w:sz w:val="24"/>
          <w:szCs w:val="24"/>
          <w:lang w:val="en-US"/>
        </w:rPr>
        <w:t>.</w:t>
      </w:r>
      <w:r w:rsidR="00572A08" w:rsidRPr="007B140B">
        <w:rPr>
          <w:rFonts w:ascii="Times New Roman" w:hAnsi="Times New Roman" w:cs="Times New Roman"/>
          <w:sz w:val="24"/>
          <w:szCs w:val="24"/>
          <w:lang w:val="en-US"/>
        </w:rPr>
        <w:t xml:space="preserve"> </w:t>
      </w:r>
      <w:r w:rsidR="0038240B" w:rsidRPr="007B140B">
        <w:rPr>
          <w:rFonts w:ascii="Times New Roman" w:hAnsi="Times New Roman" w:cs="Times New Roman"/>
          <w:sz w:val="24"/>
          <w:szCs w:val="24"/>
          <w:lang w:val="en-US"/>
        </w:rPr>
        <w:t xml:space="preserve">Furthermore, </w:t>
      </w:r>
      <w:r w:rsidR="00F46A70">
        <w:rPr>
          <w:rFonts w:ascii="Times New Roman" w:hAnsi="Times New Roman" w:cs="Times New Roman"/>
          <w:sz w:val="24"/>
          <w:szCs w:val="24"/>
          <w:lang w:val="en-US"/>
        </w:rPr>
        <w:t>many fracture patients, especially male fracture patients, do not have osteoporosis</w:t>
      </w:r>
      <w:r w:rsidR="0009110C">
        <w:rPr>
          <w:rFonts w:ascii="Times New Roman" w:hAnsi="Times New Roman" w:cs="Times New Roman"/>
          <w:sz w:val="24"/>
          <w:szCs w:val="24"/>
          <w:lang w:val="en-US"/>
        </w:rPr>
        <w:t>. The actual percentage</w:t>
      </w:r>
      <w:r w:rsidR="00167839">
        <w:rPr>
          <w:rFonts w:ascii="Times New Roman" w:hAnsi="Times New Roman" w:cs="Times New Roman"/>
          <w:sz w:val="24"/>
          <w:szCs w:val="24"/>
          <w:lang w:val="en-US"/>
        </w:rPr>
        <w:t xml:space="preserve"> of patients</w:t>
      </w:r>
      <w:r w:rsidR="0009110C">
        <w:rPr>
          <w:rFonts w:ascii="Times New Roman" w:hAnsi="Times New Roman" w:cs="Times New Roman"/>
          <w:sz w:val="24"/>
          <w:szCs w:val="24"/>
          <w:lang w:val="en-US"/>
        </w:rPr>
        <w:t xml:space="preserve"> </w:t>
      </w:r>
      <w:r w:rsidR="000A3498">
        <w:rPr>
          <w:rFonts w:ascii="Times New Roman" w:hAnsi="Times New Roman" w:cs="Times New Roman"/>
          <w:sz w:val="24"/>
          <w:szCs w:val="24"/>
          <w:lang w:val="en-US"/>
        </w:rPr>
        <w:t>who have</w:t>
      </w:r>
      <w:r w:rsidR="009638F3">
        <w:rPr>
          <w:rFonts w:ascii="Times New Roman" w:hAnsi="Times New Roman" w:cs="Times New Roman"/>
          <w:sz w:val="24"/>
          <w:szCs w:val="24"/>
          <w:lang w:val="en-US"/>
        </w:rPr>
        <w:t xml:space="preserve"> osteoporosis </w:t>
      </w:r>
      <w:r w:rsidR="0009110C">
        <w:rPr>
          <w:rFonts w:ascii="Times New Roman" w:hAnsi="Times New Roman" w:cs="Times New Roman"/>
          <w:sz w:val="24"/>
          <w:szCs w:val="24"/>
          <w:lang w:val="en-US"/>
        </w:rPr>
        <w:t xml:space="preserve">varies among studies, </w:t>
      </w:r>
      <w:r w:rsidR="000A3498">
        <w:rPr>
          <w:rFonts w:ascii="Times New Roman" w:hAnsi="Times New Roman" w:cs="Times New Roman"/>
          <w:sz w:val="24"/>
          <w:szCs w:val="24"/>
          <w:lang w:val="en-US"/>
        </w:rPr>
        <w:t xml:space="preserve">but </w:t>
      </w:r>
      <w:r w:rsidR="0009110C">
        <w:rPr>
          <w:rFonts w:ascii="Times New Roman" w:hAnsi="Times New Roman" w:cs="Times New Roman"/>
          <w:sz w:val="24"/>
          <w:szCs w:val="24"/>
          <w:lang w:val="en-US"/>
        </w:rPr>
        <w:t xml:space="preserve">hip or spine osteoporosis (T-score ≤-2.5) has been reported in </w:t>
      </w:r>
      <w:r w:rsidR="00D2485C">
        <w:rPr>
          <w:rFonts w:ascii="Times New Roman" w:hAnsi="Times New Roman" w:cs="Times New Roman"/>
          <w:sz w:val="24"/>
          <w:szCs w:val="24"/>
          <w:lang w:val="en-US"/>
        </w:rPr>
        <w:t>36%</w:t>
      </w:r>
      <w:r w:rsidR="0009110C">
        <w:rPr>
          <w:rFonts w:ascii="Times New Roman" w:hAnsi="Times New Roman" w:cs="Times New Roman"/>
          <w:sz w:val="24"/>
          <w:szCs w:val="24"/>
          <w:lang w:val="en-US"/>
        </w:rPr>
        <w:t>,</w:t>
      </w:r>
      <w:r w:rsidR="00D2485C">
        <w:rPr>
          <w:rFonts w:ascii="Times New Roman" w:hAnsi="Times New Roman" w:cs="Times New Roman"/>
          <w:sz w:val="24"/>
          <w:szCs w:val="24"/>
          <w:lang w:val="en-US"/>
        </w:rPr>
        <w:fldChar w:fldCharType="begin" w:fldLock="1"/>
      </w:r>
      <w:r w:rsidR="007B73F8">
        <w:rPr>
          <w:rFonts w:ascii="Times New Roman" w:hAnsi="Times New Roman" w:cs="Times New Roman"/>
          <w:sz w:val="24"/>
          <w:szCs w:val="24"/>
          <w:lang w:val="en-US"/>
        </w:rPr>
        <w:instrText>ADDIN CSL_CITATION {"citationItems":[{"id":"ITEM-1","itemData":{"DOI":"10.1001/jama.298.20.2381","author":[{"dropping-particle":"","family":"Mackey","given":"D C","non-dropping-particle":"","parse-names":false,"suffix":""},{"dropping-particle":"","family":"Lui","given":"L Y","non-dropping-particle":"","parse-names":false,"suffix":""},{"dropping-particle":"","family":"Cawthon","given":"P M","non-dropping-particle":"","parse-names":false,"suffix":""},{"dropping-particle":"","family":"Bauer","given":"D C","non-dropping-particle":"","parse-names":false,"suffix":""},{"dropping-particle":"","family":"Nevitt","given":"M C","non-dropping-particle":"","parse-names":false,"suffix":""},{"dropping-particle":"","family":"Cauley","given":"J A","non-dropping-particle":"","parse-names":false,"suffix":""},{"dropping-particle":"","family":"Hillier","given":"T A","non-dropping-particle":"","parse-names":false,"suffix":""},{"dropping-particle":"","family":"Lewis","given":"C E","non-dropping-particle":"","parse-names":false,"suffix":""},{"dropping-particle":"","family":"Barrett-Connor","given":"E","non-dropping-particle":"","parse-names":false,"suffix":""},{"dropping-particle":"","family":"Cummings","given":"S R","non-dropping-particle":"","parse-names":false,"suffix":""}],"container-title":"JAMA","id":"ITEM-1","issue":"20","issued":{"date-parts":[["2007"]]},"page":"2381-2388","title":"High-trauma fractures and low bone mineral density in older women and men","type":"article-journal","volume":"298"},"uris":["http://www.mendeley.com/documents/?uuid=f31933ea-6e24-4477-bbf5-e89007c198e0"]}],"mendeley":{"formattedCitation":"&lt;sup&gt;&lt;sup&gt;11&lt;/sup&gt;&lt;/sup&gt;","plainTextFormattedCitation":"11","previouslyFormattedCitation":"&lt;sup&gt;&lt;sup&gt;11&lt;/sup&gt;&lt;/sup&gt;"},"properties":{"noteIndex":0},"schema":"https://github.com/citation-style-language/schema/raw/master/csl-citation.json"}</w:instrText>
      </w:r>
      <w:r w:rsidR="00D2485C">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11</w:t>
      </w:r>
      <w:r w:rsidR="00D2485C">
        <w:rPr>
          <w:rFonts w:ascii="Times New Roman" w:hAnsi="Times New Roman" w:cs="Times New Roman"/>
          <w:sz w:val="24"/>
          <w:szCs w:val="24"/>
          <w:lang w:val="en-US"/>
        </w:rPr>
        <w:fldChar w:fldCharType="end"/>
      </w:r>
      <w:r w:rsidR="0009110C">
        <w:rPr>
          <w:rFonts w:ascii="Times New Roman" w:hAnsi="Times New Roman" w:cs="Times New Roman"/>
          <w:sz w:val="24"/>
          <w:szCs w:val="24"/>
          <w:lang w:val="en-US"/>
        </w:rPr>
        <w:t xml:space="preserve"> </w:t>
      </w:r>
      <w:r w:rsidR="00D2485C">
        <w:rPr>
          <w:rFonts w:ascii="Times New Roman" w:hAnsi="Times New Roman" w:cs="Times New Roman"/>
          <w:sz w:val="24"/>
          <w:szCs w:val="24"/>
          <w:lang w:val="en-US"/>
        </w:rPr>
        <w:t>44%</w:t>
      </w:r>
      <w:r w:rsidR="0009110C">
        <w:rPr>
          <w:rFonts w:ascii="Times New Roman" w:hAnsi="Times New Roman" w:cs="Times New Roman"/>
          <w:sz w:val="24"/>
          <w:szCs w:val="24"/>
          <w:lang w:val="en-US"/>
        </w:rPr>
        <w:t>,</w:t>
      </w:r>
      <w:r w:rsidR="00D2485C">
        <w:rPr>
          <w:rFonts w:ascii="Times New Roman" w:hAnsi="Times New Roman" w:cs="Times New Roman"/>
          <w:sz w:val="24"/>
          <w:szCs w:val="24"/>
          <w:lang w:val="en-US"/>
        </w:rPr>
        <w:fldChar w:fldCharType="begin" w:fldLock="1"/>
      </w:r>
      <w:r w:rsidR="00D2485C">
        <w:rPr>
          <w:rFonts w:ascii="Times New Roman" w:hAnsi="Times New Roman" w:cs="Times New Roman"/>
          <w:sz w:val="24"/>
          <w:szCs w:val="24"/>
          <w:lang w:val="en-US"/>
        </w:rPr>
        <w:instrText>ADDIN CSL_CITATION {"citationItems":[{"id":"ITEM-1","itemData":{"DOI":"10.1016/j.bone.2003.10.001","ISBN":"8756-3282 (Print)\\n1873-2763 (Linking)","ISSN":"87563282","PMID":"14751578","abstract":"The incidence of all non-vertebral fractures, as well as the relation to bone mineral density (BMD), was quantified in 7806 men and women from the Rotterdam Study, a prospective, population-based cohort study of men and women aged 55 years and older. In addition, the sensitivity of using a T-score at or below -2.5 for identifying subjects at risk for fractures was assessed. At baseline, between 1990 and 1993, femoral neck BMD was measured by dual energy X-ray absorptiometry (DXA). Subsequently, gender-specific T-scores were calculated using the NHANES reference population. During a mean follow-up of 6. 8 years, information on incident non-vertebral fractures was gathered. In general, hip, wrist and upper humerus fractures are the most frequent fractures in both men and women. Femoral neck BMD appears to be an equally important risk factor in both genders, and is especially related to hip fractures. For all non-vertebral fractures, the age-adjusted hazard ratio (95% confidence interval) per standard deviation decrease in femoral neck BMD was 1.5 (1.4-1.6) for women and 1.4 (1.2-1.6) for men. For hip fractures, the hazard ratios were 2.1 (1.7-2.5) for women and 2.3 (1.6-3.3) for men. Only 44% of all non-vertebral fractures occurred in women with a T-score below -2.5; in men, this percentage was even lower (21%). Thus, there is a clear need for the development of more sensitive risk assessment tools, using not only BMD, but also other clinical predictors of fractures. © 2003 Elsevier Inc. All rights reserved.","author":[{"dropping-particle":"","family":"Schuit","given":"S. C E","non-dropping-particle":"","parse-names":false,"suffix":""},{"dropping-particle":"","family":"Klift","given":"M.","non-dropping-particle":"Van Der","parse-names":false,"suffix":""},{"dropping-particle":"","family":"Weel","given":"A. E A M","non-dropping-particle":"","parse-names":false,"suffix":""},{"dropping-particle":"","family":"Laet","given":"C. E D H","non-dropping-particle":"De","parse-names":false,"suffix":""},{"dropping-particle":"","family":"Burger","given":"H.","non-dropping-particle":"","parse-names":false,"suffix":""},{"dropping-particle":"","family":"Seeman","given":"E.","non-dropping-particle":"","parse-names":false,"suffix":""},{"dropping-particle":"","family":"Hofman","given":"A.","non-dropping-particle":"","parse-names":false,"suffix":""},{"dropping-particle":"","family":"Uitterlinden","given":"A. G.","non-dropping-particle":"","parse-names":false,"suffix":""},{"dropping-particle":"","family":"Leeuwen","given":"J. P T M","non-dropping-particle":"Van","parse-names":false,"suffix":""},{"dropping-particle":"","family":"Pols","given":"H. A P","non-dropping-particle":"","parse-names":false,"suffix":""}],"container-title":"Bone","id":"ITEM-1","issue":"1","issued":{"date-parts":[["2004"]]},"note":"Found: google scholar: bone density fractures site","page":"195-202","title":"Fracture incidence and association with bone mineral density in elderly men and women: The Rotterdam Study","type":"article-journal","volume":"34"},"uris":["http://www.mendeley.com/documents/?uuid=064a7f05-eefd-4bcb-99d3-be9d6ff06c12"]}],"mendeley":{"formattedCitation":"&lt;sup&gt;&lt;sup&gt;12&lt;/sup&gt;&lt;/sup&gt;","plainTextFormattedCitation":"12","previouslyFormattedCitation":"&lt;sup&gt;&lt;sup&gt;12&lt;/sup&gt;&lt;/sup&gt;"},"properties":{"noteIndex":0},"schema":"https://github.com/citation-style-language/schema/raw/master/csl-citation.json"}</w:instrText>
      </w:r>
      <w:r w:rsidR="00D2485C">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12</w:t>
      </w:r>
      <w:r w:rsidR="00D2485C">
        <w:rPr>
          <w:rFonts w:ascii="Times New Roman" w:hAnsi="Times New Roman" w:cs="Times New Roman"/>
          <w:sz w:val="24"/>
          <w:szCs w:val="24"/>
          <w:lang w:val="en-US"/>
        </w:rPr>
        <w:fldChar w:fldCharType="end"/>
      </w:r>
      <w:r w:rsidR="00D2485C">
        <w:rPr>
          <w:rFonts w:ascii="Times New Roman" w:hAnsi="Times New Roman" w:cs="Times New Roman"/>
          <w:sz w:val="24"/>
          <w:szCs w:val="24"/>
          <w:lang w:val="en-US"/>
        </w:rPr>
        <w:t xml:space="preserve"> and 56%</w:t>
      </w:r>
      <w:r w:rsidR="00D2485C">
        <w:rPr>
          <w:rFonts w:ascii="Times New Roman" w:hAnsi="Times New Roman" w:cs="Times New Roman"/>
          <w:sz w:val="24"/>
          <w:szCs w:val="24"/>
          <w:lang w:val="en-US"/>
        </w:rPr>
        <w:fldChar w:fldCharType="begin" w:fldLock="1"/>
      </w:r>
      <w:r w:rsidR="00D2485C">
        <w:rPr>
          <w:rFonts w:ascii="Times New Roman" w:hAnsi="Times New Roman" w:cs="Times New Roman"/>
          <w:sz w:val="24"/>
          <w:szCs w:val="24"/>
          <w:lang w:val="en-US"/>
        </w:rPr>
        <w:instrText>ADDIN CSL_CITATION {"citationItems":[{"id":"ITEM-1","itemData":{"DOI":"10.1016/j.bone.2005.06.004","ISBN":"8756-3282 (Print)\\r1873-2763 (Linking)","ISSN":"87563282","PMID":"16507356","abstract":"To determine the age- and BMD-specific burden of fractures in the community and the cost-effectiveness of targeted drug therapy, we studied a demographically well-categorized population with a single main health provider. Of 1224 women over 50 years of age sustaining fractures during 2 years, the distribution of all fractures was 11%, 20%, 33%, and 36% in those aged 50-59, 60-69, 70-79, and 80+ years, respectively. Osteoporosis (T score &lt; -2.5) was present in 20%, 46%, 59%, and 69% in the respective age groups. Based on this sample and census data for the whole country, treating all women over 50 years of age in Australia with a drug that halves fracture risk in osteoporotic women and reduces fractures in those without osteoporosis by 20%, was estimated to prevent 18,000 or 36% of the 50,000 fractures per year at a total cost of $573 million (AUD). Screening using a bone mineral density of T score of -2.5 as a cutoff, misses 80%, 54%, 41%, and 31% of fractures in women in the respective age groups. An analysis of cost per averted fracture by age group suggests that treating women in the 50- to 59-year age group with osteoporosis alone costs $156,400 per averted fracture. However, in women aged over 80 years, the cost per averted fracture is $28,500. We infer that treating all women over 50 years of age is not feasible. Using osteoporosis and age (&gt;60 years) as criteria for intervention reduces the population burden of fractures by 28% and is cost-effective but solutions to the prevention of the remaining 72% of fragility fractures remain unavailable. © 2006.","author":[{"dropping-particle":"","family":"Sanders","given":"Kerrie M.","non-dropping-particle":"","parse-names":false,"suffix":""},{"dropping-particle":"","family":"Nicholson","given":"Geoffrey C.","non-dropping-particle":"","parse-names":false,"suffix":""},{"dropping-particle":"","family":"Watts","given":"Jennifer J.","non-dropping-particle":"","parse-names":false,"suffix":""},{"dropping-particle":"","family":"Pasco","given":"Julie A.","non-dropping-particle":"","parse-names":false,"suffix":""},{"dropping-particle":"","family":"Henry","given":"Margaret J.","non-dropping-particle":"","parse-names":false,"suffix":""},{"dropping-particle":"","family":"Kotowicz","given":"Mark A.","non-dropping-particle":"","parse-names":false,"suffix":""},{"dropping-particle":"","family":"Seeman","given":"Ego","non-dropping-particle":"","parse-names":false,"suffix":""}],"container-title":"Bone","id":"ITEM-1","issue":"5","issued":{"date-parts":[["2006"]]},"page":"694-700","title":"Half the burden of fragility fractures in the community occur in women without osteoporosis. When is fracture prevention cost-effective?","type":"article-journal","volume":"38"},"uris":["http://www.mendeley.com/documents/?uuid=f409bde7-9db2-4ffc-820c-855d86e3bbe5"]}],"mendeley":{"formattedCitation":"&lt;sup&gt;&lt;sup&gt;13&lt;/sup&gt;&lt;/sup&gt;","plainTextFormattedCitation":"13","previouslyFormattedCitation":"&lt;sup&gt;&lt;sup&gt;13&lt;/sup&gt;&lt;/sup&gt;"},"properties":{"noteIndex":0},"schema":"https://github.com/citation-style-language/schema/raw/master/csl-citation.json"}</w:instrText>
      </w:r>
      <w:r w:rsidR="00D2485C">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13</w:t>
      </w:r>
      <w:r w:rsidR="00D2485C">
        <w:rPr>
          <w:rFonts w:ascii="Times New Roman" w:hAnsi="Times New Roman" w:cs="Times New Roman"/>
          <w:sz w:val="24"/>
          <w:szCs w:val="24"/>
          <w:lang w:val="en-US"/>
        </w:rPr>
        <w:fldChar w:fldCharType="end"/>
      </w:r>
      <w:r w:rsidR="00D2485C">
        <w:rPr>
          <w:rFonts w:ascii="Times New Roman" w:hAnsi="Times New Roman" w:cs="Times New Roman"/>
          <w:sz w:val="24"/>
          <w:szCs w:val="24"/>
          <w:lang w:val="en-US"/>
        </w:rPr>
        <w:t xml:space="preserve"> </w:t>
      </w:r>
      <w:r w:rsidR="0009110C">
        <w:rPr>
          <w:rFonts w:ascii="Times New Roman" w:hAnsi="Times New Roman" w:cs="Times New Roman"/>
          <w:sz w:val="24"/>
          <w:szCs w:val="24"/>
          <w:lang w:val="en-US"/>
        </w:rPr>
        <w:t xml:space="preserve">of female fracture patients </w:t>
      </w:r>
      <w:r w:rsidR="00D2485C">
        <w:rPr>
          <w:rFonts w:ascii="Times New Roman" w:hAnsi="Times New Roman" w:cs="Times New Roman"/>
          <w:sz w:val="24"/>
          <w:szCs w:val="24"/>
          <w:lang w:val="en-US"/>
        </w:rPr>
        <w:t>and in 13-15%</w:t>
      </w:r>
      <w:r w:rsidR="00D2485C">
        <w:rPr>
          <w:rFonts w:ascii="Times New Roman" w:hAnsi="Times New Roman" w:cs="Times New Roman"/>
          <w:sz w:val="24"/>
          <w:szCs w:val="24"/>
          <w:lang w:val="en-US"/>
        </w:rPr>
        <w:fldChar w:fldCharType="begin" w:fldLock="1"/>
      </w:r>
      <w:r w:rsidR="007B73F8">
        <w:rPr>
          <w:rFonts w:ascii="Times New Roman" w:hAnsi="Times New Roman" w:cs="Times New Roman"/>
          <w:sz w:val="24"/>
          <w:szCs w:val="24"/>
          <w:lang w:val="en-US"/>
        </w:rPr>
        <w:instrText>ADDIN CSL_CITATION {"citationItems":[{"id":"ITEM-1","itemData":{"DOI":"10.1001/jama.298.20.2381","author":[{"dropping-particle":"","family":"Mackey","given":"D C","non-dropping-particle":"","parse-names":false,"suffix":""},{"dropping-particle":"","family":"Lui","given":"L Y","non-dropping-particle":"","parse-names":false,"suffix":""},{"dropping-particle":"","family":"Cawthon","given":"P M","non-dropping-particle":"","parse-names":false,"suffix":""},{"dropping-particle":"","family":"Bauer","given":"D C","non-dropping-particle":"","parse-names":false,"suffix":""},{"dropping-particle":"","family":"Nevitt","given":"M C","non-dropping-particle":"","parse-names":false,"suffix":""},{"dropping-particle":"","family":"Cauley","given":"J A","non-dropping-particle":"","parse-names":false,"suffix":""},{"dropping-particle":"","family":"Hillier","given":"T A","non-dropping-particle":"","parse-names":false,"suffix":""},{"dropping-particle":"","family":"Lewis","given":"C E","non-dropping-particle":"","parse-names":false,"suffix":""},{"dropping-particle":"","family":"Barrett-Connor","given":"E","non-dropping-particle":"","parse-names":false,"suffix":""},{"dropping-particle":"","family":"Cummings","given":"S R","non-dropping-particle":"","parse-names":false,"suffix":""}],"container-title":"JAMA","id":"ITEM-1","issue":"20","issued":{"date-parts":[["2007"]]},"page":"2381-2388","title":"High-trauma fractures and low bone mineral density in older women and men","type":"article-journal","volume":"298"},"uris":["http://www.mendeley.com/documents/?uuid=f31933ea-6e24-4477-bbf5-e89007c198e0"]}],"mendeley":{"formattedCitation":"&lt;sup&gt;&lt;sup&gt;11&lt;/sup&gt;&lt;/sup&gt;","plainTextFormattedCitation":"11","previouslyFormattedCitation":"&lt;sup&gt;&lt;sup&gt;11&lt;/sup&gt;&lt;/sup&gt;"},"properties":{"noteIndex":0},"schema":"https://github.com/citation-style-language/schema/raw/master/csl-citation.json"}</w:instrText>
      </w:r>
      <w:r w:rsidR="00D2485C">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11</w:t>
      </w:r>
      <w:r w:rsidR="00D2485C">
        <w:rPr>
          <w:rFonts w:ascii="Times New Roman" w:hAnsi="Times New Roman" w:cs="Times New Roman"/>
          <w:sz w:val="24"/>
          <w:szCs w:val="24"/>
          <w:lang w:val="en-US"/>
        </w:rPr>
        <w:fldChar w:fldCharType="end"/>
      </w:r>
      <w:r w:rsidR="0009110C">
        <w:rPr>
          <w:rFonts w:ascii="Times New Roman" w:hAnsi="Times New Roman" w:cs="Times New Roman"/>
          <w:sz w:val="24"/>
          <w:szCs w:val="24"/>
          <w:lang w:val="en-US"/>
        </w:rPr>
        <w:t xml:space="preserve"> and</w:t>
      </w:r>
      <w:r w:rsidR="00D2485C">
        <w:rPr>
          <w:rFonts w:ascii="Times New Roman" w:hAnsi="Times New Roman" w:cs="Times New Roman"/>
          <w:sz w:val="24"/>
          <w:szCs w:val="24"/>
          <w:lang w:val="en-US"/>
        </w:rPr>
        <w:t xml:space="preserve"> 21%</w:t>
      </w:r>
      <w:r w:rsidR="00D2485C">
        <w:rPr>
          <w:rFonts w:ascii="Times New Roman" w:hAnsi="Times New Roman" w:cs="Times New Roman"/>
          <w:sz w:val="24"/>
          <w:szCs w:val="24"/>
          <w:lang w:val="en-US"/>
        </w:rPr>
        <w:fldChar w:fldCharType="begin" w:fldLock="1"/>
      </w:r>
      <w:r w:rsidR="00995378">
        <w:rPr>
          <w:rFonts w:ascii="Times New Roman" w:hAnsi="Times New Roman" w:cs="Times New Roman"/>
          <w:sz w:val="24"/>
          <w:szCs w:val="24"/>
          <w:lang w:val="en-US"/>
        </w:rPr>
        <w:instrText>ADDIN CSL_CITATION {"citationItems":[{"id":"ITEM-1","itemData":{"DOI":"10.1016/j.bone.2003.10.001","ISBN":"8756-3282 (Print)\\n1873-2763 (Linking)","ISSN":"87563282","PMID":"14751578","abstract":"The incidence of all non-vertebral fractures, as well as the relation to bone mineral density (BMD), was quantified in 7806 men and women from the Rotterdam Study, a prospective, population-based cohort study of men and women aged 55 years and older. In addition, the sensitivity of using a T-score at or below -2.5 for identifying subjects at risk for fractures was assessed. At baseline, between 1990 and 1993, femoral neck BMD was measured by dual energy X-ray absorptiometry (DXA). Subsequently, gender-specific T-scores were calculated using the NHANES reference population. During a mean follow-up of 6. 8 years, information on incident non-vertebral fractures was gathered. In general, hip, wrist and upper humerus fractures are the most frequent fractures in both men and women. Femoral neck BMD appears to be an equally important risk factor in both genders, and is especially related to hip fractures. For all non-vertebral fractures, the age-adjusted hazard ratio (95% confidence interval) per standard deviation decrease in femoral neck BMD was 1.5 (1.4-1.6) for women and 1.4 (1.2-1.6) for men. For hip fractures, the hazard ratios were 2.1 (1.7-2.5) for women and 2.3 (1.6-3.3) for men. Only 44% of all non-vertebral fractures occurred in women with a T-score below -2.5; in men, this percentage was even lower (21%). Thus, there is a clear need for the development of more sensitive risk assessment tools, using not only BMD, but also other clinical predictors of fractures. © 2003 Elsevier Inc. All rights reserved.","author":[{"dropping-particle":"","family":"Schuit","given":"S. C E","non-dropping-particle":"","parse-names":false,"suffix":""},{"dropping-particle":"","family":"Klift","given":"M.","non-dropping-particle":"Van Der","parse-names":false,"suffix":""},{"dropping-particle":"","family":"Weel","given":"A. E A M","non-dropping-particle":"","parse-names":false,"suffix":""},{"dropping-particle":"","family":"Laet","given":"C. E D H","non-dropping-particle":"De","parse-names":false,"suffix":""},{"dropping-particle":"","family":"Burger","given":"H.","non-dropping-particle":"","parse-names":false,"suffix":""},{"dropping-particle":"","family":"Seeman","given":"E.","non-dropping-particle":"","parse-names":false,"suffix":""},{"dropping-particle":"","family":"Hofman","given":"A.","non-dropping-particle":"","parse-names":false,"suffix":""},{"dropping-particle":"","family":"Uitterlinden","given":"A. G.","non-dropping-particle":"","parse-names":false,"suffix":""},{"dropping-particle":"","family":"Leeuwen","given":"J. P T M","non-dropping-particle":"Van","parse-names":false,"suffix":""},{"dropping-particle":"","family":"Pols","given":"H. A P","non-dropping-particle":"","parse-names":false,"suffix":""}],"container-title":"Bone","id":"ITEM-1","issue":"1","issued":{"date-parts":[["2004"]]},"note":"Found: google scholar: bone density fractures site","page":"195-202","title":"Fracture incidence and association with bone mineral density in elderly men and women: The Rotterdam Study","type":"article-journal","volume":"34"},"uris":["http://www.mendeley.com/documents/?uuid=064a7f05-eefd-4bcb-99d3-be9d6ff06c12"]}],"mendeley":{"formattedCitation":"&lt;sup&gt;&lt;sup&gt;12&lt;/sup&gt;&lt;/sup&gt;","plainTextFormattedCitation":"12","previouslyFormattedCitation":"&lt;sup&gt;&lt;sup&gt;12&lt;/sup&gt;&lt;/sup&gt;"},"properties":{"noteIndex":0},"schema":"https://github.com/citation-style-language/schema/raw/master/csl-citation.json"}</w:instrText>
      </w:r>
      <w:r w:rsidR="00D2485C">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12</w:t>
      </w:r>
      <w:r w:rsidR="00D2485C">
        <w:rPr>
          <w:rFonts w:ascii="Times New Roman" w:hAnsi="Times New Roman" w:cs="Times New Roman"/>
          <w:sz w:val="24"/>
          <w:szCs w:val="24"/>
          <w:lang w:val="en-US"/>
        </w:rPr>
        <w:fldChar w:fldCharType="end"/>
      </w:r>
      <w:r w:rsidR="0009110C">
        <w:rPr>
          <w:rFonts w:ascii="Times New Roman" w:hAnsi="Times New Roman" w:cs="Times New Roman"/>
          <w:sz w:val="24"/>
          <w:szCs w:val="24"/>
          <w:lang w:val="en-US"/>
        </w:rPr>
        <w:t xml:space="preserve"> of male fracture patients.</w:t>
      </w:r>
      <w:r w:rsidR="00E72D7D">
        <w:rPr>
          <w:rFonts w:ascii="Times New Roman" w:hAnsi="Times New Roman" w:cs="Times New Roman"/>
          <w:sz w:val="24"/>
          <w:szCs w:val="24"/>
          <w:lang w:val="en-US"/>
        </w:rPr>
        <w:t xml:space="preserve"> </w:t>
      </w:r>
      <w:r w:rsidR="006B1BD7">
        <w:rPr>
          <w:rFonts w:ascii="Times New Roman" w:hAnsi="Times New Roman" w:cs="Times New Roman"/>
          <w:sz w:val="24"/>
          <w:szCs w:val="24"/>
          <w:lang w:val="en-US"/>
        </w:rPr>
        <w:t>Another study, which examined</w:t>
      </w:r>
      <w:r w:rsidR="0009110C">
        <w:rPr>
          <w:rFonts w:ascii="Times New Roman" w:hAnsi="Times New Roman" w:cs="Times New Roman"/>
          <w:sz w:val="24"/>
          <w:szCs w:val="24"/>
          <w:lang w:val="en-US"/>
        </w:rPr>
        <w:t xml:space="preserve"> appendicular osteoporosis (T-score ≤-2.5</w:t>
      </w:r>
      <w:r w:rsidR="006B1BD7">
        <w:rPr>
          <w:rFonts w:ascii="Times New Roman" w:hAnsi="Times New Roman" w:cs="Times New Roman"/>
          <w:sz w:val="24"/>
          <w:szCs w:val="24"/>
          <w:lang w:val="en-US"/>
        </w:rPr>
        <w:t xml:space="preserve"> in the heel, finger, or forearm</w:t>
      </w:r>
      <w:r w:rsidR="0009110C">
        <w:rPr>
          <w:rFonts w:ascii="Times New Roman" w:hAnsi="Times New Roman" w:cs="Times New Roman"/>
          <w:sz w:val="24"/>
          <w:szCs w:val="24"/>
          <w:lang w:val="en-US"/>
        </w:rPr>
        <w:t xml:space="preserve">), </w:t>
      </w:r>
      <w:r w:rsidR="000A3498">
        <w:rPr>
          <w:rFonts w:ascii="Times New Roman" w:hAnsi="Times New Roman" w:cs="Times New Roman"/>
          <w:sz w:val="24"/>
          <w:szCs w:val="24"/>
          <w:lang w:val="en-US"/>
        </w:rPr>
        <w:t>showed that</w:t>
      </w:r>
      <w:r w:rsidR="00A65084">
        <w:rPr>
          <w:rFonts w:ascii="Times New Roman" w:hAnsi="Times New Roman" w:cs="Times New Roman"/>
          <w:sz w:val="24"/>
          <w:szCs w:val="24"/>
          <w:lang w:val="en-US"/>
        </w:rPr>
        <w:t xml:space="preserve"> osteoporosis </w:t>
      </w:r>
      <w:r w:rsidR="000A3498">
        <w:rPr>
          <w:rFonts w:ascii="Times New Roman" w:hAnsi="Times New Roman" w:cs="Times New Roman"/>
          <w:sz w:val="24"/>
          <w:szCs w:val="24"/>
          <w:lang w:val="en-US"/>
        </w:rPr>
        <w:t xml:space="preserve">was present </w:t>
      </w:r>
      <w:r w:rsidR="00A65084">
        <w:rPr>
          <w:rFonts w:ascii="Times New Roman" w:hAnsi="Times New Roman" w:cs="Times New Roman"/>
          <w:sz w:val="24"/>
          <w:szCs w:val="24"/>
          <w:lang w:val="en-US"/>
        </w:rPr>
        <w:t xml:space="preserve">in </w:t>
      </w:r>
      <w:r w:rsidR="006B1BD7">
        <w:rPr>
          <w:rFonts w:ascii="Times New Roman" w:hAnsi="Times New Roman" w:cs="Times New Roman"/>
          <w:sz w:val="24"/>
          <w:szCs w:val="24"/>
          <w:lang w:val="en-US"/>
        </w:rPr>
        <w:t xml:space="preserve">18% </w:t>
      </w:r>
      <w:r w:rsidR="000A3498">
        <w:rPr>
          <w:rFonts w:ascii="Times New Roman" w:hAnsi="Times New Roman" w:cs="Times New Roman"/>
          <w:sz w:val="24"/>
          <w:szCs w:val="24"/>
          <w:lang w:val="en-US"/>
        </w:rPr>
        <w:t>of women with an osteoporotic fracture</w:t>
      </w:r>
      <w:r w:rsidR="006B1BD7">
        <w:rPr>
          <w:rFonts w:ascii="Times New Roman" w:hAnsi="Times New Roman" w:cs="Times New Roman"/>
          <w:sz w:val="24"/>
          <w:szCs w:val="24"/>
          <w:lang w:val="en-US"/>
        </w:rPr>
        <w:t>.</w:t>
      </w:r>
      <w:r w:rsidR="0038240B" w:rsidRPr="007B140B">
        <w:rPr>
          <w:rFonts w:ascii="Times New Roman" w:hAnsi="Times New Roman" w:cs="Times New Roman"/>
          <w:sz w:val="24"/>
          <w:szCs w:val="24"/>
          <w:lang w:val="en-US"/>
        </w:rPr>
        <w:fldChar w:fldCharType="begin" w:fldLock="1"/>
      </w:r>
      <w:r w:rsidR="00D2485C">
        <w:rPr>
          <w:rFonts w:ascii="Times New Roman" w:hAnsi="Times New Roman" w:cs="Times New Roman"/>
          <w:sz w:val="24"/>
          <w:szCs w:val="24"/>
          <w:lang w:val="en-US"/>
        </w:rPr>
        <w:instrText>ADDIN CSL_CITATION {"citationItems":[{"id":"ITEM-1","itemData":{"DOI":"10.1001/archinte.164.10.1108","ISSN":"00039926","abstract":"Background: Treatment intervention thresholds for prevention of osteoporotic fractures can be derived from reports from the World Health Organization (diagnostic criteria) and National Osteoporosis Foundation (treatment criteria). It is not known how well these thresholds work to identify women who will fracture and are therefore candidates for treatment interventions. We used data from the National Osteoporosis Risk Assessment (NORA) to examine the effect of different treatment thresholds on fracture incidence and numbers of women with fractures within the year following bone mineral density measurement. Methods: The study comprised 149524 white postmenopausal women aged 50 to 104 years (mean age, 64.5 years). At baseline, bone mineral density was assessed by peripheral bone densitometry at the heel, finger, or forearm. New fractures during the next 12 months were self-reported. Results: New fractures were reported by 2259 women, including 393 hip fractures; only 6.4% had baseline T scores of -2.5 or less (World Health Organization definition for osteoporosis). Although fracture rates were highest in these women, they experienced only 18% of the osteoporotic fractures and 26% of the hip fractures. By National Osteoporosis Foundation treatment guidelines, 22.6% of the women had T scores of 2.0 or less, or -1.5 or less with 1 or more clinical risk factors. Fracture rates were lower, but 45% of osteoporotic fractures and 53% of hip fractures occurred in these women. Conclusions: Using peripheral measurement devices, 82% of postmenopausal women with fractures had T scores better than -2.5. A strategy to reduce overall fracture incidence will likely require lifestyle changes and a targeted effort to identify and develop treatment protocols for women with less severe low bone mass who are nonetheless at increased risk for future fractures.","author":[{"dropping-particle":"","family":"Siris","given":"Ethel S.","non-dropping-particle":"","parse-names":false,"suffix":""},{"dropping-particle":"","family":"Chen","given":"Ya Ting","non-dropping-particle":"","parse-names":false,"suffix":""},{"dropping-particle":"","family":"Abbott","given":"Thomas A.","non-dropping-particle":"","parse-names":false,"suffix":""},{"dropping-particle":"","family":"Barrett-Connor","given":"Elizabeth","non-dropping-particle":"","parse-names":false,"suffix":""},{"dropping-particle":"","family":"Miller","given":"Paul D.","non-dropping-particle":"","parse-names":false,"suffix":""},{"dropping-particle":"","family":"Wehren","given":"Lois E.","non-dropping-particle":"","parse-names":false,"suffix":""},{"dropping-particle":"","family":"Berger","given":"Marc L.","non-dropping-particle":"","parse-names":false,"suffix":""}],"container-title":"Archives of Internal Medicine","id":"ITEM-1","issue":"10","issued":{"date-parts":[["2004"]]},"page":"1108-1112","title":"Bone mineral density thresholds for pharmacological intervention to prevent fractures","type":"article-journal","volume":"164"},"uris":["http://www.mendeley.com/documents/?uuid=3c6a6354-b76e-4be0-83a1-d28707f233ef"]}],"mendeley":{"formattedCitation":"&lt;sup&gt;&lt;sup&gt;14&lt;/sup&gt;&lt;/sup&gt;","plainTextFormattedCitation":"14","previouslyFormattedCitation":"&lt;sup&gt;&lt;sup&gt;14&lt;/sup&gt;&lt;/sup&gt;"},"properties":{"noteIndex":0},"schema":"https://github.com/citation-style-language/schema/raw/master/csl-citation.json"}</w:instrText>
      </w:r>
      <w:r w:rsidR="0038240B" w:rsidRPr="007B140B">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14</w:t>
      </w:r>
      <w:r w:rsidR="0038240B" w:rsidRPr="007B140B">
        <w:rPr>
          <w:rFonts w:ascii="Times New Roman" w:hAnsi="Times New Roman" w:cs="Times New Roman"/>
          <w:sz w:val="24"/>
          <w:szCs w:val="24"/>
          <w:lang w:val="en-US"/>
        </w:rPr>
        <w:fldChar w:fldCharType="end"/>
      </w:r>
      <w:r w:rsidR="0038240B" w:rsidRPr="007B140B">
        <w:rPr>
          <w:rFonts w:ascii="Times New Roman" w:hAnsi="Times New Roman" w:cs="Times New Roman"/>
          <w:sz w:val="24"/>
          <w:szCs w:val="24"/>
          <w:lang w:val="en-US"/>
        </w:rPr>
        <w:t xml:space="preserve"> Another difficulty </w:t>
      </w:r>
      <w:r w:rsidR="000A3498">
        <w:rPr>
          <w:rFonts w:ascii="Times New Roman" w:hAnsi="Times New Roman" w:cs="Times New Roman"/>
          <w:sz w:val="24"/>
          <w:szCs w:val="24"/>
          <w:lang w:val="en-US"/>
        </w:rPr>
        <w:t xml:space="preserve">in fracture prevention </w:t>
      </w:r>
      <w:r w:rsidR="0038240B" w:rsidRPr="007B140B">
        <w:rPr>
          <w:rFonts w:ascii="Times New Roman" w:hAnsi="Times New Roman" w:cs="Times New Roman"/>
          <w:sz w:val="24"/>
          <w:szCs w:val="24"/>
          <w:lang w:val="en-US"/>
        </w:rPr>
        <w:t xml:space="preserve">is that health care systems </w:t>
      </w:r>
      <w:r w:rsidR="001A49F2" w:rsidRPr="007B140B">
        <w:rPr>
          <w:rFonts w:ascii="Times New Roman" w:hAnsi="Times New Roman" w:cs="Times New Roman"/>
          <w:sz w:val="24"/>
          <w:szCs w:val="24"/>
          <w:lang w:val="en-US"/>
        </w:rPr>
        <w:t xml:space="preserve">often </w:t>
      </w:r>
      <w:r w:rsidR="0038240B" w:rsidRPr="007B140B">
        <w:rPr>
          <w:rFonts w:ascii="Times New Roman" w:hAnsi="Times New Roman" w:cs="Times New Roman"/>
          <w:sz w:val="24"/>
          <w:szCs w:val="24"/>
          <w:lang w:val="en-US"/>
        </w:rPr>
        <w:t>are not organized to iden</w:t>
      </w:r>
      <w:r w:rsidR="006F42DC" w:rsidRPr="007B140B">
        <w:rPr>
          <w:rFonts w:ascii="Times New Roman" w:hAnsi="Times New Roman" w:cs="Times New Roman"/>
          <w:sz w:val="24"/>
          <w:szCs w:val="24"/>
          <w:lang w:val="en-US"/>
        </w:rPr>
        <w:t>ti</w:t>
      </w:r>
      <w:r w:rsidR="00313DAC" w:rsidRPr="007B140B">
        <w:rPr>
          <w:rFonts w:ascii="Times New Roman" w:hAnsi="Times New Roman" w:cs="Times New Roman"/>
          <w:sz w:val="24"/>
          <w:szCs w:val="24"/>
          <w:lang w:val="en-US"/>
        </w:rPr>
        <w:t>f</w:t>
      </w:r>
      <w:r w:rsidR="00991873" w:rsidRPr="007B140B">
        <w:rPr>
          <w:rFonts w:ascii="Times New Roman" w:hAnsi="Times New Roman" w:cs="Times New Roman"/>
          <w:sz w:val="24"/>
          <w:szCs w:val="24"/>
          <w:lang w:val="en-US"/>
        </w:rPr>
        <w:t>y patients with osteoporosis</w:t>
      </w:r>
      <w:r w:rsidR="001A49F2">
        <w:rPr>
          <w:rFonts w:ascii="Times New Roman" w:hAnsi="Times New Roman" w:cs="Times New Roman"/>
          <w:sz w:val="24"/>
          <w:szCs w:val="24"/>
          <w:lang w:val="en-US"/>
        </w:rPr>
        <w:t>;</w:t>
      </w:r>
      <w:r w:rsidR="00991873" w:rsidRPr="007B140B">
        <w:rPr>
          <w:rFonts w:ascii="Times New Roman" w:hAnsi="Times New Roman" w:cs="Times New Roman"/>
          <w:sz w:val="24"/>
          <w:szCs w:val="24"/>
          <w:lang w:val="en-US"/>
        </w:rPr>
        <w:t xml:space="preserve"> </w:t>
      </w:r>
      <w:r w:rsidR="001A49F2">
        <w:rPr>
          <w:rFonts w:ascii="Times New Roman" w:hAnsi="Times New Roman" w:cs="Times New Roman"/>
          <w:sz w:val="24"/>
          <w:szCs w:val="24"/>
          <w:lang w:val="en-US"/>
        </w:rPr>
        <w:t>w</w:t>
      </w:r>
      <w:r w:rsidR="00E83867" w:rsidRPr="007B140B">
        <w:rPr>
          <w:rFonts w:ascii="Times New Roman" w:hAnsi="Times New Roman" w:cs="Times New Roman"/>
          <w:sz w:val="24"/>
          <w:szCs w:val="24"/>
          <w:lang w:val="en-US"/>
        </w:rPr>
        <w:t>h</w:t>
      </w:r>
      <w:r w:rsidR="00E83867">
        <w:rPr>
          <w:rFonts w:ascii="Times New Roman" w:hAnsi="Times New Roman" w:cs="Times New Roman"/>
          <w:sz w:val="24"/>
          <w:szCs w:val="24"/>
          <w:lang w:val="en-US"/>
        </w:rPr>
        <w:t>ile</w:t>
      </w:r>
      <w:r w:rsidR="00E83867" w:rsidRPr="007B140B">
        <w:rPr>
          <w:rFonts w:ascii="Times New Roman" w:hAnsi="Times New Roman" w:cs="Times New Roman"/>
          <w:sz w:val="24"/>
          <w:szCs w:val="24"/>
          <w:lang w:val="en-US"/>
        </w:rPr>
        <w:t xml:space="preserve"> </w:t>
      </w:r>
      <w:r w:rsidR="0038240B" w:rsidRPr="007B140B">
        <w:rPr>
          <w:rFonts w:ascii="Times New Roman" w:hAnsi="Times New Roman" w:cs="Times New Roman"/>
          <w:sz w:val="24"/>
          <w:szCs w:val="24"/>
          <w:lang w:val="en-US"/>
        </w:rPr>
        <w:t xml:space="preserve">fractures are initially treated </w:t>
      </w:r>
      <w:r w:rsidR="00EA4968">
        <w:rPr>
          <w:rFonts w:ascii="Times New Roman" w:hAnsi="Times New Roman" w:cs="Times New Roman"/>
          <w:sz w:val="24"/>
          <w:szCs w:val="24"/>
          <w:lang w:val="en-US"/>
        </w:rPr>
        <w:t>in</w:t>
      </w:r>
      <w:r w:rsidR="0038240B" w:rsidRPr="007B140B">
        <w:rPr>
          <w:rFonts w:ascii="Times New Roman" w:hAnsi="Times New Roman" w:cs="Times New Roman"/>
          <w:sz w:val="24"/>
          <w:szCs w:val="24"/>
          <w:lang w:val="en-US"/>
        </w:rPr>
        <w:t xml:space="preserve"> emergency</w:t>
      </w:r>
      <w:r w:rsidR="0077677A">
        <w:rPr>
          <w:rFonts w:ascii="Times New Roman" w:hAnsi="Times New Roman" w:cs="Times New Roman"/>
          <w:sz w:val="24"/>
          <w:szCs w:val="24"/>
          <w:lang w:val="en-US"/>
        </w:rPr>
        <w:t xml:space="preserve"> rooms</w:t>
      </w:r>
      <w:r w:rsidR="0038240B" w:rsidRPr="007B140B">
        <w:rPr>
          <w:rFonts w:ascii="Times New Roman" w:hAnsi="Times New Roman" w:cs="Times New Roman"/>
          <w:sz w:val="24"/>
          <w:szCs w:val="24"/>
          <w:lang w:val="en-US"/>
        </w:rPr>
        <w:t xml:space="preserve"> </w:t>
      </w:r>
      <w:r w:rsidR="008760C6">
        <w:rPr>
          <w:rFonts w:ascii="Times New Roman" w:hAnsi="Times New Roman" w:cs="Times New Roman"/>
          <w:sz w:val="24"/>
          <w:szCs w:val="24"/>
          <w:lang w:val="en-US"/>
        </w:rPr>
        <w:t xml:space="preserve">and orthopedic </w:t>
      </w:r>
      <w:r w:rsidR="0038240B" w:rsidRPr="007B140B">
        <w:rPr>
          <w:rFonts w:ascii="Times New Roman" w:hAnsi="Times New Roman" w:cs="Times New Roman"/>
          <w:sz w:val="24"/>
          <w:szCs w:val="24"/>
          <w:lang w:val="en-US"/>
        </w:rPr>
        <w:t>wards, bone densitometry is usually located in other departments (if available at all) and primary care is often responsible for</w:t>
      </w:r>
      <w:r w:rsidR="00BE2381" w:rsidRPr="007B140B">
        <w:rPr>
          <w:rFonts w:ascii="Times New Roman" w:hAnsi="Times New Roman" w:cs="Times New Roman"/>
          <w:sz w:val="24"/>
          <w:szCs w:val="24"/>
          <w:lang w:val="en-US"/>
        </w:rPr>
        <w:t xml:space="preserve"> making</w:t>
      </w:r>
      <w:r w:rsidR="0038240B" w:rsidRPr="007B140B">
        <w:rPr>
          <w:rFonts w:ascii="Times New Roman" w:hAnsi="Times New Roman" w:cs="Times New Roman"/>
          <w:sz w:val="24"/>
          <w:szCs w:val="24"/>
          <w:lang w:val="en-US"/>
        </w:rPr>
        <w:t xml:space="preserve"> treatment decisions.  </w:t>
      </w:r>
    </w:p>
    <w:p w14:paraId="3800D472" w14:textId="5949F22B" w:rsidR="00DE08F5" w:rsidRPr="007B140B" w:rsidRDefault="00572A08" w:rsidP="00130534">
      <w:pPr>
        <w:rPr>
          <w:rFonts w:ascii="Times New Roman" w:hAnsi="Times New Roman" w:cs="Times New Roman"/>
          <w:sz w:val="24"/>
          <w:szCs w:val="24"/>
          <w:lang w:val="en-US"/>
        </w:rPr>
      </w:pPr>
      <w:bookmarkStart w:id="22" w:name="_Toc27746954"/>
      <w:bookmarkEnd w:id="21"/>
      <w:r w:rsidRPr="007B140B">
        <w:rPr>
          <w:rFonts w:ascii="Times New Roman" w:hAnsi="Times New Roman" w:cs="Times New Roman"/>
          <w:sz w:val="24"/>
          <w:szCs w:val="24"/>
          <w:lang w:val="en-US"/>
        </w:rPr>
        <w:t xml:space="preserve">Given the </w:t>
      </w:r>
      <w:r w:rsidR="00741F11" w:rsidRPr="007B140B">
        <w:rPr>
          <w:rFonts w:ascii="Times New Roman" w:hAnsi="Times New Roman" w:cs="Times New Roman"/>
          <w:sz w:val="24"/>
          <w:szCs w:val="24"/>
          <w:lang w:val="en-US"/>
        </w:rPr>
        <w:t>high incidence</w:t>
      </w:r>
      <w:r w:rsidRPr="007B140B">
        <w:rPr>
          <w:rFonts w:ascii="Times New Roman" w:hAnsi="Times New Roman" w:cs="Times New Roman"/>
          <w:sz w:val="24"/>
          <w:szCs w:val="24"/>
          <w:lang w:val="en-US"/>
        </w:rPr>
        <w:t xml:space="preserve"> of n</w:t>
      </w:r>
      <w:r w:rsidR="00741F11" w:rsidRPr="007B140B">
        <w:rPr>
          <w:rFonts w:ascii="Times New Roman" w:hAnsi="Times New Roman" w:cs="Times New Roman"/>
          <w:sz w:val="24"/>
          <w:szCs w:val="24"/>
          <w:lang w:val="en-US"/>
        </w:rPr>
        <w:t xml:space="preserve">on-hip, non-vertebral fractures, </w:t>
      </w:r>
      <w:r w:rsidRPr="007B140B">
        <w:rPr>
          <w:rFonts w:ascii="Times New Roman" w:hAnsi="Times New Roman" w:cs="Times New Roman"/>
          <w:sz w:val="24"/>
          <w:szCs w:val="24"/>
          <w:lang w:val="en-US"/>
        </w:rPr>
        <w:t xml:space="preserve">the high risk of recurrent fractures, </w:t>
      </w:r>
      <w:r w:rsidR="00741F11" w:rsidRPr="007B140B">
        <w:rPr>
          <w:rFonts w:ascii="Times New Roman" w:hAnsi="Times New Roman" w:cs="Times New Roman"/>
          <w:sz w:val="24"/>
          <w:szCs w:val="24"/>
          <w:lang w:val="en-US"/>
        </w:rPr>
        <w:t xml:space="preserve">and the </w:t>
      </w:r>
      <w:r w:rsidRPr="007B140B">
        <w:rPr>
          <w:rFonts w:ascii="Times New Roman" w:hAnsi="Times New Roman" w:cs="Times New Roman"/>
          <w:sz w:val="24"/>
          <w:szCs w:val="24"/>
          <w:lang w:val="en-US"/>
        </w:rPr>
        <w:t>serious</w:t>
      </w:r>
      <w:r w:rsidR="00741F11" w:rsidRPr="007B140B">
        <w:rPr>
          <w:rFonts w:ascii="Times New Roman" w:hAnsi="Times New Roman" w:cs="Times New Roman"/>
          <w:sz w:val="24"/>
          <w:szCs w:val="24"/>
          <w:lang w:val="en-US"/>
        </w:rPr>
        <w:t>ness of</w:t>
      </w:r>
      <w:r w:rsidRPr="007B140B">
        <w:rPr>
          <w:rFonts w:ascii="Times New Roman" w:hAnsi="Times New Roman" w:cs="Times New Roman"/>
          <w:sz w:val="24"/>
          <w:szCs w:val="24"/>
          <w:lang w:val="en-US"/>
        </w:rPr>
        <w:t xml:space="preserve"> hip and vertebral fractures</w:t>
      </w:r>
      <w:r w:rsidR="00741F11" w:rsidRPr="007B140B">
        <w:rPr>
          <w:rFonts w:ascii="Times New Roman" w:hAnsi="Times New Roman" w:cs="Times New Roman"/>
          <w:sz w:val="24"/>
          <w:szCs w:val="24"/>
          <w:lang w:val="en-US"/>
        </w:rPr>
        <w:t>, which occur</w:t>
      </w:r>
      <w:r w:rsidRPr="007B140B">
        <w:rPr>
          <w:rFonts w:ascii="Times New Roman" w:hAnsi="Times New Roman" w:cs="Times New Roman"/>
          <w:sz w:val="24"/>
          <w:szCs w:val="24"/>
          <w:lang w:val="en-US"/>
        </w:rPr>
        <w:t xml:space="preserve"> later in life</w:t>
      </w:r>
      <w:r w:rsidR="0069314D" w:rsidRPr="007B140B">
        <w:rPr>
          <w:rFonts w:ascii="Times New Roman" w:hAnsi="Times New Roman" w:cs="Times New Roman"/>
          <w:sz w:val="24"/>
          <w:szCs w:val="24"/>
          <w:lang w:val="en-US"/>
        </w:rPr>
        <w:t xml:space="preserve"> than other types of fractures</w:t>
      </w:r>
      <w:r w:rsidRPr="007B140B">
        <w:rPr>
          <w:rFonts w:ascii="Times New Roman" w:hAnsi="Times New Roman" w:cs="Times New Roman"/>
          <w:sz w:val="24"/>
          <w:szCs w:val="24"/>
          <w:lang w:val="en-US"/>
        </w:rPr>
        <w:t xml:space="preserve">, it would be of high interest to study whether </w:t>
      </w:r>
      <w:r w:rsidR="00767CB3" w:rsidRPr="007B140B">
        <w:rPr>
          <w:rFonts w:ascii="Times New Roman" w:hAnsi="Times New Roman" w:cs="Times New Roman"/>
          <w:sz w:val="24"/>
          <w:szCs w:val="24"/>
          <w:lang w:val="en-US"/>
        </w:rPr>
        <w:t>bone-protective</w:t>
      </w:r>
      <w:r w:rsidR="00741F11" w:rsidRPr="007B140B">
        <w:rPr>
          <w:rFonts w:ascii="Times New Roman" w:hAnsi="Times New Roman" w:cs="Times New Roman"/>
          <w:sz w:val="24"/>
          <w:szCs w:val="24"/>
          <w:lang w:val="en-US"/>
        </w:rPr>
        <w:t xml:space="preserve"> therapy is</w:t>
      </w:r>
      <w:r w:rsidRPr="007B140B">
        <w:rPr>
          <w:rFonts w:ascii="Times New Roman" w:hAnsi="Times New Roman" w:cs="Times New Roman"/>
          <w:sz w:val="24"/>
          <w:szCs w:val="24"/>
          <w:lang w:val="en-US"/>
        </w:rPr>
        <w:t xml:space="preserve"> effective in </w:t>
      </w:r>
      <w:r w:rsidR="00741F11" w:rsidRPr="007B140B">
        <w:rPr>
          <w:rFonts w:ascii="Times New Roman" w:hAnsi="Times New Roman" w:cs="Times New Roman"/>
          <w:sz w:val="24"/>
          <w:szCs w:val="24"/>
          <w:lang w:val="en-US"/>
        </w:rPr>
        <w:t>older adults</w:t>
      </w:r>
      <w:r w:rsidRPr="007B140B">
        <w:rPr>
          <w:rFonts w:ascii="Times New Roman" w:hAnsi="Times New Roman" w:cs="Times New Roman"/>
          <w:sz w:val="24"/>
          <w:szCs w:val="24"/>
          <w:lang w:val="en-US"/>
        </w:rPr>
        <w:t xml:space="preserve"> </w:t>
      </w:r>
      <w:r w:rsidR="00BB25D5">
        <w:rPr>
          <w:rFonts w:ascii="Times New Roman" w:hAnsi="Times New Roman" w:cs="Times New Roman"/>
          <w:sz w:val="24"/>
          <w:szCs w:val="24"/>
          <w:lang w:val="en-US"/>
        </w:rPr>
        <w:t xml:space="preserve">who are </w:t>
      </w:r>
      <w:r w:rsidR="00E04121" w:rsidRPr="007B140B">
        <w:rPr>
          <w:rFonts w:ascii="Times New Roman" w:hAnsi="Times New Roman" w:cs="Times New Roman"/>
          <w:sz w:val="24"/>
          <w:szCs w:val="24"/>
          <w:lang w:val="en-US"/>
        </w:rPr>
        <w:t xml:space="preserve">selected solely for </w:t>
      </w:r>
      <w:r w:rsidR="000B466A" w:rsidRPr="007B140B">
        <w:rPr>
          <w:rFonts w:ascii="Times New Roman" w:hAnsi="Times New Roman" w:cs="Times New Roman"/>
          <w:sz w:val="24"/>
          <w:szCs w:val="24"/>
          <w:lang w:val="en-US"/>
        </w:rPr>
        <w:t xml:space="preserve">having </w:t>
      </w:r>
      <w:r w:rsidR="00E04121" w:rsidRPr="007B140B">
        <w:rPr>
          <w:rFonts w:ascii="Times New Roman" w:hAnsi="Times New Roman" w:cs="Times New Roman"/>
          <w:sz w:val="24"/>
          <w:szCs w:val="24"/>
          <w:lang w:val="en-US"/>
        </w:rPr>
        <w:t>a</w:t>
      </w:r>
      <w:r w:rsidRPr="007B140B">
        <w:rPr>
          <w:rFonts w:ascii="Times New Roman" w:hAnsi="Times New Roman" w:cs="Times New Roman"/>
          <w:sz w:val="24"/>
          <w:szCs w:val="24"/>
          <w:lang w:val="en-US"/>
        </w:rPr>
        <w:t xml:space="preserve"> </w:t>
      </w:r>
      <w:r w:rsidR="000B466A" w:rsidRPr="007B140B">
        <w:rPr>
          <w:rFonts w:ascii="Times New Roman" w:hAnsi="Times New Roman" w:cs="Times New Roman"/>
          <w:sz w:val="24"/>
          <w:szCs w:val="24"/>
          <w:lang w:val="en-US"/>
        </w:rPr>
        <w:t xml:space="preserve">history of </w:t>
      </w:r>
      <w:r w:rsidR="00741F11" w:rsidRPr="007B140B">
        <w:rPr>
          <w:rFonts w:ascii="Times New Roman" w:hAnsi="Times New Roman" w:cs="Times New Roman"/>
          <w:sz w:val="24"/>
          <w:szCs w:val="24"/>
          <w:lang w:val="en-US"/>
        </w:rPr>
        <w:t>non-hip, non-</w:t>
      </w:r>
      <w:r w:rsidR="00741F11" w:rsidRPr="007B140B">
        <w:rPr>
          <w:rFonts w:ascii="Times New Roman" w:hAnsi="Times New Roman" w:cs="Times New Roman"/>
          <w:sz w:val="24"/>
          <w:szCs w:val="24"/>
          <w:lang w:val="en-US"/>
        </w:rPr>
        <w:lastRenderedPageBreak/>
        <w:t>vertebral fracture</w:t>
      </w:r>
      <w:r w:rsidR="000D55A7">
        <w:rPr>
          <w:rFonts w:ascii="Times New Roman" w:hAnsi="Times New Roman" w:cs="Times New Roman"/>
          <w:sz w:val="24"/>
          <w:szCs w:val="24"/>
          <w:lang w:val="en-US"/>
        </w:rPr>
        <w:t xml:space="preserve"> (that is, </w:t>
      </w:r>
      <w:r w:rsidR="00D72B86" w:rsidRPr="007B140B">
        <w:rPr>
          <w:rFonts w:ascii="Times New Roman" w:hAnsi="Times New Roman" w:cs="Times New Roman"/>
          <w:sz w:val="24"/>
          <w:szCs w:val="24"/>
          <w:lang w:val="en-US"/>
        </w:rPr>
        <w:t xml:space="preserve">without </w:t>
      </w:r>
      <w:r w:rsidR="00991873" w:rsidRPr="007B140B">
        <w:rPr>
          <w:rFonts w:ascii="Times New Roman" w:hAnsi="Times New Roman" w:cs="Times New Roman"/>
          <w:sz w:val="24"/>
          <w:szCs w:val="24"/>
          <w:lang w:val="en-US"/>
        </w:rPr>
        <w:t xml:space="preserve">prior </w:t>
      </w:r>
      <w:r w:rsidR="00D72B86" w:rsidRPr="007B140B">
        <w:rPr>
          <w:rFonts w:ascii="Times New Roman" w:hAnsi="Times New Roman" w:cs="Times New Roman"/>
          <w:sz w:val="24"/>
          <w:szCs w:val="24"/>
          <w:lang w:val="en-US"/>
        </w:rPr>
        <w:t>assessment of bone mineral density</w:t>
      </w:r>
      <w:r w:rsidR="000D55A7">
        <w:rPr>
          <w:rFonts w:ascii="Times New Roman" w:hAnsi="Times New Roman" w:cs="Times New Roman"/>
          <w:sz w:val="24"/>
          <w:szCs w:val="24"/>
          <w:lang w:val="en-US"/>
        </w:rPr>
        <w:t>)</w:t>
      </w:r>
      <w:r w:rsidRPr="007B140B">
        <w:rPr>
          <w:rFonts w:ascii="Times New Roman" w:hAnsi="Times New Roman" w:cs="Times New Roman"/>
          <w:sz w:val="24"/>
          <w:szCs w:val="24"/>
          <w:lang w:val="en-US"/>
        </w:rPr>
        <w:t xml:space="preserve">. </w:t>
      </w:r>
      <w:r w:rsidR="00D9666D" w:rsidRPr="007B140B">
        <w:rPr>
          <w:rFonts w:ascii="Times New Roman" w:hAnsi="Times New Roman" w:cs="Times New Roman"/>
          <w:sz w:val="24"/>
          <w:szCs w:val="24"/>
          <w:lang w:val="en-US"/>
        </w:rPr>
        <w:t xml:space="preserve">Increased treatment of this patient group is feasible </w:t>
      </w:r>
      <w:r w:rsidR="00991873" w:rsidRPr="007B140B">
        <w:rPr>
          <w:rFonts w:ascii="Times New Roman" w:hAnsi="Times New Roman" w:cs="Times New Roman"/>
          <w:sz w:val="24"/>
          <w:szCs w:val="24"/>
          <w:lang w:val="en-US"/>
        </w:rPr>
        <w:t>because</w:t>
      </w:r>
      <w:r w:rsidR="00D9666D" w:rsidRPr="007B140B">
        <w:rPr>
          <w:rFonts w:ascii="Times New Roman" w:hAnsi="Times New Roman" w:cs="Times New Roman"/>
          <w:sz w:val="24"/>
          <w:szCs w:val="24"/>
          <w:lang w:val="en-US"/>
        </w:rPr>
        <w:t xml:space="preserve"> only around 10% of </w:t>
      </w:r>
      <w:r w:rsidR="000B466A" w:rsidRPr="007B140B">
        <w:rPr>
          <w:rFonts w:ascii="Times New Roman" w:hAnsi="Times New Roman" w:cs="Times New Roman"/>
          <w:sz w:val="24"/>
          <w:szCs w:val="24"/>
          <w:lang w:val="en-US"/>
        </w:rPr>
        <w:t xml:space="preserve">Swedish </w:t>
      </w:r>
      <w:r w:rsidR="00D9666D" w:rsidRPr="007B140B">
        <w:rPr>
          <w:rFonts w:ascii="Times New Roman" w:hAnsi="Times New Roman" w:cs="Times New Roman"/>
          <w:sz w:val="24"/>
          <w:szCs w:val="24"/>
          <w:lang w:val="en-US"/>
        </w:rPr>
        <w:t>fracture patient</w:t>
      </w:r>
      <w:r w:rsidR="0023434E" w:rsidRPr="007B140B">
        <w:rPr>
          <w:rFonts w:ascii="Times New Roman" w:hAnsi="Times New Roman" w:cs="Times New Roman"/>
          <w:sz w:val="24"/>
          <w:szCs w:val="24"/>
          <w:lang w:val="en-US"/>
        </w:rPr>
        <w:t>s</w:t>
      </w:r>
      <w:r w:rsidR="00D9666D" w:rsidRPr="007B140B">
        <w:rPr>
          <w:rFonts w:ascii="Times New Roman" w:hAnsi="Times New Roman" w:cs="Times New Roman"/>
          <w:sz w:val="24"/>
          <w:szCs w:val="24"/>
          <w:lang w:val="en-US"/>
        </w:rPr>
        <w:t xml:space="preserve"> aged 50 or older receive treatment.</w:t>
      </w:r>
      <w:r w:rsidR="00D9666D" w:rsidRPr="007B140B">
        <w:rPr>
          <w:rFonts w:ascii="Times New Roman" w:hAnsi="Times New Roman" w:cs="Times New Roman"/>
          <w:sz w:val="24"/>
          <w:szCs w:val="24"/>
          <w:lang w:val="en-US"/>
        </w:rPr>
        <w:fldChar w:fldCharType="begin" w:fldLock="1"/>
      </w:r>
      <w:r w:rsidR="00D2485C">
        <w:rPr>
          <w:rFonts w:ascii="Times New Roman" w:hAnsi="Times New Roman" w:cs="Times New Roman"/>
          <w:sz w:val="24"/>
          <w:szCs w:val="24"/>
          <w:lang w:val="en-US"/>
        </w:rPr>
        <w:instrText>ADDIN CSL_CITATION {"citationItems":[{"id":"ITEM-1","itemData":{"DOI":"10.1007/s00198-017-4367-7.","author":[{"dropping-particle":"","family":"Bergman","given":"J","non-dropping-particle":"","parse-names":false,"suffix":""},{"dropping-particle":"","family":"Nordström","given":"A","non-dropping-particle":"","parse-names":false,"suffix":""},{"dropping-particle":"","family":"Nordström","given":"P","non-dropping-particle":"","parse-names":false,"suffix":""}],"container-title":"Osteoporosis International","id":"ITEM-1","issue":"4","issued":{"date-parts":[["2018"]]},"page":"937-945","title":"Bisphosphonate use after clinical fracture and risk of new fracture","type":"article-journal","volume":"29"},"uris":["http://www.mendeley.com/documents/?uuid=eb7ca692-5558-44cd-b470-46cf0e5c1d73"]},{"id":"ITEM-2","itemData":{"author":[{"dropping-particle":"","family":"Socialstyrelsen","given":"","non-dropping-particle":"","parse-names":false,"suffix":""},{"dropping-particle":"","family":"Sveriges kommuner och landsting","given":"","non-dropping-particle":"","parse-names":false,"suffix":""}],"id":"ITEM-2","issued":{"date-parts":[["2014"]]},"number-of-pages":"223","publisher-place":"Stockholm","title":"Öppna jämförelser 2014: Hälso- och sjukvård - jämförelser mellan landsting. Del 2. Indikatorer om sjukdomar och behandlingar","type":"book"},"uris":["http://www.mendeley.com/documents/?uuid=cf48489f-97b1-49f8-8e97-ef99b2f367d9"]}],"mendeley":{"formattedCitation":"&lt;sup&gt;&lt;sup&gt;15&lt;/sup&gt;,&lt;sup&gt;16&lt;/sup&gt;&lt;/sup&gt;","plainTextFormattedCitation":"15,16","previouslyFormattedCitation":"&lt;sup&gt;&lt;sup&gt;15&lt;/sup&gt;,&lt;sup&gt;16&lt;/sup&gt;&lt;/sup&gt;"},"properties":{"noteIndex":0},"schema":"https://github.com/citation-style-language/schema/raw/master/csl-citation.json"}</w:instrText>
      </w:r>
      <w:r w:rsidR="00D9666D" w:rsidRPr="007B140B">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15,16</w:t>
      </w:r>
      <w:r w:rsidR="00D9666D" w:rsidRPr="007B140B">
        <w:rPr>
          <w:rFonts w:ascii="Times New Roman" w:hAnsi="Times New Roman" w:cs="Times New Roman"/>
          <w:sz w:val="24"/>
          <w:szCs w:val="24"/>
          <w:lang w:val="en-US"/>
        </w:rPr>
        <w:fldChar w:fldCharType="end"/>
      </w:r>
      <w:bookmarkEnd w:id="22"/>
    </w:p>
    <w:p w14:paraId="54A00493" w14:textId="3774E519" w:rsidR="00064481" w:rsidRPr="007B140B" w:rsidRDefault="00186D9B" w:rsidP="00273AA9">
      <w:p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Zoledronic acid is a </w:t>
      </w:r>
      <w:r w:rsidR="00555CDC" w:rsidRPr="007B140B">
        <w:rPr>
          <w:rFonts w:ascii="Times New Roman" w:hAnsi="Times New Roman" w:cs="Times New Roman"/>
          <w:sz w:val="24"/>
          <w:szCs w:val="24"/>
          <w:lang w:val="en-US"/>
        </w:rPr>
        <w:t>well-known</w:t>
      </w:r>
      <w:r w:rsidRPr="007B140B">
        <w:rPr>
          <w:rFonts w:ascii="Times New Roman" w:hAnsi="Times New Roman" w:cs="Times New Roman"/>
          <w:sz w:val="24"/>
          <w:szCs w:val="24"/>
          <w:lang w:val="en-US"/>
        </w:rPr>
        <w:t xml:space="preserve"> </w:t>
      </w:r>
      <w:r w:rsidR="00555CDC" w:rsidRPr="007B140B">
        <w:rPr>
          <w:rFonts w:ascii="Times New Roman" w:hAnsi="Times New Roman" w:cs="Times New Roman"/>
          <w:sz w:val="24"/>
          <w:szCs w:val="24"/>
          <w:lang w:val="en-US"/>
        </w:rPr>
        <w:t xml:space="preserve">and well-studied </w:t>
      </w:r>
      <w:r w:rsidR="003A5D29" w:rsidRPr="007B140B">
        <w:rPr>
          <w:rFonts w:ascii="Times New Roman" w:hAnsi="Times New Roman" w:cs="Times New Roman"/>
          <w:sz w:val="24"/>
          <w:szCs w:val="24"/>
          <w:lang w:val="en-US"/>
        </w:rPr>
        <w:t xml:space="preserve">bone-protective </w:t>
      </w:r>
      <w:r w:rsidR="00580DE5" w:rsidRPr="007B140B">
        <w:rPr>
          <w:rFonts w:ascii="Times New Roman" w:hAnsi="Times New Roman" w:cs="Times New Roman"/>
          <w:sz w:val="24"/>
          <w:szCs w:val="24"/>
          <w:lang w:val="en-US"/>
        </w:rPr>
        <w:t>agent</w:t>
      </w:r>
      <w:r w:rsidR="00991873" w:rsidRPr="007B140B">
        <w:rPr>
          <w:rFonts w:ascii="Times New Roman" w:hAnsi="Times New Roman" w:cs="Times New Roman"/>
          <w:sz w:val="24"/>
          <w:szCs w:val="24"/>
          <w:lang w:val="en-US"/>
        </w:rPr>
        <w:t>,</w:t>
      </w:r>
      <w:r w:rsidR="00532B23" w:rsidRPr="007B140B">
        <w:rPr>
          <w:rFonts w:ascii="Times New Roman" w:hAnsi="Times New Roman" w:cs="Times New Roman"/>
          <w:sz w:val="24"/>
          <w:szCs w:val="24"/>
          <w:lang w:val="en-US"/>
        </w:rPr>
        <w:t xml:space="preserve"> </w:t>
      </w:r>
      <w:r w:rsidR="0043690B" w:rsidRPr="007B140B">
        <w:rPr>
          <w:rFonts w:ascii="Times New Roman" w:hAnsi="Times New Roman" w:cs="Times New Roman"/>
          <w:sz w:val="24"/>
          <w:szCs w:val="24"/>
          <w:lang w:val="en-US"/>
        </w:rPr>
        <w:t xml:space="preserve">which was </w:t>
      </w:r>
      <w:r w:rsidR="00991873" w:rsidRPr="007B140B">
        <w:rPr>
          <w:rFonts w:ascii="Times New Roman" w:hAnsi="Times New Roman" w:cs="Times New Roman"/>
          <w:sz w:val="24"/>
          <w:szCs w:val="24"/>
          <w:lang w:val="en-US"/>
        </w:rPr>
        <w:t>a</w:t>
      </w:r>
      <w:r w:rsidR="00555CDC" w:rsidRPr="007B140B">
        <w:rPr>
          <w:rFonts w:ascii="Times New Roman" w:hAnsi="Times New Roman" w:cs="Times New Roman"/>
          <w:sz w:val="24"/>
          <w:szCs w:val="24"/>
          <w:lang w:val="en-US"/>
        </w:rPr>
        <w:t>pproved in the European Union in 2005</w:t>
      </w:r>
      <w:r w:rsidR="00991873" w:rsidRPr="007B140B">
        <w:rPr>
          <w:rFonts w:ascii="Times New Roman" w:hAnsi="Times New Roman" w:cs="Times New Roman"/>
          <w:sz w:val="24"/>
          <w:szCs w:val="24"/>
          <w:lang w:val="en-US"/>
        </w:rPr>
        <w:t>.</w:t>
      </w:r>
      <w:r w:rsidRPr="007B140B">
        <w:rPr>
          <w:rFonts w:ascii="Times New Roman" w:hAnsi="Times New Roman" w:cs="Times New Roman"/>
          <w:sz w:val="24"/>
          <w:szCs w:val="24"/>
          <w:lang w:val="en-US"/>
        </w:rPr>
        <w:fldChar w:fldCharType="begin" w:fldLock="1"/>
      </w:r>
      <w:r w:rsidR="00D2485C">
        <w:rPr>
          <w:rFonts w:ascii="Times New Roman" w:hAnsi="Times New Roman" w:cs="Times New Roman"/>
          <w:sz w:val="24"/>
          <w:szCs w:val="24"/>
          <w:lang w:val="en-US"/>
        </w:rPr>
        <w:instrText>ADDIN CSL_CITATION {"citationItems":[{"id":"ITEM-1","itemData":{"DOI":"10.1201/9780203971093.bmatt","id":"ITEM-1","issued":{"date-parts":[["0"]]},"title":"Aclasta: European Public Assessment Report (EPAR) - Product Information, Annex 1 - Summary of product characteristics (31/07/2019 Aclasta - EMEA/H/C/000595 - II/0072)","type":"article"},"uris":["http://www.mendeley.com/documents/?uuid=649b59e6-52cf-4c90-80d7-152dde40c643"]}],"mendeley":{"formattedCitation":"&lt;sup&gt;&lt;sup&gt;17&lt;/sup&gt;&lt;/sup&gt;","plainTextFormattedCitation":"17","previouslyFormattedCitation":"&lt;sup&gt;&lt;sup&gt;17&lt;/sup&gt;&lt;/sup&gt;"},"properties":{"noteIndex":0},"schema":"https://github.com/citation-style-language/schema/raw/master/csl-citation.json"}</w:instrText>
      </w:r>
      <w:r w:rsidRPr="007B140B">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17</w:t>
      </w:r>
      <w:r w:rsidRPr="007B140B">
        <w:rPr>
          <w:rFonts w:ascii="Times New Roman" w:hAnsi="Times New Roman" w:cs="Times New Roman"/>
          <w:sz w:val="24"/>
          <w:szCs w:val="24"/>
          <w:lang w:val="en-US"/>
        </w:rPr>
        <w:fldChar w:fldCharType="end"/>
      </w:r>
      <w:r w:rsidR="00991873" w:rsidRPr="007B140B">
        <w:rPr>
          <w:rFonts w:ascii="Times New Roman" w:hAnsi="Times New Roman" w:cs="Times New Roman"/>
          <w:sz w:val="24"/>
          <w:szCs w:val="24"/>
          <w:lang w:val="en-US"/>
        </w:rPr>
        <w:t xml:space="preserve"> Z</w:t>
      </w:r>
      <w:r w:rsidR="00555CDC" w:rsidRPr="007B140B">
        <w:rPr>
          <w:rFonts w:ascii="Times New Roman" w:hAnsi="Times New Roman" w:cs="Times New Roman"/>
          <w:sz w:val="24"/>
          <w:szCs w:val="24"/>
          <w:lang w:val="en-US"/>
        </w:rPr>
        <w:t>oledronic acid</w:t>
      </w:r>
      <w:r w:rsidRPr="007B140B">
        <w:rPr>
          <w:rFonts w:ascii="Times New Roman" w:hAnsi="Times New Roman" w:cs="Times New Roman"/>
          <w:sz w:val="24"/>
          <w:szCs w:val="24"/>
          <w:lang w:val="en-US"/>
        </w:rPr>
        <w:t xml:space="preserve"> </w:t>
      </w:r>
      <w:r w:rsidR="00D1590A" w:rsidRPr="007B140B">
        <w:rPr>
          <w:rFonts w:ascii="Times New Roman" w:hAnsi="Times New Roman" w:cs="Times New Roman"/>
          <w:sz w:val="24"/>
          <w:szCs w:val="24"/>
          <w:lang w:val="en-US"/>
        </w:rPr>
        <w:t>reduces bone resorption and belongs to the bisphosphonate class.</w:t>
      </w:r>
      <w:r w:rsidR="00D1590A" w:rsidRPr="007B140B">
        <w:rPr>
          <w:rFonts w:ascii="Times New Roman" w:hAnsi="Times New Roman" w:cs="Times New Roman"/>
          <w:sz w:val="24"/>
          <w:szCs w:val="24"/>
          <w:lang w:val="en-US"/>
        </w:rPr>
        <w:fldChar w:fldCharType="begin" w:fldLock="1"/>
      </w:r>
      <w:r w:rsidR="00D2485C">
        <w:rPr>
          <w:rFonts w:ascii="Times New Roman" w:hAnsi="Times New Roman" w:cs="Times New Roman"/>
          <w:sz w:val="24"/>
          <w:szCs w:val="24"/>
          <w:lang w:val="en-US"/>
        </w:rPr>
        <w:instrText>ADDIN CSL_CITATION {"citationItems":[{"id":"ITEM-1","itemData":{"DOI":"10.1016/S0140-6736(18)32112-3","ISSN":"1474547X","PMID":"24558909","abstract":"Fractures resulting from osteoporosis become increasingly common in women after age 55 years and men after age 65 years, resulting in substantial bone-associated morbidities, and increased mortality and health-care costs. Research advances have led to a more accurate assessment of fracture risk and have increased the range of therapeutic options available to prevent fractures. Fracture risk algorithms that combine clinical risk factors and bone mineral density are now widely used in clinical practice to target high-risk individuals for treatment. The discovery of key pathways regulating bone resorption and formation has identified new approaches to treatment with distinctive mechanisms of action. Osteoporosis is a chronic condition and long-term, sometimes lifelong, management is required. In individuals at high risk of fracture, the benefit versus risk profile is likely to be favourable for up to 10 years of treatment with bisphosphonates or denosumab. In people at a very high or imminent risk of fracture, therapy with teriparatide or abaloparatide should be considered; however, since treatment duration with these drugs is restricted to 18–24 months, treatment should be continued with an antiresorptive drug. Individuals at high risk of fractures do not receive adequate treatment and strategies to address this treatment gap—eg, widespread implementation of Fracture Liaison Services and improvement of adherence to therapy—are important challenges for the future.","author":[{"dropping-particle":"","family":"Compston","given":"Juliet E.","non-dropping-particle":"","parse-names":false,"suffix":""},{"dropping-particle":"","family":"McClung","given":"Michael R.","non-dropping-particle":"","parse-names":false,"suffix":""},{"dropping-particle":"","family":"Leslie","given":"William D.","non-dropping-particle":"","parse-names":false,"suffix":""}],"container-title":"The Lancet","id":"ITEM-1","issue":"10169","issued":{"date-parts":[["2019"]]},"page":"364-376","title":"Osteoporosis","type":"article-journal","volume":"393"},"uris":["http://www.mendeley.com/documents/?uuid=09366df3-89c4-4504-b26c-2b174621930a"]}],"mendeley":{"formattedCitation":"&lt;sup&gt;&lt;sup&gt;18&lt;/sup&gt;&lt;/sup&gt;","plainTextFormattedCitation":"18","previouslyFormattedCitation":"&lt;sup&gt;&lt;sup&gt;18&lt;/sup&gt;&lt;/sup&gt;"},"properties":{"noteIndex":0},"schema":"https://github.com/citation-style-language/schema/raw/master/csl-citation.json"}</w:instrText>
      </w:r>
      <w:r w:rsidR="00D1590A" w:rsidRPr="007B140B">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18</w:t>
      </w:r>
      <w:r w:rsidR="00D1590A" w:rsidRPr="007B140B">
        <w:rPr>
          <w:rFonts w:ascii="Times New Roman" w:hAnsi="Times New Roman" w:cs="Times New Roman"/>
          <w:sz w:val="24"/>
          <w:szCs w:val="24"/>
          <w:lang w:val="en-US"/>
        </w:rPr>
        <w:fldChar w:fldCharType="end"/>
      </w:r>
      <w:r w:rsidR="00D1590A" w:rsidRPr="007B140B">
        <w:rPr>
          <w:rFonts w:ascii="Times New Roman" w:hAnsi="Times New Roman" w:cs="Times New Roman"/>
          <w:sz w:val="24"/>
          <w:szCs w:val="24"/>
          <w:lang w:val="en-US"/>
        </w:rPr>
        <w:t xml:space="preserve"> </w:t>
      </w:r>
      <w:r w:rsidR="00A45FD2" w:rsidRPr="007B140B">
        <w:rPr>
          <w:rFonts w:ascii="Times New Roman" w:hAnsi="Times New Roman" w:cs="Times New Roman"/>
          <w:sz w:val="24"/>
          <w:szCs w:val="24"/>
          <w:lang w:val="en-US"/>
        </w:rPr>
        <w:t>In three large clinical trials, z</w:t>
      </w:r>
      <w:r w:rsidR="00CE758D" w:rsidRPr="007B140B">
        <w:rPr>
          <w:rFonts w:ascii="Times New Roman" w:hAnsi="Times New Roman" w:cs="Times New Roman"/>
          <w:sz w:val="24"/>
          <w:szCs w:val="24"/>
          <w:lang w:val="en-US"/>
        </w:rPr>
        <w:t xml:space="preserve">oledronic acid was </w:t>
      </w:r>
      <w:r w:rsidR="00555CDC" w:rsidRPr="007B140B">
        <w:rPr>
          <w:rFonts w:ascii="Times New Roman" w:hAnsi="Times New Roman" w:cs="Times New Roman"/>
          <w:sz w:val="24"/>
          <w:szCs w:val="24"/>
          <w:lang w:val="en-US"/>
        </w:rPr>
        <w:t>shown to reduc</w:t>
      </w:r>
      <w:r w:rsidR="00CA0F2D" w:rsidRPr="007B140B">
        <w:rPr>
          <w:rFonts w:ascii="Times New Roman" w:hAnsi="Times New Roman" w:cs="Times New Roman"/>
          <w:sz w:val="24"/>
          <w:szCs w:val="24"/>
          <w:lang w:val="en-US"/>
        </w:rPr>
        <w:t>e the risk of clinical fracture</w:t>
      </w:r>
      <w:r w:rsidR="00555CDC" w:rsidRPr="007B140B">
        <w:rPr>
          <w:rFonts w:ascii="Times New Roman" w:hAnsi="Times New Roman" w:cs="Times New Roman"/>
          <w:sz w:val="24"/>
          <w:szCs w:val="24"/>
          <w:lang w:val="en-US"/>
        </w:rPr>
        <w:t xml:space="preserve"> in women with osteoporosis, in women with osteopenia</w:t>
      </w:r>
      <w:r w:rsidR="00EA6E26" w:rsidRPr="007B140B">
        <w:rPr>
          <w:rFonts w:ascii="Times New Roman" w:hAnsi="Times New Roman" w:cs="Times New Roman"/>
          <w:sz w:val="24"/>
          <w:szCs w:val="24"/>
          <w:lang w:val="en-US"/>
        </w:rPr>
        <w:t xml:space="preserve">, and in men and women with </w:t>
      </w:r>
      <w:r w:rsidR="00C34446">
        <w:rPr>
          <w:rFonts w:ascii="Times New Roman" w:hAnsi="Times New Roman" w:cs="Times New Roman"/>
          <w:sz w:val="24"/>
          <w:szCs w:val="24"/>
          <w:lang w:val="en-US"/>
        </w:rPr>
        <w:t xml:space="preserve">a </w:t>
      </w:r>
      <w:r w:rsidR="00EA6E26" w:rsidRPr="007B140B">
        <w:rPr>
          <w:rFonts w:ascii="Times New Roman" w:hAnsi="Times New Roman" w:cs="Times New Roman"/>
          <w:sz w:val="24"/>
          <w:szCs w:val="24"/>
          <w:lang w:val="en-US"/>
        </w:rPr>
        <w:t>hip fracture</w:t>
      </w:r>
      <w:r w:rsidR="00555CDC" w:rsidRPr="007B140B">
        <w:rPr>
          <w:rFonts w:ascii="Times New Roman" w:hAnsi="Times New Roman" w:cs="Times New Roman"/>
          <w:sz w:val="24"/>
          <w:szCs w:val="24"/>
          <w:lang w:val="en-US"/>
        </w:rPr>
        <w:t>.</w:t>
      </w:r>
      <w:r w:rsidR="00555CDC" w:rsidRPr="007B140B">
        <w:rPr>
          <w:rFonts w:ascii="Times New Roman" w:hAnsi="Times New Roman" w:cs="Times New Roman"/>
          <w:sz w:val="24"/>
          <w:szCs w:val="24"/>
          <w:lang w:val="en-US"/>
        </w:rPr>
        <w:fldChar w:fldCharType="begin" w:fldLock="1"/>
      </w:r>
      <w:r w:rsidR="00D2485C">
        <w:rPr>
          <w:rFonts w:ascii="Times New Roman" w:hAnsi="Times New Roman" w:cs="Times New Roman"/>
          <w:sz w:val="24"/>
          <w:szCs w:val="24"/>
          <w:lang w:val="en-US"/>
        </w:rPr>
        <w:instrText>ADDIN CSL_CITATION {"citationItems":[{"id":"ITEM-1","itemData":{"DOI":"10.1056/NEJMoa067312","author":[{"dropping-particle":"","family":"Black","given":"D M","non-dropping-particle":"","parse-names":false,"suffix":""},{"dropping-particle":"","family":"Delmas","given":"P D","non-dropping-particle":"","parse-names":false,"suffix":""},{"dropping-particle":"","family":"Eastell","given":"R","non-dropping-particle":"","parse-names":false,"suffix":""},{"dropping-particle":"","family":"Reid","given":"I R","non-dropping-particle":"","parse-names":false,"suffix":""},{"dropping-particle":"","family":"Boonen","given":"S","non-dropping-particle":"","parse-names":false,"suffix":""},{"dropping-particle":"","family":"Cauley","given":"J A","non-dropping-particle":"","parse-names":false,"suffix":""},{"dropping-particle":"","family":"Cosman","given":"F","non-dropping-particle":"","parse-names":false,"suffix":""},{"dropping-particle":"","family":"Lakatos","given":"P","non-dropping-particle":"","parse-names":false,"suffix":""},{"dropping-particle":"","family":"Leung","given":"P C","non-dropping-particle":"","parse-names":false,"suffix":""},{"dropping-particle":"","family":"Man","given":"Z","non-dropping-particle":"","parse-names":false,"suffix":""},{"dropping-particle":"","family":"Mautalen","given":"C","non-dropping-particle":"","parse-names":false,"suffix":""},{"dropping-particle":"","family":"Mesenbrink","given":"P","non-dropping-particle":"","parse-names":false,"suffix":""},{"dropping-particle":"","family":"Hu","given":"H","non-dropping-particle":"","parse-names":false,"suffix":""},{"dropping-particle":"","family":"Caminis","given":"J","non-dropping-particle":"","parse-names":false,"suffix":""},{"dropping-particle":"","family":"Tong","given":"K","non-dropping-particle":"","parse-names":false,"suffix":""},{"dropping-particle":"","family":"Rosario-Jansen","given":"T","non-dropping-particle":"","parse-names":false,"suffix":""},{"dropping-particle":"","family":"Krasnow","given":"J","non-dropping-particle":"","parse-names":false,"suffix":""},{"dropping-particle":"","family":"Hue","given":"T F","non-dropping-particle":"","parse-names":false,"suffix":""},{"dropping-particle":"","family":"Sellmeyer","given":"D","non-dropping-particle":"","parse-names":false,"suffix":""},{"dropping-particle":"","family":"Eriksen","given":"E F","non-dropping-particle":"","parse-names":false,"suffix":""},{"dropping-particle":"","family":"Cummings","given":"S R","non-dropping-particle":"","parse-names":false,"suffix":""}],"container-title":"N Engl J Med","id":"ITEM-1","issue":"18","issued":{"date-parts":[["2007"]]},"page":"1809-1822","title":"Once-yearly zoledronic acid for treatment of postmenopausal osteoporosis","type":"article-journal","volume":"356"},"uris":["http://www.mendeley.com/documents/?uuid=0f13fad4-b5f5-42f7-873f-7dd2216502be"]},{"id":"ITEM-2","itemData":{"DOI":"10.1056/NEJMoa074941","author":[{"dropping-particle":"","family":"Lyles","given":"Kenneth W.","non-dropping-particle":"","parse-names":false,"suffix":""},{"dropping-particle":"","family":"Colón-Emeric","given":"Cathleen S.","non-dropping-particle":"","parse-names":false,"suffix":""},{"dropping-particle":"","family":"Magaziner","given":"Jay S.","non-dropping-particle":"","parse-names":false,"suffix":""},{"dropping-particle":"","family":"Adachi","given":"Jonathan D.","non-dropping-particle":"","parse-names":false,"suffix":""},{"dropping-particle":"","family":"Pieper","given":"Carl F.","non-dropping-particle":"","parse-names":false,"suffix":""},{"dropping-particle":"","family":"Mautalen","given":"Carlos","non-dropping-particle":"","parse-names":false,"suffix":""},{"dropping-particle":"","family":"Hyldstrup","given":"Lars","non-dropping-particle":"","parse-names":false,"suffix":""},{"dropping-particle":"","family":"Recknor","given":"Chris","non-dropping-particle":"","parse-names":false,"suffix":""},{"dropping-particle":"","family":"Nordsletten","given":"Lars","non-dropping-particle":"","parse-names":false,"suffix":""},{"dropping-particle":"","family":"Moore","given":"Kathy A.","non-dropping-particle":"","parse-names":false,"suffix":""},{"dropping-particle":"","family":"Lavecchia","given":"Catherine","non-dropping-particle":"","parse-names":false,"suffix":""},{"dropping-particle":"","family":"Zhang","given":"Jie","non-dropping-particle":"","parse-names":false,"suffix":""},{"dropping-particle":"","family":"Mesenbrink","given":"Peter","non-dropping-particle":"","parse-names":false,"suffix":""},{"dropping-particle":"","family":"Hodgson","given":"Patricia K.","non-dropping-particle":"","parse-names":false,"suffix":""},{"dropping-particle":"","family":"Abrams","given":"Ken","non-dropping-particle":"","parse-names":false,"suffix":""},{"dropping-particle":"","family":"Orloff","given":"John J.","non-dropping-particle":"","parse-names":false,"suffix":""},{"dropping-particle":"","family":"Horowitz","given":"Zebulun","non-dropping-particle":"","parse-names":false,"suffix":""},{"dropping-particle":"","family":"Eriksen","given":"Erik Fink","non-dropping-particle":"","parse-names":false,"suffix":""},{"dropping-particle":"","family":"Boonen","given":"Steven","non-dropping-particle":"","parse-names":false,"suffix":""}],"container-title":"New England Journal of Medicine","id":"ITEM-2","issue":"18","issued":{"date-parts":[["2007"]]},"page":"1799-1809","title":"Zoledronic acid and clinical fractures and mortality after hip fracture","type":"article-journal","volume":"357"},"uris":["http://www.mendeley.com/documents/?uuid=fdc4eb3b-a387-4743-a233-680ae590c2cf"]},{"id":"ITEM-3","itemData":{"DOI":"10.1056/NEJMoa1808082","ISSN":"0028-4793","author":[{"dropping-particle":"","family":"Reid","given":"Ian R.","non-dropping-particle":"","parse-names":false,"suffix":""},{"dropping-particle":"","family":"Horne","given":"Anne M.","non-dropping-particle":"","parse-names":false,"suffix":""},{"dropping-particle":"","family":"Mihov","given":"Borislav","non-dropping-particle":"","parse-names":false,"suffix":""},{"dropping-particle":"","family":"Stewart","given":"Angela","non-dropping-particle":"","parse-names":false,"suffix":""},{"dropping-particle":"","family":"Garratt","given":"Elizabeth","non-dropping-particle":"","parse-names":false,"suffix":""},{"dropping-particle":"","family":"Wong","given":"Sumwai","non-dropping-particle":"","parse-names":false,"suffix":""},{"dropping-particle":"","family":"Wiessing","given":"Katy R.","non-dropping-particle":"","parse-names":false,"suffix":""},{"dropping-particle":"","family":"Bolland","given":"Mark J.","non-dropping-particle":"","parse-names":false,"suffix":""},{"dropping-particle":"","family":"Bastin","given":"Sonja","non-dropping-particle":"","parse-names":false,"suffix":""},{"dropping-particle":"","family":"Gamble","given":"Gregory D.","non-dropping-particle":"","parse-names":false,"suffix":""}],"container-title":"New England Journal of Medicine","id":"ITEM-3","issue":"25","issued":{"date-parts":[["2018"]]},"page":"2407-2416","title":"Fracture prevention with zoledronate in older women with osteopenia","type":"article-journal","volume":"379"},"uris":["http://www.mendeley.com/documents/?uuid=69cbf6db-0dca-4f28-87bb-02a266b0d7ef"]}],"mendeley":{"formattedCitation":"&lt;sup&gt;&lt;sup&gt;19&lt;/sup&gt;–&lt;sup&gt;21&lt;/sup&gt;&lt;/sup&gt;","plainTextFormattedCitation":"19–21","previouslyFormattedCitation":"&lt;sup&gt;&lt;sup&gt;19&lt;/sup&gt;–&lt;sup&gt;21&lt;/sup&gt;&lt;/sup&gt;"},"properties":{"noteIndex":0},"schema":"https://github.com/citation-style-language/schema/raw/master/csl-citation.json"}</w:instrText>
      </w:r>
      <w:r w:rsidR="00555CDC" w:rsidRPr="007B140B">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19–21</w:t>
      </w:r>
      <w:r w:rsidR="00555CDC" w:rsidRPr="007B140B">
        <w:rPr>
          <w:rFonts w:ascii="Times New Roman" w:hAnsi="Times New Roman" w:cs="Times New Roman"/>
          <w:sz w:val="24"/>
          <w:szCs w:val="24"/>
          <w:lang w:val="en-US"/>
        </w:rPr>
        <w:fldChar w:fldCharType="end"/>
      </w:r>
      <w:r w:rsidR="00555CDC" w:rsidRPr="007B140B">
        <w:rPr>
          <w:rFonts w:ascii="Times New Roman" w:hAnsi="Times New Roman" w:cs="Times New Roman"/>
          <w:sz w:val="24"/>
          <w:szCs w:val="24"/>
          <w:lang w:val="en-US"/>
        </w:rPr>
        <w:t xml:space="preserve"> </w:t>
      </w:r>
      <w:r w:rsidR="00E87B28" w:rsidRPr="007B140B">
        <w:rPr>
          <w:rFonts w:ascii="Times New Roman" w:hAnsi="Times New Roman" w:cs="Times New Roman"/>
          <w:sz w:val="24"/>
          <w:szCs w:val="24"/>
          <w:lang w:val="en-US"/>
        </w:rPr>
        <w:t>Although a</w:t>
      </w:r>
      <w:r w:rsidR="00CE758D" w:rsidRPr="007B140B">
        <w:rPr>
          <w:rFonts w:ascii="Times New Roman" w:hAnsi="Times New Roman" w:cs="Times New Roman"/>
          <w:sz w:val="24"/>
          <w:szCs w:val="24"/>
          <w:lang w:val="en-US"/>
        </w:rPr>
        <w:t xml:space="preserve"> </w:t>
      </w:r>
      <w:r w:rsidR="00EC791D" w:rsidRPr="007B140B">
        <w:rPr>
          <w:rFonts w:ascii="Times New Roman" w:hAnsi="Times New Roman" w:cs="Times New Roman"/>
          <w:sz w:val="24"/>
          <w:szCs w:val="24"/>
          <w:lang w:val="en-US"/>
        </w:rPr>
        <w:t xml:space="preserve">fourth </w:t>
      </w:r>
      <w:r w:rsidR="00CE758D" w:rsidRPr="007B140B">
        <w:rPr>
          <w:rFonts w:ascii="Times New Roman" w:hAnsi="Times New Roman" w:cs="Times New Roman"/>
          <w:sz w:val="24"/>
          <w:szCs w:val="24"/>
          <w:lang w:val="en-US"/>
        </w:rPr>
        <w:t>trial</w:t>
      </w:r>
      <w:r w:rsidR="005F5374" w:rsidRPr="007B140B">
        <w:rPr>
          <w:rFonts w:ascii="Times New Roman" w:hAnsi="Times New Roman" w:cs="Times New Roman"/>
          <w:sz w:val="24"/>
          <w:szCs w:val="24"/>
          <w:lang w:val="en-US"/>
        </w:rPr>
        <w:t xml:space="preserve"> </w:t>
      </w:r>
      <w:r w:rsidR="00CA0F2D" w:rsidRPr="007B140B">
        <w:rPr>
          <w:rFonts w:ascii="Times New Roman" w:hAnsi="Times New Roman" w:cs="Times New Roman"/>
          <w:sz w:val="24"/>
          <w:szCs w:val="24"/>
          <w:lang w:val="en-US"/>
        </w:rPr>
        <w:t xml:space="preserve">conducted </w:t>
      </w:r>
      <w:r w:rsidR="00E87B28" w:rsidRPr="007B140B">
        <w:rPr>
          <w:rFonts w:ascii="Times New Roman" w:hAnsi="Times New Roman" w:cs="Times New Roman"/>
          <w:sz w:val="24"/>
          <w:szCs w:val="24"/>
          <w:lang w:val="en-US"/>
        </w:rPr>
        <w:t>in men</w:t>
      </w:r>
      <w:r w:rsidR="00EA6E26" w:rsidRPr="007B140B">
        <w:rPr>
          <w:rFonts w:ascii="Times New Roman" w:hAnsi="Times New Roman" w:cs="Times New Roman"/>
          <w:sz w:val="24"/>
          <w:szCs w:val="24"/>
          <w:lang w:val="en-US"/>
        </w:rPr>
        <w:t xml:space="preserve"> </w:t>
      </w:r>
      <w:r w:rsidR="00EC791D" w:rsidRPr="007B140B">
        <w:rPr>
          <w:rFonts w:ascii="Times New Roman" w:hAnsi="Times New Roman" w:cs="Times New Roman"/>
          <w:sz w:val="24"/>
          <w:szCs w:val="24"/>
          <w:lang w:val="en-US"/>
        </w:rPr>
        <w:t xml:space="preserve">with osteoporosis </w:t>
      </w:r>
      <w:r w:rsidR="00EA6E26" w:rsidRPr="007B140B">
        <w:rPr>
          <w:rFonts w:ascii="Times New Roman" w:hAnsi="Times New Roman" w:cs="Times New Roman"/>
          <w:sz w:val="24"/>
          <w:szCs w:val="24"/>
          <w:lang w:val="en-US"/>
        </w:rPr>
        <w:t xml:space="preserve">did not </w:t>
      </w:r>
      <w:r w:rsidR="00E87B28" w:rsidRPr="007B140B">
        <w:rPr>
          <w:rFonts w:ascii="Times New Roman" w:hAnsi="Times New Roman" w:cs="Times New Roman"/>
          <w:sz w:val="24"/>
          <w:szCs w:val="24"/>
          <w:lang w:val="en-US"/>
        </w:rPr>
        <w:t>show</w:t>
      </w:r>
      <w:r w:rsidR="00EA6E26" w:rsidRPr="007B140B">
        <w:rPr>
          <w:rFonts w:ascii="Times New Roman" w:hAnsi="Times New Roman" w:cs="Times New Roman"/>
          <w:sz w:val="24"/>
          <w:szCs w:val="24"/>
          <w:lang w:val="en-US"/>
        </w:rPr>
        <w:t xml:space="preserve"> a significant effect</w:t>
      </w:r>
      <w:r w:rsidR="00CA0F2D" w:rsidRPr="007B140B">
        <w:rPr>
          <w:rFonts w:ascii="Times New Roman" w:hAnsi="Times New Roman" w:cs="Times New Roman"/>
          <w:sz w:val="24"/>
          <w:szCs w:val="24"/>
          <w:lang w:val="en-US"/>
        </w:rPr>
        <w:t xml:space="preserve"> of zoledronic acid</w:t>
      </w:r>
      <w:r w:rsidR="00EA6E26" w:rsidRPr="007B140B">
        <w:rPr>
          <w:rFonts w:ascii="Times New Roman" w:hAnsi="Times New Roman" w:cs="Times New Roman"/>
          <w:sz w:val="24"/>
          <w:szCs w:val="24"/>
          <w:lang w:val="en-US"/>
        </w:rPr>
        <w:t xml:space="preserve"> on clinical fractures, </w:t>
      </w:r>
      <w:r w:rsidR="00E87B28" w:rsidRPr="007B140B">
        <w:rPr>
          <w:rFonts w:ascii="Times New Roman" w:hAnsi="Times New Roman" w:cs="Times New Roman"/>
          <w:sz w:val="24"/>
          <w:szCs w:val="24"/>
          <w:lang w:val="en-US"/>
        </w:rPr>
        <w:t xml:space="preserve">this trial was smaller and </w:t>
      </w:r>
      <w:r w:rsidR="00E04D7B" w:rsidRPr="007B140B">
        <w:rPr>
          <w:rFonts w:ascii="Times New Roman" w:hAnsi="Times New Roman" w:cs="Times New Roman"/>
          <w:sz w:val="24"/>
          <w:szCs w:val="24"/>
          <w:lang w:val="en-US"/>
        </w:rPr>
        <w:t xml:space="preserve">it </w:t>
      </w:r>
      <w:r w:rsidR="00E87B28" w:rsidRPr="007B140B">
        <w:rPr>
          <w:rFonts w:ascii="Times New Roman" w:hAnsi="Times New Roman" w:cs="Times New Roman"/>
          <w:sz w:val="24"/>
          <w:szCs w:val="24"/>
          <w:lang w:val="en-US"/>
        </w:rPr>
        <w:t>did show</w:t>
      </w:r>
      <w:r w:rsidR="00EA6E26" w:rsidRPr="007B140B">
        <w:rPr>
          <w:rFonts w:ascii="Times New Roman" w:hAnsi="Times New Roman" w:cs="Times New Roman"/>
          <w:sz w:val="24"/>
          <w:szCs w:val="24"/>
          <w:lang w:val="en-US"/>
        </w:rPr>
        <w:t xml:space="preserve"> a significant effect </w:t>
      </w:r>
      <w:r w:rsidR="00E87B28" w:rsidRPr="007B140B">
        <w:rPr>
          <w:rFonts w:ascii="Times New Roman" w:hAnsi="Times New Roman" w:cs="Times New Roman"/>
          <w:sz w:val="24"/>
          <w:szCs w:val="24"/>
          <w:lang w:val="en-US"/>
        </w:rPr>
        <w:t>on</w:t>
      </w:r>
      <w:r w:rsidR="00EA6E26" w:rsidRPr="007B140B">
        <w:rPr>
          <w:rFonts w:ascii="Times New Roman" w:hAnsi="Times New Roman" w:cs="Times New Roman"/>
          <w:sz w:val="24"/>
          <w:szCs w:val="24"/>
          <w:lang w:val="en-US"/>
        </w:rPr>
        <w:t xml:space="preserve"> </w:t>
      </w:r>
      <w:r w:rsidR="00A72BDD" w:rsidRPr="007B140B">
        <w:rPr>
          <w:rFonts w:ascii="Times New Roman" w:hAnsi="Times New Roman" w:cs="Times New Roman"/>
          <w:sz w:val="24"/>
          <w:szCs w:val="24"/>
          <w:lang w:val="en-US"/>
        </w:rPr>
        <w:t>radiologically</w:t>
      </w:r>
      <w:r w:rsidR="00E87B28" w:rsidRPr="007B140B">
        <w:rPr>
          <w:rFonts w:ascii="Times New Roman" w:hAnsi="Times New Roman" w:cs="Times New Roman"/>
          <w:sz w:val="24"/>
          <w:szCs w:val="24"/>
          <w:lang w:val="en-US"/>
        </w:rPr>
        <w:t xml:space="preserve"> detected</w:t>
      </w:r>
      <w:r w:rsidR="00A72BDD" w:rsidRPr="007B140B">
        <w:rPr>
          <w:rFonts w:ascii="Times New Roman" w:hAnsi="Times New Roman" w:cs="Times New Roman"/>
          <w:sz w:val="24"/>
          <w:szCs w:val="24"/>
          <w:lang w:val="en-US"/>
        </w:rPr>
        <w:t xml:space="preserve"> </w:t>
      </w:r>
      <w:r w:rsidR="00EA6E26" w:rsidRPr="007B140B">
        <w:rPr>
          <w:rFonts w:ascii="Times New Roman" w:hAnsi="Times New Roman" w:cs="Times New Roman"/>
          <w:sz w:val="24"/>
          <w:szCs w:val="24"/>
          <w:lang w:val="en-US"/>
        </w:rPr>
        <w:t>vertebral fractures.</w:t>
      </w:r>
      <w:r w:rsidR="00872923" w:rsidRPr="007B140B">
        <w:rPr>
          <w:rFonts w:ascii="Times New Roman" w:hAnsi="Times New Roman" w:cs="Times New Roman"/>
          <w:sz w:val="24"/>
          <w:szCs w:val="24"/>
          <w:lang w:val="en-US"/>
        </w:rPr>
        <w:fldChar w:fldCharType="begin" w:fldLock="1"/>
      </w:r>
      <w:r w:rsidR="00D2485C">
        <w:rPr>
          <w:rFonts w:ascii="Times New Roman" w:hAnsi="Times New Roman" w:cs="Times New Roman"/>
          <w:sz w:val="24"/>
          <w:szCs w:val="24"/>
          <w:lang w:val="en-US"/>
        </w:rPr>
        <w:instrText>ADDIN CSL_CITATION {"citationItems":[{"id":"ITEM-1","itemData":{"DOI":"10.1056/NEJMoa1204061","ISBN":"0028-4793","ISSN":"1533-4406","PMID":"23113482","abstract":"Fractures in men are a major health issue, and data on the antifracture efficacy of therapies for osteoporosis in men are limited. We studied the effect of zoledronic acid on fracture risk among men with osteoporosis.","author":[{"dropping-particle":"","family":"Boonen","given":"Steven","non-dropping-particle":"","parse-names":false,"suffix":""},{"dropping-particle":"","family":"Reginster","given":"Jean Yves","non-dropping-particle":"","parse-names":false,"suffix":""},{"dropping-particle":"","family":"Kaufman","given":"Jean Marc","non-dropping-particle":"","parse-names":false,"suffix":""},{"dropping-particle":"","family":"Lippuner","given":"Kurt","non-dropping-particle":"","parse-names":false,"suffix":""},{"dropping-particle":"","family":"Zanchetta","given":"Jose","non-dropping-particle":"","parse-names":false,"suffix":""},{"dropping-particle":"","family":"Langdahl","given":"Bente","non-dropping-particle":"","parse-names":false,"suffix":""},{"dropping-particle":"","family":"Rizzoli","given":"Rene","non-dropping-particle":"","parse-names":false,"suffix":""},{"dropping-particle":"","family":"Lipschitz","given":"Stanley","non-dropping-particle":"","parse-names":false,"suffix":""},{"dropping-particle":"","family":"Dimai","given":"Hans Peter","non-dropping-particle":"","parse-names":false,"suffix":""},{"dropping-particle":"","family":"Witvrouw","given":"Richard","non-dropping-particle":"","parse-names":false,"suffix":""},{"dropping-particle":"","family":"Eriksen","given":"Erik","non-dropping-particle":"","parse-names":false,"suffix":""},{"dropping-particle":"","family":"Brixen","given":"Kim","non-dropping-particle":"","parse-names":false,"suffix":""},{"dropping-particle":"","family":"Russo","given":"Luis","non-dropping-particle":"","parse-names":false,"suffix":""},{"dropping-particle":"","family":"Claessens","given":"Frank","non-dropping-particle":"","parse-names":false,"suffix":""},{"dropping-particle":"","family":"Papanastasiou","given":"Philemon","non-dropping-particle":"","parse-names":false,"suffix":""},{"dropping-particle":"","family":"Antunez","given":"Oscar","non-dropping-particle":"","parse-names":false,"suffix":""},{"dropping-particle":"","family":"Su","given":"Guoqin","non-dropping-particle":"","parse-names":false,"suffix":""},{"dropping-particle":"","family":"Bucci-Rechtweg","given":"Christina","non-dropping-particle":"","parse-names":false,"suffix":""},{"dropping-particle":"","family":"Hruska","given":"Josef","non-dropping-particle":"","parse-names":false,"suffix":""},{"dropping-particle":"","family":"Incera","given":"Elodie","non-dropping-particle":"","parse-names":false,"suffix":""},{"dropping-particle":"","family":"Vanderschueren","given":"Dirk","non-dropping-particle":"","parse-names":false,"suffix":""},{"dropping-particle":"","family":"Orwoll","given":"Eric","non-dropping-particle":"","parse-names":false,"suffix":""}],"container-title":"New England Journal of Medicine","id":"ITEM-1","issued":{"date-parts":[["2012"]]},"page":"1714-23","title":"Fracture risk and zoledronic acid therapy in men with osteoporosis.","type":"article-journal","volume":"367"},"uris":["http://www.mendeley.com/documents/?uuid=468f639f-e766-4ff9-83b2-83686de955c1"]}],"mendeley":{"formattedCitation":"&lt;sup&gt;&lt;sup&gt;22&lt;/sup&gt;&lt;/sup&gt;","plainTextFormattedCitation":"22","previouslyFormattedCitation":"&lt;sup&gt;&lt;sup&gt;22&lt;/sup&gt;&lt;/sup&gt;"},"properties":{"noteIndex":0},"schema":"https://github.com/citation-style-language/schema/raw/master/csl-citation.json"}</w:instrText>
      </w:r>
      <w:r w:rsidR="00872923" w:rsidRPr="007B140B">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22</w:t>
      </w:r>
      <w:r w:rsidR="00872923" w:rsidRPr="007B140B">
        <w:rPr>
          <w:rFonts w:ascii="Times New Roman" w:hAnsi="Times New Roman" w:cs="Times New Roman"/>
          <w:sz w:val="24"/>
          <w:szCs w:val="24"/>
          <w:lang w:val="en-US"/>
        </w:rPr>
        <w:fldChar w:fldCharType="end"/>
      </w:r>
      <w:r w:rsidR="00E26E2B" w:rsidRPr="007B140B">
        <w:rPr>
          <w:rFonts w:ascii="Times New Roman" w:hAnsi="Times New Roman" w:cs="Times New Roman"/>
          <w:sz w:val="24"/>
          <w:szCs w:val="24"/>
          <w:lang w:val="en-US"/>
        </w:rPr>
        <w:t xml:space="preserve"> </w:t>
      </w:r>
    </w:p>
    <w:p w14:paraId="552D5586" w14:textId="7BFE9FE9" w:rsidR="00064481" w:rsidRPr="007B140B" w:rsidRDefault="00E26E2B" w:rsidP="00273AA9">
      <w:p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The </w:t>
      </w:r>
      <w:r w:rsidR="00DC1A31" w:rsidRPr="007B140B">
        <w:rPr>
          <w:rFonts w:ascii="Times New Roman" w:hAnsi="Times New Roman" w:cs="Times New Roman"/>
          <w:sz w:val="24"/>
          <w:szCs w:val="24"/>
          <w:lang w:val="en-US"/>
        </w:rPr>
        <w:t xml:space="preserve">most common adverse effects of zoledronic acid are </w:t>
      </w:r>
      <w:r w:rsidR="00064481" w:rsidRPr="007B140B">
        <w:rPr>
          <w:rFonts w:ascii="Times New Roman" w:hAnsi="Times New Roman" w:cs="Times New Roman"/>
          <w:sz w:val="24"/>
          <w:szCs w:val="24"/>
          <w:lang w:val="en-US"/>
        </w:rPr>
        <w:t>transient post-infusion symptoms (</w:t>
      </w:r>
      <w:r w:rsidR="00823081" w:rsidRPr="007B140B">
        <w:rPr>
          <w:rFonts w:ascii="Times New Roman" w:hAnsi="Times New Roman" w:cs="Times New Roman"/>
          <w:sz w:val="24"/>
          <w:szCs w:val="24"/>
          <w:lang w:val="en-US"/>
        </w:rPr>
        <w:t>pyrexia, myalgia, headache, arthralgia</w:t>
      </w:r>
      <w:r w:rsidR="00064481" w:rsidRPr="007B140B">
        <w:rPr>
          <w:rFonts w:ascii="Times New Roman" w:hAnsi="Times New Roman" w:cs="Times New Roman"/>
          <w:sz w:val="24"/>
          <w:szCs w:val="24"/>
          <w:lang w:val="en-US"/>
        </w:rPr>
        <w:t>, and influenza-like symptoms)</w:t>
      </w:r>
      <w:r w:rsidR="00823081" w:rsidRPr="007B140B">
        <w:rPr>
          <w:rFonts w:ascii="Times New Roman" w:hAnsi="Times New Roman" w:cs="Times New Roman"/>
          <w:sz w:val="24"/>
          <w:szCs w:val="24"/>
          <w:lang w:val="en-US"/>
        </w:rPr>
        <w:t>, which occur in about one third of patients in the first</w:t>
      </w:r>
      <w:r w:rsidR="00DC1A31" w:rsidRPr="007B140B">
        <w:rPr>
          <w:rFonts w:ascii="Times New Roman" w:hAnsi="Times New Roman" w:cs="Times New Roman"/>
          <w:sz w:val="24"/>
          <w:szCs w:val="24"/>
          <w:lang w:val="en-US"/>
        </w:rPr>
        <w:t xml:space="preserve"> 3 </w:t>
      </w:r>
      <w:r w:rsidR="00823081" w:rsidRPr="007B140B">
        <w:rPr>
          <w:rFonts w:ascii="Times New Roman" w:hAnsi="Times New Roman" w:cs="Times New Roman"/>
          <w:sz w:val="24"/>
          <w:szCs w:val="24"/>
          <w:lang w:val="en-US"/>
        </w:rPr>
        <w:t xml:space="preserve">days following </w:t>
      </w:r>
      <w:r w:rsidR="00064481" w:rsidRPr="007B140B">
        <w:rPr>
          <w:rFonts w:ascii="Times New Roman" w:hAnsi="Times New Roman" w:cs="Times New Roman"/>
          <w:sz w:val="24"/>
          <w:szCs w:val="24"/>
          <w:lang w:val="en-US"/>
        </w:rPr>
        <w:t>an</w:t>
      </w:r>
      <w:r w:rsidR="00823081" w:rsidRPr="007B140B">
        <w:rPr>
          <w:rFonts w:ascii="Times New Roman" w:hAnsi="Times New Roman" w:cs="Times New Roman"/>
          <w:sz w:val="24"/>
          <w:szCs w:val="24"/>
          <w:lang w:val="en-US"/>
        </w:rPr>
        <w:t xml:space="preserve"> initial infusion.</w:t>
      </w:r>
      <w:r w:rsidR="00823081" w:rsidRPr="007B140B">
        <w:rPr>
          <w:rFonts w:ascii="Times New Roman" w:hAnsi="Times New Roman" w:cs="Times New Roman"/>
          <w:sz w:val="24"/>
          <w:szCs w:val="24"/>
          <w:lang w:val="en-US"/>
        </w:rPr>
        <w:fldChar w:fldCharType="begin" w:fldLock="1"/>
      </w:r>
      <w:r w:rsidR="00D2485C">
        <w:rPr>
          <w:rFonts w:ascii="Times New Roman" w:hAnsi="Times New Roman" w:cs="Times New Roman"/>
          <w:sz w:val="24"/>
          <w:szCs w:val="24"/>
          <w:lang w:val="en-US"/>
        </w:rPr>
        <w:instrText>ADDIN CSL_CITATION {"citationItems":[{"id":"ITEM-1","itemData":{"DOI":"10.1056/NEJMoa067312","author":[{"dropping-particle":"","family":"Black","given":"D M","non-dropping-particle":"","parse-names":false,"suffix":""},{"dropping-particle":"","family":"Delmas","given":"P D","non-dropping-particle":"","parse-names":false,"suffix":""},{"dropping-particle":"","family":"Eastell","given":"R","non-dropping-particle":"","parse-names":false,"suffix":""},{"dropping-particle":"","family":"Reid","given":"I R","non-dropping-particle":"","parse-names":false,"suffix":""},{"dropping-particle":"","family":"Boonen","given":"S","non-dropping-particle":"","parse-names":false,"suffix":""},{"dropping-particle":"","family":"Cauley","given":"J A","non-dropping-particle":"","parse-names":false,"suffix":""},{"dropping-particle":"","family":"Cosman","given":"F","non-dropping-particle":"","parse-names":false,"suffix":""},{"dropping-particle":"","family":"Lakatos","given":"P","non-dropping-particle":"","parse-names":false,"suffix":""},{"dropping-particle":"","family":"Leung","given":"P C","non-dropping-particle":"","parse-names":false,"suffix":""},{"dropping-particle":"","family":"Man","given":"Z","non-dropping-particle":"","parse-names":false,"suffix":""},{"dropping-particle":"","family":"Mautalen","given":"C","non-dropping-particle":"","parse-names":false,"suffix":""},{"dropping-particle":"","family":"Mesenbrink","given":"P","non-dropping-particle":"","parse-names":false,"suffix":""},{"dropping-particle":"","family":"Hu","given":"H","non-dropping-particle":"","parse-names":false,"suffix":""},{"dropping-particle":"","family":"Caminis","given":"J","non-dropping-particle":"","parse-names":false,"suffix":""},{"dropping-particle":"","family":"Tong","given":"K","non-dropping-particle":"","parse-names":false,"suffix":""},{"dropping-particle":"","family":"Rosario-Jansen","given":"T","non-dropping-particle":"","parse-names":false,"suffix":""},{"dropping-particle":"","family":"Krasnow","given":"J","non-dropping-particle":"","parse-names":false,"suffix":""},{"dropping-particle":"","family":"Hue","given":"T F","non-dropping-particle":"","parse-names":false,"suffix":""},{"dropping-particle":"","family":"Sellmeyer","given":"D","non-dropping-particle":"","parse-names":false,"suffix":""},{"dropping-particle":"","family":"Eriksen","given":"E F","non-dropping-particle":"","parse-names":false,"suffix":""},{"dropping-particle":"","family":"Cummings","given":"S R","non-dropping-particle":"","parse-names":false,"suffix":""}],"container-title":"N Engl J Med","id":"ITEM-1","issue":"18","issued":{"date-parts":[["2007"]]},"page":"1809-1822","title":"Once-yearly zoledronic acid for treatment of postmenopausal osteoporosis","type":"article-journal","volume":"356"},"uris":["http://www.mendeley.com/documents/?uuid=0f13fad4-b5f5-42f7-873f-7dd2216502be"]}],"mendeley":{"formattedCitation":"&lt;sup&gt;&lt;sup&gt;19&lt;/sup&gt;&lt;/sup&gt;","plainTextFormattedCitation":"19","previouslyFormattedCitation":"&lt;sup&gt;&lt;sup&gt;19&lt;/sup&gt;&lt;/sup&gt;"},"properties":{"noteIndex":0},"schema":"https://github.com/citation-style-language/schema/raw/master/csl-citation.json"}</w:instrText>
      </w:r>
      <w:r w:rsidR="00823081" w:rsidRPr="007B140B">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19</w:t>
      </w:r>
      <w:r w:rsidR="00823081" w:rsidRPr="007B140B">
        <w:rPr>
          <w:rFonts w:ascii="Times New Roman" w:hAnsi="Times New Roman" w:cs="Times New Roman"/>
          <w:sz w:val="24"/>
          <w:szCs w:val="24"/>
          <w:lang w:val="en-US"/>
        </w:rPr>
        <w:fldChar w:fldCharType="end"/>
      </w:r>
      <w:r w:rsidR="00823081" w:rsidRPr="007B140B">
        <w:rPr>
          <w:rFonts w:ascii="Times New Roman" w:hAnsi="Times New Roman" w:cs="Times New Roman"/>
          <w:sz w:val="24"/>
          <w:szCs w:val="24"/>
          <w:lang w:val="en-US"/>
        </w:rPr>
        <w:t xml:space="preserve"> These symptoms are less common after subsequent infusions.</w:t>
      </w:r>
      <w:r w:rsidR="00823081" w:rsidRPr="007B140B">
        <w:rPr>
          <w:rFonts w:ascii="Times New Roman" w:hAnsi="Times New Roman" w:cs="Times New Roman"/>
          <w:sz w:val="24"/>
          <w:szCs w:val="24"/>
          <w:lang w:val="en-US"/>
        </w:rPr>
        <w:fldChar w:fldCharType="begin" w:fldLock="1"/>
      </w:r>
      <w:r w:rsidR="00D2485C">
        <w:rPr>
          <w:rFonts w:ascii="Times New Roman" w:hAnsi="Times New Roman" w:cs="Times New Roman"/>
          <w:sz w:val="24"/>
          <w:szCs w:val="24"/>
          <w:lang w:val="en-US"/>
        </w:rPr>
        <w:instrText>ADDIN CSL_CITATION {"citationItems":[{"id":"ITEM-1","itemData":{"DOI":"10.1056/NEJMoa067312","author":[{"dropping-particle":"","family":"Black","given":"D M","non-dropping-particle":"","parse-names":false,"suffix":""},{"dropping-particle":"","family":"Delmas","given":"P D","non-dropping-particle":"","parse-names":false,"suffix":""},{"dropping-particle":"","family":"Eastell","given":"R","non-dropping-particle":"","parse-names":false,"suffix":""},{"dropping-particle":"","family":"Reid","given":"I R","non-dropping-particle":"","parse-names":false,"suffix":""},{"dropping-particle":"","family":"Boonen","given":"S","non-dropping-particle":"","parse-names":false,"suffix":""},{"dropping-particle":"","family":"Cauley","given":"J A","non-dropping-particle":"","parse-names":false,"suffix":""},{"dropping-particle":"","family":"Cosman","given":"F","non-dropping-particle":"","parse-names":false,"suffix":""},{"dropping-particle":"","family":"Lakatos","given":"P","non-dropping-particle":"","parse-names":false,"suffix":""},{"dropping-particle":"","family":"Leung","given":"P C","non-dropping-particle":"","parse-names":false,"suffix":""},{"dropping-particle":"","family":"Man","given":"Z","non-dropping-particle":"","parse-names":false,"suffix":""},{"dropping-particle":"","family":"Mautalen","given":"C","non-dropping-particle":"","parse-names":false,"suffix":""},{"dropping-particle":"","family":"Mesenbrink","given":"P","non-dropping-particle":"","parse-names":false,"suffix":""},{"dropping-particle":"","family":"Hu","given":"H","non-dropping-particle":"","parse-names":false,"suffix":""},{"dropping-particle":"","family":"Caminis","given":"J","non-dropping-particle":"","parse-names":false,"suffix":""},{"dropping-particle":"","family":"Tong","given":"K","non-dropping-particle":"","parse-names":false,"suffix":""},{"dropping-particle":"","family":"Rosario-Jansen","given":"T","non-dropping-particle":"","parse-names":false,"suffix":""},{"dropping-particle":"","family":"Krasnow","given":"J","non-dropping-particle":"","parse-names":false,"suffix":""},{"dropping-particle":"","family":"Hue","given":"T F","non-dropping-particle":"","parse-names":false,"suffix":""},{"dropping-particle":"","family":"Sellmeyer","given":"D","non-dropping-particle":"","parse-names":false,"suffix":""},{"dropping-particle":"","family":"Eriksen","given":"E F","non-dropping-particle":"","parse-names":false,"suffix":""},{"dropping-particle":"","family":"Cummings","given":"S R","non-dropping-particle":"","parse-names":false,"suffix":""}],"container-title":"N Engl J Med","id":"ITEM-1","issue":"18","issued":{"date-parts":[["2007"]]},"page":"1809-1822","title":"Once-yearly zoledronic acid for treatment of postmenopausal osteoporosis","type":"article-journal","volume":"356"},"uris":["http://www.mendeley.com/documents/?uuid=0f13fad4-b5f5-42f7-873f-7dd2216502be"]}],"mendeley":{"formattedCitation":"&lt;sup&gt;&lt;sup&gt;19&lt;/sup&gt;&lt;/sup&gt;","plainTextFormattedCitation":"19","previouslyFormattedCitation":"&lt;sup&gt;&lt;sup&gt;19&lt;/sup&gt;&lt;/sup&gt;"},"properties":{"noteIndex":0},"schema":"https://github.com/citation-style-language/schema/raw/master/csl-citation.json"}</w:instrText>
      </w:r>
      <w:r w:rsidR="00823081" w:rsidRPr="007B140B">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19</w:t>
      </w:r>
      <w:r w:rsidR="00823081" w:rsidRPr="007B140B">
        <w:rPr>
          <w:rFonts w:ascii="Times New Roman" w:hAnsi="Times New Roman" w:cs="Times New Roman"/>
          <w:sz w:val="24"/>
          <w:szCs w:val="24"/>
          <w:lang w:val="en-US"/>
        </w:rPr>
        <w:fldChar w:fldCharType="end"/>
      </w:r>
      <w:r w:rsidR="00823081" w:rsidRPr="007B140B">
        <w:rPr>
          <w:rFonts w:ascii="Times New Roman" w:hAnsi="Times New Roman" w:cs="Times New Roman"/>
          <w:sz w:val="24"/>
          <w:szCs w:val="24"/>
          <w:lang w:val="en-US"/>
        </w:rPr>
        <w:t xml:space="preserve"> </w:t>
      </w:r>
      <w:r w:rsidR="00064481" w:rsidRPr="007B140B">
        <w:rPr>
          <w:rFonts w:ascii="Times New Roman" w:hAnsi="Times New Roman" w:cs="Times New Roman"/>
          <w:sz w:val="24"/>
          <w:szCs w:val="24"/>
          <w:lang w:val="en-US"/>
        </w:rPr>
        <w:t>Zoledronic acid</w:t>
      </w:r>
      <w:r w:rsidR="00E54B39">
        <w:rPr>
          <w:rFonts w:ascii="Times New Roman" w:hAnsi="Times New Roman" w:cs="Times New Roman"/>
          <w:sz w:val="24"/>
          <w:szCs w:val="24"/>
          <w:lang w:val="en-US"/>
        </w:rPr>
        <w:t xml:space="preserve"> and </w:t>
      </w:r>
      <w:r w:rsidR="00064481" w:rsidRPr="007B140B">
        <w:rPr>
          <w:rFonts w:ascii="Times New Roman" w:hAnsi="Times New Roman" w:cs="Times New Roman"/>
          <w:sz w:val="24"/>
          <w:szCs w:val="24"/>
          <w:lang w:val="en-US"/>
        </w:rPr>
        <w:t xml:space="preserve">other bisphosphonates have been associated with two rare but serious adverse </w:t>
      </w:r>
      <w:r w:rsidR="00224200" w:rsidRPr="007B140B">
        <w:rPr>
          <w:rFonts w:ascii="Times New Roman" w:hAnsi="Times New Roman" w:cs="Times New Roman"/>
          <w:sz w:val="24"/>
          <w:szCs w:val="24"/>
          <w:lang w:val="en-US"/>
        </w:rPr>
        <w:t>effects</w:t>
      </w:r>
      <w:r w:rsidR="00E54B39">
        <w:rPr>
          <w:rFonts w:ascii="Times New Roman" w:hAnsi="Times New Roman" w:cs="Times New Roman"/>
          <w:sz w:val="24"/>
          <w:szCs w:val="24"/>
          <w:lang w:val="en-US"/>
        </w:rPr>
        <w:t>:</w:t>
      </w:r>
      <w:r w:rsidR="00064481" w:rsidRPr="007B140B">
        <w:rPr>
          <w:rFonts w:ascii="Times New Roman" w:hAnsi="Times New Roman" w:cs="Times New Roman"/>
          <w:sz w:val="24"/>
          <w:szCs w:val="24"/>
          <w:lang w:val="en-US"/>
        </w:rPr>
        <w:t xml:space="preserve"> </w:t>
      </w:r>
      <w:r w:rsidR="00C65938" w:rsidRPr="007B140B">
        <w:rPr>
          <w:rFonts w:ascii="Times New Roman" w:hAnsi="Times New Roman" w:cs="Times New Roman"/>
          <w:sz w:val="24"/>
          <w:szCs w:val="24"/>
          <w:lang w:val="en-US"/>
        </w:rPr>
        <w:t>atypical femoral</w:t>
      </w:r>
      <w:r w:rsidR="00064481" w:rsidRPr="007B140B">
        <w:rPr>
          <w:rFonts w:ascii="Times New Roman" w:hAnsi="Times New Roman" w:cs="Times New Roman"/>
          <w:sz w:val="24"/>
          <w:szCs w:val="24"/>
          <w:lang w:val="en-US"/>
        </w:rPr>
        <w:t xml:space="preserve"> fractures and osteonecrosis of the jaw.</w:t>
      </w:r>
      <w:r w:rsidR="00064481" w:rsidRPr="007B140B">
        <w:rPr>
          <w:rFonts w:ascii="Times New Roman" w:hAnsi="Times New Roman" w:cs="Times New Roman"/>
          <w:sz w:val="24"/>
          <w:szCs w:val="24"/>
          <w:lang w:val="en-US"/>
        </w:rPr>
        <w:fldChar w:fldCharType="begin" w:fldLock="1"/>
      </w:r>
      <w:r w:rsidR="00D2485C">
        <w:rPr>
          <w:rFonts w:ascii="Times New Roman" w:hAnsi="Times New Roman" w:cs="Times New Roman"/>
          <w:sz w:val="24"/>
          <w:szCs w:val="24"/>
          <w:lang w:val="en-US"/>
        </w:rPr>
        <w:instrText>ADDIN CSL_CITATION {"citationItems":[{"id":"ITEM-1","itemData":{"DOI":"10.1002/jbmr.2405","ISBN":"1523-4681 (Electronic)\\r0884-0431 (Linking)","ISSN":"15234681","PMID":"25414052","abstract":"This work provides a systematic review of the literature from January 2003 to April 2014 pertaining to the incidence, pathophysiology, diagnosis, and treatment of osteonecrosis of the jaw (ONJ), and offers recommendations for its management based on multidisciplinary international consensus. ONJ is associated with oncology-dose parenteral antiresorptive therapy of bisphosphonates (BP) and denosumab (Dmab). The incidence of ONJ is greatest in the oncology patient population (1% to 15%), where high doses of these medications are used at frequent intervals. In the osteoporosis patient population, the incidence of ONJ is estimated at 0.001% to 0.01%, marginally higher than the incidence in the general population (&lt;0.001%). New insights into the pathophysiology of ONJ include antiresorptive effects of BPs and Dmab, effects of BPs on gamma delta T-cells and on monocyte and macrophage function, as well as the role of local bacterial infection, inflammation, and necrosis. Advances in imaging include the use of cone beam computerized tomography assessing cortical and cancellous architecture with lower radiation exposure, magnetic resonance imaging, bone scanning, and positron emission tomography, although plain films often suffice. Other risk factors for ONJ include glucocorticoid use, maxillary or mandibular bone surgery, poor oral hygiene, chronic inflammation, diabetes mellitus, ill-fitting dentures, as well as other drugs, including antiangiogenic agents. Prevention strategies for ONJ include elimination or stabilization of oral disease prior to initiation of antiresorptive agents, as well as maintenance of good oral hygiene. In those patients at high risk for the development of ONJ, including cancer patients receiving high-dose BP or Dmab therapy, consideration should be given to withholding antiresorptive therapy following extensive oral surgery until the surgical site heals with mature mucosal coverage. Management of ONJ is based on the stage of the disease, size of the lesions, and the presence of contributing drug therapy and comorbidity. Conservative therapy includes topical antibiotic oral rinses and systemic antibiotic therapy. Localized surgical debridement is indicated in advanced nonresponsive disease and has been successful. Early data have suggested enhanced osseous wound healing with teriparatide in those without contraindications for its use. Experimental therapy includes bone marrow stem cell intralesional transplantation, low-level laser the…","author":[{"dropping-particle":"","family":"Khan","given":"Aliya A.","non-dropping-particle":"","parse-names":false,"suffix":""},{"dropping-particle":"","family":"Morrison","given":"Archie","non-dropping-particle":"","parse-names":false,"suffix":""},{"dropping-particle":"","family":"Hanley","given":"David A.","non-dropping-particle":"","parse-names":false,"suffix":""},{"dropping-particle":"","family":"Felsenberg","given":"Dieter","non-dropping-particle":"","parse-names":false,"suffix":""},{"dropping-particle":"","family":"McCauley","given":"Laurie K.","non-dropping-particle":"","parse-names":false,"suffix":""},{"dropping-particle":"","family":"O'Ryan","given":"Felice","non-dropping-particle":"","parse-names":false,"suffix":""},{"dropping-particle":"","family":"Reid","given":"Ian R.","non-dropping-particle":"","parse-names":false,"suffix":""},{"dropping-particle":"","family":"Ruggiero","given":"Salvatore L.","non-dropping-particle":"","parse-names":false,"suffix":""},{"dropping-particle":"","family":"Taguchi","given":"Akira","non-dropping-particle":"","parse-names":false,"suffix":""},{"dropping-particle":"","family":"Tetradis","given":"Sotirios","non-dropping-particle":"","parse-names":false,"suffix":""},{"dropping-particle":"","family":"Watts","given":"Nelson B.","non-dropping-particle":"","parse-names":false,"suffix":""},{"dropping-particle":"","family":"Brandi","given":"Maria Luisa","non-dropping-particle":"","parse-names":false,"suffix":""},{"dropping-particle":"","family":"Peters","given":"Edmund","non-dropping-particle":"","parse-names":false,"suffix":""},{"dropping-particle":"","family":"Guise","given":"Teresa","non-dropping-particle":"","parse-names":false,"suffix":""},{"dropping-particle":"","family":"Eastell","given":"Richard","non-dropping-particle":"","parse-names":false,"suffix":""},{"dropping-particle":"","family":"Cheung","given":"Angela M.","non-dropping-particle":"","parse-names":false,"suffix":""},{"dropping-particle":"","family":"Morin","given":"Suzanne N.","non-dropping-particle":"","parse-names":false,"suffix":""},{"dropping-particle":"","family":"Masri","given":"Basel","non-dropping-particle":"","parse-names":false,"suffix":""},{"dropping-particle":"","family":"Cooper","given":"Cyrus","non-dropping-particle":"","parse-names":false,"suffix":""},{"dropping-particle":"","family":"Morgan","given":"Sarah L.","non-dropping-particle":"","parse-names":false,"suffix":""},{"dropping-particle":"","family":"Obermayer-Pietsch","given":"Barbara","non-dropping-particle":"","parse-names":false,"suffix":""},{"dropping-particle":"","family":"Langdahl","given":"Bente L.","non-dropping-particle":"","parse-names":false,"suffix":""},{"dropping-particle":"","family":"Dabagh","given":"Rana","non-dropping-particle":"Al","parse-names":false,"suffix":""},{"dropping-particle":"","family":"Davison","given":"K. Shawn","non-dropping-particle":"","parse-names":false,"suffix":""},{"dropping-particle":"","family":"Kendler","given":"David L.","non-dropping-particle":"","parse-names":false,"suffix":""},{"dropping-particle":"","family":"Sándor","given":"George K.","non-dropping-particle":"","parse-names":false,"suffix":""},{"dropping-particle":"","family":"Josse","given":"Robert G.","non-dropping-particle":"","parse-names":false,"suffix":""},{"dropping-particle":"","family":"Bhandari","given":"Mohit","non-dropping-particle":"","parse-names":false,"suffix":""},{"dropping-particle":"","family":"Rabbany","given":"Mohamed","non-dropping-particle":"El","parse-names":false,"suffix":""},{"dropping-particle":"","family":"Pierroz","given":"Dominique D.","non-dropping-particle":"","parse-names":false,"suffix":""},{"dropping-particle":"","family":"Sulimani","given":"Riad","non-dropping-particle":"","parse-names":false,"suffix":""},{"dropping-particle":"","family":"Saunders","given":"Deborah P.","non-dropping-particle":"","parse-names":false,"suffix":""},{"dropping-particle":"","family":"Brown","given":"Jacques P.","non-dropping-particle":"","parse-names":false,"suffix":""},{"dropping-particle":"","family":"Compston","given":"Juliet","non-dropping-particle":"","parse-names":false,"suffix":""}],"container-title":"Journal of Bone and Mineral Research","id":"ITEM-1","issue":"1","issued":{"date-parts":[["2015"]]},"page":"3-23","title":"Diagnosis and management of osteonecrosis of the jaw: a systematic review and international consensus","type":"article-journal","volume":"30"},"uris":["http://www.mendeley.com/documents/?uuid=65e9991e-4b42-41cc-b2d3-de11a9ec9c35"]},{"id":"ITEM-2","itemData":{"DOI":"https://doi.org/10.1002/jbmr.1998","ISBN":"0884-0431","ISSN":"08840431","PMID":"23712442","abstract":"Bisphosphonates (BPs) and denosumab reduce the risk of spine and nonspine fractures. Atypical femur fractures (AFFs) located in the subtrochanteric region and diaphysis of the femur have been reported in patients taking BPs and in patients on denosumab, but they also occur in patients with no exposure to these drugs. In this report, we review studies on the epidemiology, pathogenesis, and medical management of AFFs, published since 2010. This newer evidence suggests that AFFs are stress or insufficiency fractures. The original case definition was revised to highlight radiographic features that distinguish AFFs from ordinary osteoporotic femoral diaphyseal fractures and to provide guidance on the importance of their transverse orientation. The requirement that fractures be noncomminuted was relaxed to include minimal comminution. The periosteal stress reaction at the fracture site was changed from a minor to a major feature. The association with specific diseases and drug exposures was removed from the minor features, because it was considered that these associations should be sought rather than be included in the case definition. Studies with radiographic review consistently report significant associations between AFFs and BP use, although the strength of associations and magnitude of effect vary. Although the relative risk of patients with AFFs taking BPs is high, the absolute risk of AFFs in patients on BPs is low, ranging from 3.2 to 50 cases per 100,000 person-years. However, long-term use may be associated with higher risk (</w:instrText>
      </w:r>
      <w:r w:rsidR="00D2485C">
        <w:rPr>
          <w:rFonts w:ascii="Cambria Math" w:hAnsi="Cambria Math" w:cs="Cambria Math"/>
          <w:sz w:val="24"/>
          <w:szCs w:val="24"/>
          <w:lang w:val="en-US"/>
        </w:rPr>
        <w:instrText>∼</w:instrText>
      </w:r>
      <w:r w:rsidR="00D2485C">
        <w:rPr>
          <w:rFonts w:ascii="Times New Roman" w:hAnsi="Times New Roman" w:cs="Times New Roman"/>
          <w:sz w:val="24"/>
          <w:szCs w:val="24"/>
          <w:lang w:val="en-US"/>
        </w:rPr>
        <w:instrText>100 per 100,000 person-years). BPs localize in areas that are developing stress fractures; suppression of targeted intracortical remodeling at the site of an AFF could impair the processes by which stress fractures normally heal. When BPs are stopped, risk of an AFF may decline. Lower limb geometry and Asian ethnicity may contribute to the risk of AFFs. There is inconsistent evidence that teriparatide may advance healing of AFFs.","author":[{"dropping-particle":"","family":"Shane","given":"Elizabeth","non-dropping-particle":"","parse-names":false,"suffix":""},{"dropping-particle":"","family":"Burr","given":"David","non-dropping-particle":"","parse-names":false,"suffix":""},{"dropping-particle":"","family":"Abrahamsen","given":"Bo","non-dropping-particle":"","parse-names":false,"suffix":""},{"dropping-particle":"","family":"Adler","given":"Robert A.","non-dropping-particle":"","parse-names":false,"suffix":""},{"dropping-particle":"","family":"Brown","given":"Thomas D.","non-dropping-particle":"","parse-names":false,"suffix":""},{"dropping-particle":"","family":"Cheung","given":"Angela M.","non-dropping-particle":"","parse-names":false,"suffix":""},{"dropping-particle":"","family":"Cosman","given":"Felicia","non-dropping-particle":"","parse-names":false,"suffix":""},{"dropping-particle":"","family":"Curtis","given":"Jeffrey R.","non-dropping-particle":"","parse-names":false,"suffix":""},{"dropping-particle":"","family":"Dell","given":"Richard","non-dropping-particle":"","parse-names":false,"suffix":""},{"dropping-particle":"","family":"Dempster","given":"David W.","non-dropping-particle":"","parse-names":false,"suffix":""},{"dropping-particle":"","family":"Ebeling","given":"Peter R.","non-dropping-particle":"","parse-names":false,"suffix":""},{"dropping-particle":"","family":"Einhorn","given":"Thomas A.","non-dropping-particle":"","parse-names":false,"suffix":""},{"dropping-particle":"","family":"Genant","given":"Harry K.","non-dropping-particle":"","parse-names":false,"suffix":""},{"dropping-particle":"","family":"Geusens","given":"Piet","non-dropping-particle":"","parse-names":false,"suffix":""},{"dropping-particle":"","family":"Klaushofer","given":"Klaus","non-dropping-particle":"","parse-names":false,"suffix":""},{"dropping-particle":"","family":"Lane","given":"Joseph M.","non-dropping-particle":"","parse-names":false,"suffix":""},{"dropping-particle":"","family":"McKiernan","given":"Fergus","non-dropping-particle":"","parse-names":false,"suffix":""},{"dropping-particle":"","family":"McKinney","given":"Ross","non-dropping-particle":"","parse-names":false,"suffix":""},{"dropping-particle":"","family":"Ng","given":"Alvin","non-dropping-particle":"","parse-names":false,"suffix":""},{"dropping-particle":"","family":"Nieves","given":"Jeri","non-dropping-particle":"","parse-names":false,"suffix":""},{"dropping-particle":"","family":"O'Keefe","given":"Regis","non-dropping-particle":"","parse-names":false,"suffix":""},{"dropping-particle":"","family":"Papapoulos","given":"Socrates","non-dropping-particle":"","parse-names":false,"suffix":""},{"dropping-particle":"Sen","family":"Howe","given":"Tet","non-dropping-particle":"","parse-names":false,"suffix":""},{"dropping-particle":"","family":"Meulen","given":"Marjolein C H","non-dropping-particle":"Van Der","parse-names":false,"suffix":""},{"dropping-particle":"","family":"Weinstein","given":"Robert S.","non-dropping-particle":"","parse-names":false,"suffix":""},{"dropping-particle":"","family":"Whyte","given":"Michael P.","non-dropping-particle":"","parse-names":false,"suffix":""}],"container-title":"Journal of Bone and Mineral Research","id":"ITEM-2","issue":"1","issued":{"date-parts":[["2014"]]},"page":"1-23","title":"Atypical subtrochanteric and diaphyseal femoral fractures: second report of a task force of the American Society for Bone and Mineral Research","type":"article-journal","volume":"29"},"uris":["http://www.mendeley.com/documents/?uuid=1decd54c-cdc2-4aa3-9aae-f38f9c5eaab7"]}],"mendeley":{"formattedCitation":"&lt;sup&gt;&lt;sup&gt;23&lt;/sup&gt;,&lt;sup&gt;24&lt;/sup&gt;&lt;/sup&gt;","plainTextFormattedCitation":"23,24","previouslyFormattedCitation":"&lt;sup&gt;&lt;sup&gt;23&lt;/sup&gt;,&lt;sup&gt;24&lt;/sup&gt;&lt;/sup&gt;"},"properties":{"noteIndex":0},"schema":"https://github.com/citation-style-language/schema/raw/master/csl-citation.json"}</w:instrText>
      </w:r>
      <w:r w:rsidR="00064481" w:rsidRPr="007B140B">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23,24</w:t>
      </w:r>
      <w:r w:rsidR="00064481" w:rsidRPr="007B140B">
        <w:rPr>
          <w:rFonts w:ascii="Times New Roman" w:hAnsi="Times New Roman" w:cs="Times New Roman"/>
          <w:sz w:val="24"/>
          <w:szCs w:val="24"/>
          <w:lang w:val="en-US"/>
        </w:rPr>
        <w:fldChar w:fldCharType="end"/>
      </w:r>
      <w:r w:rsidR="00064481" w:rsidRPr="007B140B">
        <w:rPr>
          <w:rFonts w:ascii="Times New Roman" w:hAnsi="Times New Roman" w:cs="Times New Roman"/>
          <w:sz w:val="24"/>
          <w:szCs w:val="24"/>
          <w:lang w:val="en-US"/>
        </w:rPr>
        <w:t xml:space="preserve"> However, osteonecrosis of the jaw </w:t>
      </w:r>
      <w:r w:rsidR="00AC2B94" w:rsidRPr="007B140B">
        <w:rPr>
          <w:rFonts w:ascii="Times New Roman" w:hAnsi="Times New Roman" w:cs="Times New Roman"/>
          <w:sz w:val="24"/>
          <w:szCs w:val="24"/>
          <w:lang w:val="en-US"/>
        </w:rPr>
        <w:t xml:space="preserve">does not </w:t>
      </w:r>
      <w:r w:rsidR="001063D5" w:rsidRPr="007B140B">
        <w:rPr>
          <w:rFonts w:ascii="Times New Roman" w:hAnsi="Times New Roman" w:cs="Times New Roman"/>
          <w:sz w:val="24"/>
          <w:szCs w:val="24"/>
          <w:lang w:val="en-US"/>
        </w:rPr>
        <w:t xml:space="preserve">primarily </w:t>
      </w:r>
      <w:r w:rsidR="00AC2B94" w:rsidRPr="007B140B">
        <w:rPr>
          <w:rFonts w:ascii="Times New Roman" w:hAnsi="Times New Roman" w:cs="Times New Roman"/>
          <w:sz w:val="24"/>
          <w:szCs w:val="24"/>
          <w:lang w:val="en-US"/>
        </w:rPr>
        <w:t xml:space="preserve">occur in osteoporosis patients but in </w:t>
      </w:r>
      <w:r w:rsidR="00064481" w:rsidRPr="007B140B">
        <w:rPr>
          <w:rFonts w:ascii="Times New Roman" w:hAnsi="Times New Roman" w:cs="Times New Roman"/>
          <w:sz w:val="24"/>
          <w:szCs w:val="24"/>
          <w:lang w:val="en-US"/>
        </w:rPr>
        <w:t>cancer</w:t>
      </w:r>
      <w:r w:rsidR="00224200" w:rsidRPr="007B140B">
        <w:rPr>
          <w:rFonts w:ascii="Times New Roman" w:hAnsi="Times New Roman" w:cs="Times New Roman"/>
          <w:sz w:val="24"/>
          <w:szCs w:val="24"/>
          <w:lang w:val="en-US"/>
        </w:rPr>
        <w:t xml:space="preserve"> patients</w:t>
      </w:r>
      <w:r w:rsidR="00064481" w:rsidRPr="007B140B">
        <w:rPr>
          <w:rFonts w:ascii="Times New Roman" w:hAnsi="Times New Roman" w:cs="Times New Roman"/>
          <w:sz w:val="24"/>
          <w:szCs w:val="24"/>
          <w:lang w:val="en-US"/>
        </w:rPr>
        <w:t>, who receive much high</w:t>
      </w:r>
      <w:r w:rsidR="00027BAC" w:rsidRPr="007B140B">
        <w:rPr>
          <w:rFonts w:ascii="Times New Roman" w:hAnsi="Times New Roman" w:cs="Times New Roman"/>
          <w:sz w:val="24"/>
          <w:szCs w:val="24"/>
          <w:lang w:val="en-US"/>
        </w:rPr>
        <w:t xml:space="preserve">er doses </w:t>
      </w:r>
      <w:r w:rsidR="00787CB5" w:rsidRPr="007B140B">
        <w:rPr>
          <w:rFonts w:ascii="Times New Roman" w:hAnsi="Times New Roman" w:cs="Times New Roman"/>
          <w:sz w:val="24"/>
          <w:szCs w:val="24"/>
          <w:lang w:val="en-US"/>
        </w:rPr>
        <w:t xml:space="preserve">of zoledronic acid to reduce the </w:t>
      </w:r>
      <w:r w:rsidR="00AC2B94" w:rsidRPr="007B140B">
        <w:rPr>
          <w:rFonts w:ascii="Times New Roman" w:hAnsi="Times New Roman" w:cs="Times New Roman"/>
          <w:sz w:val="24"/>
          <w:szCs w:val="24"/>
          <w:lang w:val="en-US"/>
        </w:rPr>
        <w:t xml:space="preserve">adverse </w:t>
      </w:r>
      <w:r w:rsidR="00787CB5" w:rsidRPr="007B140B">
        <w:rPr>
          <w:rFonts w:ascii="Times New Roman" w:hAnsi="Times New Roman" w:cs="Times New Roman"/>
          <w:sz w:val="24"/>
          <w:szCs w:val="24"/>
          <w:lang w:val="en-US"/>
        </w:rPr>
        <w:t xml:space="preserve">skeletal </w:t>
      </w:r>
      <w:r w:rsidR="00AC2B94" w:rsidRPr="007B140B">
        <w:rPr>
          <w:rFonts w:ascii="Times New Roman" w:hAnsi="Times New Roman" w:cs="Times New Roman"/>
          <w:sz w:val="24"/>
          <w:szCs w:val="24"/>
          <w:lang w:val="en-US"/>
        </w:rPr>
        <w:t>effects</w:t>
      </w:r>
      <w:r w:rsidR="00787CB5" w:rsidRPr="007B140B">
        <w:rPr>
          <w:rFonts w:ascii="Times New Roman" w:hAnsi="Times New Roman" w:cs="Times New Roman"/>
          <w:sz w:val="24"/>
          <w:szCs w:val="24"/>
          <w:lang w:val="en-US"/>
        </w:rPr>
        <w:t xml:space="preserve"> of cancer</w:t>
      </w:r>
      <w:r w:rsidR="00AC2B94" w:rsidRPr="007B140B">
        <w:rPr>
          <w:rFonts w:ascii="Times New Roman" w:hAnsi="Times New Roman" w:cs="Times New Roman"/>
          <w:sz w:val="24"/>
          <w:szCs w:val="24"/>
          <w:lang w:val="en-US"/>
        </w:rPr>
        <w:t xml:space="preserve"> (e.g., bone metastases)</w:t>
      </w:r>
      <w:r w:rsidR="00224200" w:rsidRPr="007B140B">
        <w:rPr>
          <w:rFonts w:ascii="Times New Roman" w:hAnsi="Times New Roman" w:cs="Times New Roman"/>
          <w:sz w:val="24"/>
          <w:szCs w:val="24"/>
          <w:lang w:val="en-US"/>
        </w:rPr>
        <w:t>.</w:t>
      </w:r>
      <w:r w:rsidR="00224200" w:rsidRPr="007B140B">
        <w:rPr>
          <w:rFonts w:ascii="Times New Roman" w:hAnsi="Times New Roman" w:cs="Times New Roman"/>
          <w:sz w:val="24"/>
          <w:szCs w:val="24"/>
          <w:lang w:val="en-US"/>
        </w:rPr>
        <w:fldChar w:fldCharType="begin" w:fldLock="1"/>
      </w:r>
      <w:r w:rsidR="00D2485C">
        <w:rPr>
          <w:rFonts w:ascii="Times New Roman" w:hAnsi="Times New Roman" w:cs="Times New Roman"/>
          <w:sz w:val="24"/>
          <w:szCs w:val="24"/>
          <w:lang w:val="en-US"/>
        </w:rPr>
        <w:instrText>ADDIN CSL_CITATION {"citationItems":[{"id":"ITEM-1","itemData":{"DOI":"10.1002/jbmr.2405","ISBN":"1523-4681 (Electronic)\\r0884-0431 (Linking)","ISSN":"15234681","PMID":"25414052","abstract":"This work provides a systematic review of the literature from January 2003 to April 2014 pertaining to the incidence, pathophysiology, diagnosis, and treatment of osteonecrosis of the jaw (ONJ), and offers recommendations for its management based on multidisciplinary international consensus. ONJ is associated with oncology-dose parenteral antiresorptive therapy of bisphosphonates (BP) and denosumab (Dmab). The incidence of ONJ is greatest in the oncology patient population (1% to 15%), where high doses of these medications are used at frequent intervals. In the osteoporosis patient population, the incidence of ONJ is estimated at 0.001% to 0.01%, marginally higher than the incidence in the general population (&lt;0.001%). New insights into the pathophysiology of ONJ include antiresorptive effects of BPs and Dmab, effects of BPs on gamma delta T-cells and on monocyte and macrophage function, as well as the role of local bacterial infection, inflammation, and necrosis. Advances in imaging include the use of cone beam computerized tomography assessing cortical and cancellous architecture with lower radiation exposure, magnetic resonance imaging, bone scanning, and positron emission tomography, although plain films often suffice. Other risk factors for ONJ include glucocorticoid use, maxillary or mandibular bone surgery, poor oral hygiene, chronic inflammation, diabetes mellitus, ill-fitting dentures, as well as other drugs, including antiangiogenic agents. Prevention strategies for ONJ include elimination or stabilization of oral disease prior to initiation of antiresorptive agents, as well as maintenance of good oral hygiene. In those patients at high risk for the development of ONJ, including cancer patients receiving high-dose BP or Dmab therapy, consideration should be given to withholding antiresorptive therapy following extensive oral surgery until the surgical site heals with mature mucosal coverage. Management of ONJ is based on the stage of the disease, size of the lesions, and the presence of contributing drug therapy and comorbidity. Conservative therapy includes topical antibiotic oral rinses and systemic antibiotic therapy. Localized surgical debridement is indicated in advanced nonresponsive disease and has been successful. Early data have suggested enhanced osseous wound healing with teriparatide in those without contraindications for its use. Experimental therapy includes bone marrow stem cell intralesional transplantation, low-level laser the…","author":[{"dropping-particle":"","family":"Khan","given":"Aliya A.","non-dropping-particle":"","parse-names":false,"suffix":""},{"dropping-particle":"","family":"Morrison","given":"Archie","non-dropping-particle":"","parse-names":false,"suffix":""},{"dropping-particle":"","family":"Hanley","given":"David A.","non-dropping-particle":"","parse-names":false,"suffix":""},{"dropping-particle":"","family":"Felsenberg","given":"Dieter","non-dropping-particle":"","parse-names":false,"suffix":""},{"dropping-particle":"","family":"McCauley","given":"Laurie K.","non-dropping-particle":"","parse-names":false,"suffix":""},{"dropping-particle":"","family":"O'Ryan","given":"Felice","non-dropping-particle":"","parse-names":false,"suffix":""},{"dropping-particle":"","family":"Reid","given":"Ian R.","non-dropping-particle":"","parse-names":false,"suffix":""},{"dropping-particle":"","family":"Ruggiero","given":"Salvatore L.","non-dropping-particle":"","parse-names":false,"suffix":""},{"dropping-particle":"","family":"Taguchi","given":"Akira","non-dropping-particle":"","parse-names":false,"suffix":""},{"dropping-particle":"","family":"Tetradis","given":"Sotirios","non-dropping-particle":"","parse-names":false,"suffix":""},{"dropping-particle":"","family":"Watts","given":"Nelson B.","non-dropping-particle":"","parse-names":false,"suffix":""},{"dropping-particle":"","family":"Brandi","given":"Maria Luisa","non-dropping-particle":"","parse-names":false,"suffix":""},{"dropping-particle":"","family":"Peters","given":"Edmund","non-dropping-particle":"","parse-names":false,"suffix":""},{"dropping-particle":"","family":"Guise","given":"Teresa","non-dropping-particle":"","parse-names":false,"suffix":""},{"dropping-particle":"","family":"Eastell","given":"Richard","non-dropping-particle":"","parse-names":false,"suffix":""},{"dropping-particle":"","family":"Cheung","given":"Angela M.","non-dropping-particle":"","parse-names":false,"suffix":""},{"dropping-particle":"","family":"Morin","given":"Suzanne N.","non-dropping-particle":"","parse-names":false,"suffix":""},{"dropping-particle":"","family":"Masri","given":"Basel","non-dropping-particle":"","parse-names":false,"suffix":""},{"dropping-particle":"","family":"Cooper","given":"Cyrus","non-dropping-particle":"","parse-names":false,"suffix":""},{"dropping-particle":"","family":"Morgan","given":"Sarah L.","non-dropping-particle":"","parse-names":false,"suffix":""},{"dropping-particle":"","family":"Obermayer-Pietsch","given":"Barbara","non-dropping-particle":"","parse-names":false,"suffix":""},{"dropping-particle":"","family":"Langdahl","given":"Bente L.","non-dropping-particle":"","parse-names":false,"suffix":""},{"dropping-particle":"","family":"Dabagh","given":"Rana","non-dropping-particle":"Al","parse-names":false,"suffix":""},{"dropping-particle":"","family":"Davison","given":"K. Shawn","non-dropping-particle":"","parse-names":false,"suffix":""},{"dropping-particle":"","family":"Kendler","given":"David L.","non-dropping-particle":"","parse-names":false,"suffix":""},{"dropping-particle":"","family":"Sándor","given":"George K.","non-dropping-particle":"","parse-names":false,"suffix":""},{"dropping-particle":"","family":"Josse","given":"Robert G.","non-dropping-particle":"","parse-names":false,"suffix":""},{"dropping-particle":"","family":"Bhandari","given":"Mohit","non-dropping-particle":"","parse-names":false,"suffix":""},{"dropping-particle":"","family":"Rabbany","given":"Mohamed","non-dropping-particle":"El","parse-names":false,"suffix":""},{"dropping-particle":"","family":"Pierroz","given":"Dominique D.","non-dropping-particle":"","parse-names":false,"suffix":""},{"dropping-particle":"","family":"Sulimani","given":"Riad","non-dropping-particle":"","parse-names":false,"suffix":""},{"dropping-particle":"","family":"Saunders","given":"Deborah P.","non-dropping-particle":"","parse-names":false,"suffix":""},{"dropping-particle":"","family":"Brown","given":"Jacques P.","non-dropping-particle":"","parse-names":false,"suffix":""},{"dropping-particle":"","family":"Compston","given":"Juliet","non-dropping-particle":"","parse-names":false,"suffix":""}],"container-title":"Journal of Bone and Mineral Research","id":"ITEM-1","issue":"1","issued":{"date-parts":[["2015"]]},"page":"3-23","title":"Diagnosis and management of osteonecrosis of the jaw: a systematic review and international consensus","type":"article-journal","volume":"30"},"uris":["http://www.mendeley.com/documents/?uuid=65e9991e-4b42-41cc-b2d3-de11a9ec9c35"]}],"mendeley":{"formattedCitation":"&lt;sup&gt;&lt;sup&gt;23&lt;/sup&gt;&lt;/sup&gt;","plainTextFormattedCitation":"23","previouslyFormattedCitation":"&lt;sup&gt;&lt;sup&gt;23&lt;/sup&gt;&lt;/sup&gt;"},"properties":{"noteIndex":0},"schema":"https://github.com/citation-style-language/schema/raw/master/csl-citation.json"}</w:instrText>
      </w:r>
      <w:r w:rsidR="00224200" w:rsidRPr="007B140B">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23</w:t>
      </w:r>
      <w:r w:rsidR="00224200" w:rsidRPr="007B140B">
        <w:rPr>
          <w:rFonts w:ascii="Times New Roman" w:hAnsi="Times New Roman" w:cs="Times New Roman"/>
          <w:sz w:val="24"/>
          <w:szCs w:val="24"/>
          <w:lang w:val="en-US"/>
        </w:rPr>
        <w:fldChar w:fldCharType="end"/>
      </w:r>
      <w:r w:rsidR="00224200" w:rsidRPr="007B140B">
        <w:rPr>
          <w:rFonts w:ascii="Times New Roman" w:hAnsi="Times New Roman" w:cs="Times New Roman"/>
          <w:sz w:val="24"/>
          <w:szCs w:val="24"/>
          <w:lang w:val="en-US"/>
        </w:rPr>
        <w:t xml:space="preserve">  In osteoporosis patients, </w:t>
      </w:r>
      <w:r w:rsidR="00064481" w:rsidRPr="007B140B">
        <w:rPr>
          <w:rFonts w:ascii="Times New Roman" w:hAnsi="Times New Roman" w:cs="Times New Roman"/>
          <w:sz w:val="24"/>
          <w:szCs w:val="24"/>
          <w:lang w:val="en-US"/>
        </w:rPr>
        <w:t xml:space="preserve">the incidence </w:t>
      </w:r>
      <w:r w:rsidR="00224200" w:rsidRPr="007B140B">
        <w:rPr>
          <w:rFonts w:ascii="Times New Roman" w:hAnsi="Times New Roman" w:cs="Times New Roman"/>
          <w:sz w:val="24"/>
          <w:szCs w:val="24"/>
          <w:lang w:val="en-US"/>
        </w:rPr>
        <w:t xml:space="preserve">of osteonecrosis of the jaw </w:t>
      </w:r>
      <w:r w:rsidR="00064481" w:rsidRPr="007B140B">
        <w:rPr>
          <w:rFonts w:ascii="Times New Roman" w:hAnsi="Times New Roman" w:cs="Times New Roman"/>
          <w:sz w:val="24"/>
          <w:szCs w:val="24"/>
          <w:lang w:val="en-US"/>
        </w:rPr>
        <w:t xml:space="preserve">is estimated to be </w:t>
      </w:r>
      <w:r w:rsidR="00787CB5" w:rsidRPr="007B140B">
        <w:rPr>
          <w:rFonts w:ascii="Times New Roman" w:hAnsi="Times New Roman" w:cs="Times New Roman"/>
          <w:sz w:val="24"/>
          <w:szCs w:val="24"/>
          <w:lang w:val="en-US"/>
        </w:rPr>
        <w:t>1 in 1</w:t>
      </w:r>
      <w:r w:rsidR="00C65938" w:rsidRPr="007B140B">
        <w:rPr>
          <w:rFonts w:ascii="Times New Roman" w:hAnsi="Times New Roman" w:cs="Times New Roman"/>
          <w:sz w:val="24"/>
          <w:szCs w:val="24"/>
          <w:lang w:val="en-US"/>
        </w:rPr>
        <w:t>00,000 to 1 in 10</w:t>
      </w:r>
      <w:r w:rsidR="00787CB5" w:rsidRPr="007B140B">
        <w:rPr>
          <w:rFonts w:ascii="Times New Roman" w:hAnsi="Times New Roman" w:cs="Times New Roman"/>
          <w:sz w:val="24"/>
          <w:szCs w:val="24"/>
          <w:lang w:val="en-US"/>
        </w:rPr>
        <w:t>,000.</w:t>
      </w:r>
      <w:r w:rsidR="00064481" w:rsidRPr="007B140B">
        <w:rPr>
          <w:rFonts w:ascii="Times New Roman" w:hAnsi="Times New Roman" w:cs="Times New Roman"/>
          <w:sz w:val="24"/>
          <w:szCs w:val="24"/>
          <w:lang w:val="en-US"/>
        </w:rPr>
        <w:fldChar w:fldCharType="begin" w:fldLock="1"/>
      </w:r>
      <w:r w:rsidR="00D2485C">
        <w:rPr>
          <w:rFonts w:ascii="Times New Roman" w:hAnsi="Times New Roman" w:cs="Times New Roman"/>
          <w:sz w:val="24"/>
          <w:szCs w:val="24"/>
          <w:lang w:val="en-US"/>
        </w:rPr>
        <w:instrText>ADDIN CSL_CITATION {"citationItems":[{"id":"ITEM-1","itemData":{"DOI":"10.1002/jbmr.2405","ISBN":"1523-4681 (Electronic)\\r0884-0431 (Linking)","ISSN":"15234681","PMID":"25414052","abstract":"This work provides a systematic review of the literature from January 2003 to April 2014 pertaining to the incidence, pathophysiology, diagnosis, and treatment of osteonecrosis of the jaw (ONJ), and offers recommendations for its management based on multidisciplinary international consensus. ONJ is associated with oncology-dose parenteral antiresorptive therapy of bisphosphonates (BP) and denosumab (Dmab). The incidence of ONJ is greatest in the oncology patient population (1% to 15%), where high doses of these medications are used at frequent intervals. In the osteoporosis patient population, the incidence of ONJ is estimated at 0.001% to 0.01%, marginally higher than the incidence in the general population (&lt;0.001%). New insights into the pathophysiology of ONJ include antiresorptive effects of BPs and Dmab, effects of BPs on gamma delta T-cells and on monocyte and macrophage function, as well as the role of local bacterial infection, inflammation, and necrosis. Advances in imaging include the use of cone beam computerized tomography assessing cortical and cancellous architecture with lower radiation exposure, magnetic resonance imaging, bone scanning, and positron emission tomography, although plain films often suffice. Other risk factors for ONJ include glucocorticoid use, maxillary or mandibular bone surgery, poor oral hygiene, chronic inflammation, diabetes mellitus, ill-fitting dentures, as well as other drugs, including antiangiogenic agents. Prevention strategies for ONJ include elimination or stabilization of oral disease prior to initiation of antiresorptive agents, as well as maintenance of good oral hygiene. In those patients at high risk for the development of ONJ, including cancer patients receiving high-dose BP or Dmab therapy, consideration should be given to withholding antiresorptive therapy following extensive oral surgery until the surgical site heals with mature mucosal coverage. Management of ONJ is based on the stage of the disease, size of the lesions, and the presence of contributing drug therapy and comorbidity. Conservative therapy includes topical antibiotic oral rinses and systemic antibiotic therapy. Localized surgical debridement is indicated in advanced nonresponsive disease and has been successful. Early data have suggested enhanced osseous wound healing with teriparatide in those without contraindications for its use. Experimental therapy includes bone marrow stem cell intralesional transplantation, low-level laser the…","author":[{"dropping-particle":"","family":"Khan","given":"Aliya A.","non-dropping-particle":"","parse-names":false,"suffix":""},{"dropping-particle":"","family":"Morrison","given":"Archie","non-dropping-particle":"","parse-names":false,"suffix":""},{"dropping-particle":"","family":"Hanley","given":"David A.","non-dropping-particle":"","parse-names":false,"suffix":""},{"dropping-particle":"","family":"Felsenberg","given":"Dieter","non-dropping-particle":"","parse-names":false,"suffix":""},{"dropping-particle":"","family":"McCauley","given":"Laurie K.","non-dropping-particle":"","parse-names":false,"suffix":""},{"dropping-particle":"","family":"O'Ryan","given":"Felice","non-dropping-particle":"","parse-names":false,"suffix":""},{"dropping-particle":"","family":"Reid","given":"Ian R.","non-dropping-particle":"","parse-names":false,"suffix":""},{"dropping-particle":"","family":"Ruggiero","given":"Salvatore L.","non-dropping-particle":"","parse-names":false,"suffix":""},{"dropping-particle":"","family":"Taguchi","given":"Akira","non-dropping-particle":"","parse-names":false,"suffix":""},{"dropping-particle":"","family":"Tetradis","given":"Sotirios","non-dropping-particle":"","parse-names":false,"suffix":""},{"dropping-particle":"","family":"Watts","given":"Nelson B.","non-dropping-particle":"","parse-names":false,"suffix":""},{"dropping-particle":"","family":"Brandi","given":"Maria Luisa","non-dropping-particle":"","parse-names":false,"suffix":""},{"dropping-particle":"","family":"Peters","given":"Edmund","non-dropping-particle":"","parse-names":false,"suffix":""},{"dropping-particle":"","family":"Guise","given":"Teresa","non-dropping-particle":"","parse-names":false,"suffix":""},{"dropping-particle":"","family":"Eastell","given":"Richard","non-dropping-particle":"","parse-names":false,"suffix":""},{"dropping-particle":"","family":"Cheung","given":"Angela M.","non-dropping-particle":"","parse-names":false,"suffix":""},{"dropping-particle":"","family":"Morin","given":"Suzanne N.","non-dropping-particle":"","parse-names":false,"suffix":""},{"dropping-particle":"","family":"Masri","given":"Basel","non-dropping-particle":"","parse-names":false,"suffix":""},{"dropping-particle":"","family":"Cooper","given":"Cyrus","non-dropping-particle":"","parse-names":false,"suffix":""},{"dropping-particle":"","family":"Morgan","given":"Sarah L.","non-dropping-particle":"","parse-names":false,"suffix":""},{"dropping-particle":"","family":"Obermayer-Pietsch","given":"Barbara","non-dropping-particle":"","parse-names":false,"suffix":""},{"dropping-particle":"","family":"Langdahl","given":"Bente L.","non-dropping-particle":"","parse-names":false,"suffix":""},{"dropping-particle":"","family":"Dabagh","given":"Rana","non-dropping-particle":"Al","parse-names":false,"suffix":""},{"dropping-particle":"","family":"Davison","given":"K. Shawn","non-dropping-particle":"","parse-names":false,"suffix":""},{"dropping-particle":"","family":"Kendler","given":"David L.","non-dropping-particle":"","parse-names":false,"suffix":""},{"dropping-particle":"","family":"Sándor","given":"George K.","non-dropping-particle":"","parse-names":false,"suffix":""},{"dropping-particle":"","family":"Josse","given":"Robert G.","non-dropping-particle":"","parse-names":false,"suffix":""},{"dropping-particle":"","family":"Bhandari","given":"Mohit","non-dropping-particle":"","parse-names":false,"suffix":""},{"dropping-particle":"","family":"Rabbany","given":"Mohamed","non-dropping-particle":"El","parse-names":false,"suffix":""},{"dropping-particle":"","family":"Pierroz","given":"Dominique D.","non-dropping-particle":"","parse-names":false,"suffix":""},{"dropping-particle":"","family":"Sulimani","given":"Riad","non-dropping-particle":"","parse-names":false,"suffix":""},{"dropping-particle":"","family":"Saunders","given":"Deborah P.","non-dropping-particle":"","parse-names":false,"suffix":""},{"dropping-particle":"","family":"Brown","given":"Jacques P.","non-dropping-particle":"","parse-names":false,"suffix":""},{"dropping-particle":"","family":"Compston","given":"Juliet","non-dropping-particle":"","parse-names":false,"suffix":""}],"container-title":"Journal of Bone and Mineral Research","id":"ITEM-1","issue":"1","issued":{"date-parts":[["2015"]]},"page":"3-23","title":"Diagnosis and management of osteonecrosis of the jaw: a systematic review and international consensus","type":"article-journal","volume":"30"},"uris":["http://www.mendeley.com/documents/?uuid=65e9991e-4b42-41cc-b2d3-de11a9ec9c35"]}],"mendeley":{"formattedCitation":"&lt;sup&gt;&lt;sup&gt;23&lt;/sup&gt;&lt;/sup&gt;","plainTextFormattedCitation":"23","previouslyFormattedCitation":"&lt;sup&gt;&lt;sup&gt;23&lt;/sup&gt;&lt;/sup&gt;"},"properties":{"noteIndex":0},"schema":"https://github.com/citation-style-language/schema/raw/master/csl-citation.json"}</w:instrText>
      </w:r>
      <w:r w:rsidR="00064481" w:rsidRPr="007B140B">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23</w:t>
      </w:r>
      <w:r w:rsidR="00064481" w:rsidRPr="007B140B">
        <w:rPr>
          <w:rFonts w:ascii="Times New Roman" w:hAnsi="Times New Roman" w:cs="Times New Roman"/>
          <w:sz w:val="24"/>
          <w:szCs w:val="24"/>
          <w:lang w:val="en-US"/>
        </w:rPr>
        <w:fldChar w:fldCharType="end"/>
      </w:r>
      <w:r w:rsidR="00064481" w:rsidRPr="007B140B">
        <w:rPr>
          <w:rFonts w:ascii="Times New Roman" w:hAnsi="Times New Roman" w:cs="Times New Roman"/>
          <w:sz w:val="24"/>
          <w:szCs w:val="24"/>
          <w:lang w:val="en-US"/>
        </w:rPr>
        <w:t xml:space="preserve"> Atypica</w:t>
      </w:r>
      <w:r w:rsidR="00CC4DD8" w:rsidRPr="007B140B">
        <w:rPr>
          <w:rFonts w:ascii="Times New Roman" w:hAnsi="Times New Roman" w:cs="Times New Roman"/>
          <w:sz w:val="24"/>
          <w:szCs w:val="24"/>
          <w:lang w:val="en-US"/>
        </w:rPr>
        <w:t>l femoral</w:t>
      </w:r>
      <w:r w:rsidR="00787CB5" w:rsidRPr="007B140B">
        <w:rPr>
          <w:rFonts w:ascii="Times New Roman" w:hAnsi="Times New Roman" w:cs="Times New Roman"/>
          <w:sz w:val="24"/>
          <w:szCs w:val="24"/>
          <w:lang w:val="en-US"/>
        </w:rPr>
        <w:t xml:space="preserve"> fractures are also rare,</w:t>
      </w:r>
      <w:r w:rsidR="00064481" w:rsidRPr="007B140B">
        <w:rPr>
          <w:rFonts w:ascii="Times New Roman" w:hAnsi="Times New Roman" w:cs="Times New Roman"/>
          <w:sz w:val="24"/>
          <w:szCs w:val="24"/>
          <w:lang w:val="en-US"/>
        </w:rPr>
        <w:t xml:space="preserve"> and they are typically reported after</w:t>
      </w:r>
      <w:r w:rsidR="00386BC9" w:rsidRPr="007B140B">
        <w:rPr>
          <w:rFonts w:ascii="Times New Roman" w:hAnsi="Times New Roman" w:cs="Times New Roman"/>
          <w:sz w:val="24"/>
          <w:szCs w:val="24"/>
          <w:lang w:val="en-US"/>
        </w:rPr>
        <w:t xml:space="preserve"> long treatment periods of </w:t>
      </w:r>
      <w:r w:rsidR="00064481" w:rsidRPr="007B140B">
        <w:rPr>
          <w:rFonts w:ascii="Times New Roman" w:hAnsi="Times New Roman" w:cs="Times New Roman"/>
          <w:sz w:val="24"/>
          <w:szCs w:val="24"/>
          <w:lang w:val="en-US"/>
        </w:rPr>
        <w:t>7 or more years.</w:t>
      </w:r>
      <w:r w:rsidR="00064481" w:rsidRPr="007B140B">
        <w:rPr>
          <w:rFonts w:ascii="Times New Roman" w:hAnsi="Times New Roman" w:cs="Times New Roman"/>
          <w:sz w:val="24"/>
          <w:szCs w:val="24"/>
          <w:lang w:val="en-US"/>
        </w:rPr>
        <w:fldChar w:fldCharType="begin" w:fldLock="1"/>
      </w:r>
      <w:r w:rsidR="00D2485C">
        <w:rPr>
          <w:rFonts w:ascii="Times New Roman" w:hAnsi="Times New Roman" w:cs="Times New Roman"/>
          <w:sz w:val="24"/>
          <w:szCs w:val="24"/>
          <w:lang w:val="en-US"/>
        </w:rPr>
        <w:instrText>ADDIN CSL_CITATION {"citationItems":[{"id":"ITEM-1","itemData":{"author":[{"dropping-particle":"","family":"Schilcher","given":"J.","non-dropping-particle":"","parse-names":false,"suffix":""},{"dropping-particle":"","family":"Michaëlsson","given":"K.","non-dropping-particle":"","parse-names":false,"suffix":""},{"dropping-particle":"","family":"Aspenberg","given":"P.","non-dropping-particle":"","parse-names":false,"suffix":""}],"container-title":"N Engl J Med","id":"ITEM-1","issue":"18","issued":{"date-parts":[["2011"]]},"page":"1728-1737","title":"Bisphosphonate use and atypical fractures of the femoral shaft","type":"article-journal","volume":"365"},"uris":["http://www.mendeley.com/documents/?uuid=57277628-e307-4e19-b5b9-8c34ade4f815"]},{"id":"ITEM-2","itemData":{"author":[{"dropping-particle":"","family":"Black","given":"D","non-dropping-particle":"","parse-names":false,"suffix":""},{"dropping-particle":"","family":"Kelly","given":"M","non-dropping-particle":"","parse-names":false,"suffix":""},{"dropping-particle":"","family":"Genant","given":"H","non-dropping-particle":"","parse-names":false,"suffix":""},{"dropping-particle":"","family":"Palermo","given":"L","non-dropping-particle":"","parse-names":false,"suffix":""},{"dropping-particle":"","family":"Eastell","given":"R","non-dropping-particle":"","parse-names":false,"suffix":""},{"dropping-particle":"","family":"Bucci-Rechtweg","given":"C","non-dropping-particle":"","parse-names":false,"suffix":""},{"dropping-particle":"","family":"Cauley","given":"J","non-dropping-particle":"","parse-names":false,"suffix":""}],"container-title":"N Engl J Med","id":"ITEM-2","issue":"19","issued":{"date-parts":[["2010"]]},"note":"Study ID: 50","page":"1761-1771","title":"Bisphosphonates and fractures of the subtrochanteric or diaphyseal femur","type":"article-journal","volume":"362"},"uris":["http://www.mendeley.com/documents/?uuid=dcae0160-61fa-45a5-9f6c-4e7c5e7a59f4"]}],"mendeley":{"formattedCitation":"&lt;sup&gt;&lt;sup&gt;25&lt;/sup&gt;,&lt;sup&gt;26&lt;/sup&gt;&lt;/sup&gt;","plainTextFormattedCitation":"25,26","previouslyFormattedCitation":"&lt;sup&gt;&lt;sup&gt;25&lt;/sup&gt;,&lt;sup&gt;26&lt;/sup&gt;&lt;/sup&gt;"},"properties":{"noteIndex":0},"schema":"https://github.com/citation-style-language/schema/raw/master/csl-citation.json"}</w:instrText>
      </w:r>
      <w:r w:rsidR="00064481" w:rsidRPr="007B140B">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25,26</w:t>
      </w:r>
      <w:r w:rsidR="00064481" w:rsidRPr="007B140B">
        <w:rPr>
          <w:rFonts w:ascii="Times New Roman" w:hAnsi="Times New Roman" w:cs="Times New Roman"/>
          <w:sz w:val="24"/>
          <w:szCs w:val="24"/>
          <w:lang w:val="en-US"/>
        </w:rPr>
        <w:fldChar w:fldCharType="end"/>
      </w:r>
      <w:r w:rsidR="00064481" w:rsidRPr="007B140B">
        <w:rPr>
          <w:rFonts w:ascii="Times New Roman" w:hAnsi="Times New Roman" w:cs="Times New Roman"/>
          <w:sz w:val="24"/>
          <w:szCs w:val="24"/>
          <w:lang w:val="en-US"/>
        </w:rPr>
        <w:t xml:space="preserve">  </w:t>
      </w:r>
      <w:r w:rsidR="00A14368" w:rsidRPr="007B140B">
        <w:rPr>
          <w:rFonts w:ascii="Times New Roman" w:hAnsi="Times New Roman" w:cs="Times New Roman"/>
          <w:sz w:val="24"/>
          <w:szCs w:val="24"/>
          <w:lang w:val="en-US"/>
        </w:rPr>
        <w:t>It should also be noted that no</w:t>
      </w:r>
      <w:r w:rsidR="00B10A5C" w:rsidRPr="007B140B">
        <w:rPr>
          <w:rFonts w:ascii="Times New Roman" w:hAnsi="Times New Roman" w:cs="Times New Roman"/>
          <w:sz w:val="24"/>
          <w:szCs w:val="24"/>
          <w:lang w:val="en-US"/>
        </w:rPr>
        <w:t xml:space="preserve"> </w:t>
      </w:r>
      <w:r w:rsidR="00064481" w:rsidRPr="007B140B">
        <w:rPr>
          <w:rFonts w:ascii="Times New Roman" w:hAnsi="Times New Roman" w:cs="Times New Roman"/>
          <w:sz w:val="24"/>
          <w:szCs w:val="24"/>
          <w:lang w:val="en-US"/>
        </w:rPr>
        <w:t>increase</w:t>
      </w:r>
      <w:r w:rsidR="00B10A5C" w:rsidRPr="007B140B">
        <w:rPr>
          <w:rFonts w:ascii="Times New Roman" w:hAnsi="Times New Roman" w:cs="Times New Roman"/>
          <w:sz w:val="24"/>
          <w:szCs w:val="24"/>
          <w:lang w:val="en-US"/>
        </w:rPr>
        <w:t>d</w:t>
      </w:r>
      <w:r w:rsidR="00064481" w:rsidRPr="007B140B">
        <w:rPr>
          <w:rFonts w:ascii="Times New Roman" w:hAnsi="Times New Roman" w:cs="Times New Roman"/>
          <w:sz w:val="24"/>
          <w:szCs w:val="24"/>
          <w:lang w:val="en-US"/>
        </w:rPr>
        <w:t xml:space="preserve"> risk of these </w:t>
      </w:r>
      <w:r w:rsidR="007711E0" w:rsidRPr="007B140B">
        <w:rPr>
          <w:rFonts w:ascii="Times New Roman" w:hAnsi="Times New Roman" w:cs="Times New Roman"/>
          <w:sz w:val="24"/>
          <w:szCs w:val="24"/>
          <w:lang w:val="en-US"/>
        </w:rPr>
        <w:t xml:space="preserve">adverse </w:t>
      </w:r>
      <w:r w:rsidR="00B10A5C" w:rsidRPr="007B140B">
        <w:rPr>
          <w:rFonts w:ascii="Times New Roman" w:hAnsi="Times New Roman" w:cs="Times New Roman"/>
          <w:sz w:val="24"/>
          <w:szCs w:val="24"/>
          <w:lang w:val="en-US"/>
        </w:rPr>
        <w:t xml:space="preserve">events </w:t>
      </w:r>
      <w:r w:rsidR="00787CB5" w:rsidRPr="007B140B">
        <w:rPr>
          <w:rFonts w:ascii="Times New Roman" w:hAnsi="Times New Roman" w:cs="Times New Roman"/>
          <w:sz w:val="24"/>
          <w:szCs w:val="24"/>
          <w:lang w:val="en-US"/>
        </w:rPr>
        <w:t>was</w:t>
      </w:r>
      <w:r w:rsidR="00B10A5C" w:rsidRPr="007B140B">
        <w:rPr>
          <w:rFonts w:ascii="Times New Roman" w:hAnsi="Times New Roman" w:cs="Times New Roman"/>
          <w:sz w:val="24"/>
          <w:szCs w:val="24"/>
          <w:lang w:val="en-US"/>
        </w:rPr>
        <w:t xml:space="preserve"> </w:t>
      </w:r>
      <w:r w:rsidR="001E063A" w:rsidRPr="007B140B">
        <w:rPr>
          <w:rFonts w:ascii="Times New Roman" w:hAnsi="Times New Roman" w:cs="Times New Roman"/>
          <w:sz w:val="24"/>
          <w:szCs w:val="24"/>
          <w:lang w:val="en-US"/>
        </w:rPr>
        <w:t>reported</w:t>
      </w:r>
      <w:r w:rsidR="00064481" w:rsidRPr="007B140B">
        <w:rPr>
          <w:rFonts w:ascii="Times New Roman" w:hAnsi="Times New Roman" w:cs="Times New Roman"/>
          <w:sz w:val="24"/>
          <w:szCs w:val="24"/>
          <w:lang w:val="en-US"/>
        </w:rPr>
        <w:t xml:space="preserve"> in the four largest trials </w:t>
      </w:r>
      <w:r w:rsidR="00B10A5C" w:rsidRPr="007B140B">
        <w:rPr>
          <w:rFonts w:ascii="Times New Roman" w:hAnsi="Times New Roman" w:cs="Times New Roman"/>
          <w:sz w:val="24"/>
          <w:szCs w:val="24"/>
          <w:lang w:val="en-US"/>
        </w:rPr>
        <w:t xml:space="preserve">of zoledronic acid that have been </w:t>
      </w:r>
      <w:r w:rsidR="00064481" w:rsidRPr="007B140B">
        <w:rPr>
          <w:rFonts w:ascii="Times New Roman" w:hAnsi="Times New Roman" w:cs="Times New Roman"/>
          <w:sz w:val="24"/>
          <w:szCs w:val="24"/>
          <w:lang w:val="en-US"/>
        </w:rPr>
        <w:t>conducted</w:t>
      </w:r>
      <w:r w:rsidR="001063D5">
        <w:rPr>
          <w:rFonts w:ascii="Times New Roman" w:hAnsi="Times New Roman" w:cs="Times New Roman"/>
          <w:sz w:val="24"/>
          <w:szCs w:val="24"/>
          <w:lang w:val="en-US"/>
        </w:rPr>
        <w:t xml:space="preserve"> to date</w:t>
      </w:r>
      <w:r w:rsidR="00064481" w:rsidRPr="007B140B">
        <w:rPr>
          <w:rFonts w:ascii="Times New Roman" w:hAnsi="Times New Roman" w:cs="Times New Roman"/>
          <w:sz w:val="24"/>
          <w:szCs w:val="24"/>
          <w:lang w:val="en-US"/>
        </w:rPr>
        <w:t>.</w:t>
      </w:r>
      <w:r w:rsidR="00700099" w:rsidRPr="007B140B">
        <w:rPr>
          <w:rFonts w:ascii="Times New Roman" w:hAnsi="Times New Roman" w:cs="Times New Roman"/>
          <w:sz w:val="24"/>
          <w:szCs w:val="24"/>
          <w:lang w:val="en-US"/>
        </w:rPr>
        <w:fldChar w:fldCharType="begin" w:fldLock="1"/>
      </w:r>
      <w:r w:rsidR="00D2485C">
        <w:rPr>
          <w:rFonts w:ascii="Times New Roman" w:hAnsi="Times New Roman" w:cs="Times New Roman"/>
          <w:sz w:val="24"/>
          <w:szCs w:val="24"/>
          <w:lang w:val="en-US"/>
        </w:rPr>
        <w:instrText>ADDIN CSL_CITATION {"citationItems":[{"id":"ITEM-1","itemData":{"DOI":"10.1056/NEJMoa074941","author":[{"dropping-particle":"","family":"Lyles","given":"Kenneth W.","non-dropping-particle":"","parse-names":false,"suffix":""},{"dropping-particle":"","family":"Colón-Emeric","given":"Cathleen S.","non-dropping-particle":"","parse-names":false,"suffix":""},{"dropping-particle":"","family":"Magaziner","given":"Jay S.","non-dropping-particle":"","parse-names":false,"suffix":""},{"dropping-particle":"","family":"Adachi","given":"Jonathan D.","non-dropping-particle":"","parse-names":false,"suffix":""},{"dropping-particle":"","family":"Pieper","given":"Carl F.","non-dropping-particle":"","parse-names":false,"suffix":""},{"dropping-particle":"","family":"Mautalen","given":"Carlos","non-dropping-particle":"","parse-names":false,"suffix":""},{"dropping-particle":"","family":"Hyldstrup","given":"Lars","non-dropping-particle":"","parse-names":false,"suffix":""},{"dropping-particle":"","family":"Recknor","given":"Chris","non-dropping-particle":"","parse-names":false,"suffix":""},{"dropping-particle":"","family":"Nordsletten","given":"Lars","non-dropping-particle":"","parse-names":false,"suffix":""},{"dropping-particle":"","family":"Moore","given":"Kathy A.","non-dropping-particle":"","parse-names":false,"suffix":""},{"dropping-particle":"","family":"Lavecchia","given":"Catherine","non-dropping-particle":"","parse-names":false,"suffix":""},{"dropping-particle":"","family":"Zhang","given":"Jie","non-dropping-particle":"","parse-names":false,"suffix":""},{"dropping-particle":"","family":"Mesenbrink","given":"Peter","non-dropping-particle":"","parse-names":false,"suffix":""},{"dropping-particle":"","family":"Hodgson","given":"Patricia K.","non-dropping-particle":"","parse-names":false,"suffix":""},{"dropping-particle":"","family":"Abrams","given":"Ken","non-dropping-particle":"","parse-names":false,"suffix":""},{"dropping-particle":"","family":"Orloff","given":"John J.","non-dropping-particle":"","parse-names":false,"suffix":""},{"dropping-particle":"","family":"Horowitz","given":"Zebulun","non-dropping-particle":"","parse-names":false,"suffix":""},{"dropping-particle":"","family":"Eriksen","given":"Erik Fink","non-dropping-particle":"","parse-names":false,"suffix":""},{"dropping-particle":"","family":"Boonen","given":"Steven","non-dropping-particle":"","parse-names":false,"suffix":""}],"container-title":"New England Journal of Medicine","id":"ITEM-1","issue":"18","issued":{"date-parts":[["2007"]]},"page":"1799-1809","title":"Zoledronic acid and clinical fractures and mortality after hip fracture","type":"article-journal","volume":"357"},"uris":["http://www.mendeley.com/documents/?uuid=fdc4eb3b-a387-4743-a233-680ae590c2cf"]},{"id":"ITEM-2","itemData":{"author":[{"dropping-particle":"","family":"Black","given":"D","non-dropping-particle":"","parse-names":false,"suffix":""},{"dropping-particle":"","family":"Kelly","given":"M","non-dropping-particle":"","parse-names":false,"suffix":""},{"dropping-particle":"","family":"Genant","given":"H","non-dropping-particle":"","parse-names":false,"suffix":""},{"dropping-particle":"","family":"Palermo","given":"L","non-dropping-particle":"","parse-names":false,"suffix":""},{"dropping-particle":"","family":"Eastell","given":"R","non-dropping-particle":"","parse-names":false,"suffix":""},{"dropping-particle":"","family":"Bucci-Rechtweg","given":"C","non-dropping-particle":"","parse-names":false,"suffix":""},{"dropping-particle":"","family":"Cauley","given":"J","non-dropping-particle":"","parse-names":false,"suffix":""}],"container-title":"N Engl J Med","id":"ITEM-2","issue":"19","issued":{"date-parts":[["2010"]]},"note":"Study ID: 50","page":"1761-1771","title":"Bisphosphonates and fractures of the subtrochanteric or diaphyseal femur","type":"article-journal","volume":"362"},"uris":["http://www.mendeley.com/documents/?uuid=dcae0160-61fa-45a5-9f6c-4e7c5e7a59f4"]},{"id":"ITEM-3","itemData":{"DOI":"10.1056/NEJMoa1808082","ISSN":"0028-4793","author":[{"dropping-particle":"","family":"Reid","given":"Ian R.","non-dropping-particle":"","parse-names":false,"suffix":""},{"dropping-particle":"","family":"Horne","given":"Anne M.","non-dropping-particle":"","parse-names":false,"suffix":""},{"dropping-particle":"","family":"Mihov","given":"Borislav","non-dropping-particle":"","parse-names":false,"suffix":""},{"dropping-particle":"","family":"Stewart","given":"Angela","non-dropping-particle":"","parse-names":false,"suffix":""},{"dropping-particle":"","family":"Garratt","given":"Elizabeth","non-dropping-particle":"","parse-names":false,"suffix":""},{"dropping-particle":"","family":"Wong","given":"Sumwai","non-dropping-particle":"","parse-names":false,"suffix":""},{"dropping-particle":"","family":"Wiessing","given":"Katy R.","non-dropping-particle":"","parse-names":false,"suffix":""},{"dropping-particle":"","family":"Bolland","given":"Mark J.","non-dropping-particle":"","parse-names":false,"suffix":""},{"dropping-particle":"","family":"Bastin","given":"Sonja","non-dropping-particle":"","parse-names":false,"suffix":""},{"dropping-particle":"","family":"Gamble","given":"Gregory D.","non-dropping-particle":"","parse-names":false,"suffix":""}],"container-title":"New England Journal of Medicine","id":"ITEM-3","issue":"25","issued":{"date-parts":[["2018"]]},"page":"2407-2416","title":"Fracture prevention with zoledronate in older women with osteopenia","type":"article-journal","volume":"379"},"uris":["http://www.mendeley.com/documents/?uuid=69cbf6db-0dca-4f28-87bb-02a266b0d7ef"]},{"id":"ITEM-4","itemData":{"DOI":"10.1056/NEJMoa1204061","ISBN":"0028-4793","ISSN":"1533-4406","PMID":"23113482","abstract":"Fractures in men are a major health issue, and data on the antifracture efficacy of therapies for osteoporosis in men are limited. We studied the effect of zoledronic acid on fracture risk among men with osteoporosis.","author":[{"dropping-particle":"","family":"Boonen","given":"Steven","non-dropping-particle":"","parse-names":false,"suffix":""},{"dropping-particle":"","family":"Reginster","given":"Jean Yves","non-dropping-particle":"","parse-names":false,"suffix":""},{"dropping-particle":"","family":"Kaufman","given":"Jean Marc","non-dropping-particle":"","parse-names":false,"suffix":""},{"dropping-particle":"","family":"Lippuner","given":"Kurt","non-dropping-particle":"","parse-names":false,"suffix":""},{"dropping-particle":"","family":"Zanchetta","given":"Jose","non-dropping-particle":"","parse-names":false,"suffix":""},{"dropping-particle":"","family":"Langdahl","given":"Bente","non-dropping-particle":"","parse-names":false,"suffix":""},{"dropping-particle":"","family":"Rizzoli","given":"Rene","non-dropping-particle":"","parse-names":false,"suffix":""},{"dropping-particle":"","family":"Lipschitz","given":"Stanley","non-dropping-particle":"","parse-names":false,"suffix":""},{"dropping-particle":"","family":"Dimai","given":"Hans Peter","non-dropping-particle":"","parse-names":false,"suffix":""},{"dropping-particle":"","family":"Witvrouw","given":"Richard","non-dropping-particle":"","parse-names":false,"suffix":""},{"dropping-particle":"","family":"Eriksen","given":"Erik","non-dropping-particle":"","parse-names":false,"suffix":""},{"dropping-particle":"","family":"Brixen","given":"Kim","non-dropping-particle":"","parse-names":false,"suffix":""},{"dropping-particle":"","family":"Russo","given":"Luis","non-dropping-particle":"","parse-names":false,"suffix":""},{"dropping-particle":"","family":"Claessens","given":"Frank","non-dropping-particle":"","parse-names":false,"suffix":""},{"dropping-particle":"","family":"Papanastasiou","given":"Philemon","non-dropping-particle":"","parse-names":false,"suffix":""},{"dropping-particle":"","family":"Antunez","given":"Oscar","non-dropping-particle":"","parse-names":false,"suffix":""},{"dropping-particle":"","family":"Su","given":"Guoqin","non-dropping-particle":"","parse-names":false,"suffix":""},{"dropping-particle":"","family":"Bucci-Rechtweg","given":"Christina","non-dropping-particle":"","parse-names":false,"suffix":""},{"dropping-particle":"","family":"Hruska","given":"Josef","non-dropping-particle":"","parse-names":false,"suffix":""},{"dropping-particle":"","family":"Incera","given":"Elodie","non-dropping-particle":"","parse-names":false,"suffix":""},{"dropping-particle":"","family":"Vanderschueren","given":"Dirk","non-dropping-particle":"","parse-names":false,"suffix":""},{"dropping-particle":"","family":"Orwoll","given":"Eric","non-dropping-particle":"","parse-names":false,"suffix":""}],"container-title":"New England Journal of Medicine","id":"ITEM-4","issued":{"date-parts":[["2012"]]},"page":"1714-23","title":"Fracture risk and zoledronic acid therapy in men with osteoporosis.","type":"article-journal","volume":"367"},"uris":["http://www.mendeley.com/documents/?uuid=468f639f-e766-4ff9-83b2-83686de955c1"]}],"mendeley":{"formattedCitation":"&lt;sup&gt;&lt;sup&gt;20&lt;/sup&gt;–&lt;sup&gt;22&lt;/sup&gt;,&lt;sup&gt;26&lt;/sup&gt;&lt;/sup&gt;","plainTextFormattedCitation":"20–22,26","previouslyFormattedCitation":"&lt;sup&gt;&lt;sup&gt;20&lt;/sup&gt;–&lt;sup&gt;22&lt;/sup&gt;,&lt;sup&gt;26&lt;/sup&gt;&lt;/sup&gt;"},"properties":{"noteIndex":0},"schema":"https://github.com/citation-style-language/schema/raw/master/csl-citation.json"}</w:instrText>
      </w:r>
      <w:r w:rsidR="00700099" w:rsidRPr="007B140B">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20–22,26</w:t>
      </w:r>
      <w:r w:rsidR="00700099" w:rsidRPr="007B140B">
        <w:rPr>
          <w:rFonts w:ascii="Times New Roman" w:hAnsi="Times New Roman" w:cs="Times New Roman"/>
          <w:sz w:val="24"/>
          <w:szCs w:val="24"/>
          <w:lang w:val="en-US"/>
        </w:rPr>
        <w:fldChar w:fldCharType="end"/>
      </w:r>
      <w:r w:rsidR="00064481" w:rsidRPr="007B140B">
        <w:rPr>
          <w:rFonts w:ascii="Times New Roman" w:hAnsi="Times New Roman" w:cs="Times New Roman"/>
          <w:sz w:val="24"/>
          <w:szCs w:val="24"/>
          <w:lang w:val="en-US"/>
        </w:rPr>
        <w:t xml:space="preserve"> </w:t>
      </w:r>
    </w:p>
    <w:p w14:paraId="06A9F390" w14:textId="77777777" w:rsidR="00064481" w:rsidRPr="007B140B" w:rsidRDefault="00064481" w:rsidP="00273AA9">
      <w:pPr>
        <w:rPr>
          <w:rFonts w:ascii="Times New Roman" w:hAnsi="Times New Roman" w:cs="Times New Roman"/>
          <w:sz w:val="24"/>
          <w:szCs w:val="24"/>
          <w:lang w:val="en-US"/>
        </w:rPr>
      </w:pPr>
    </w:p>
    <w:p w14:paraId="70C2520E" w14:textId="633D3EEC" w:rsidR="00F01E74" w:rsidRPr="007B140B" w:rsidRDefault="00F01E74" w:rsidP="00D36611">
      <w:pPr>
        <w:pStyle w:val="Formatmall4"/>
        <w:rPr>
          <w:rFonts w:cs="Times New Roman"/>
          <w:lang w:val="en-US"/>
        </w:rPr>
      </w:pPr>
      <w:bookmarkStart w:id="23" w:name="_Toc99001395"/>
      <w:r w:rsidRPr="007B140B">
        <w:rPr>
          <w:rFonts w:cs="Times New Roman"/>
          <w:lang w:val="en-US"/>
        </w:rPr>
        <w:t>Objectives</w:t>
      </w:r>
      <w:bookmarkEnd w:id="23"/>
    </w:p>
    <w:p w14:paraId="69D2CC22" w14:textId="03D19A74" w:rsidR="00F01E74" w:rsidRPr="007B140B" w:rsidRDefault="00F01E74" w:rsidP="00D36611">
      <w:pPr>
        <w:pStyle w:val="Formatmall3"/>
        <w:rPr>
          <w:rFonts w:cs="Times New Roman"/>
          <w:lang w:val="en-US"/>
        </w:rPr>
      </w:pPr>
      <w:r w:rsidRPr="007B140B">
        <w:rPr>
          <w:rFonts w:cs="Times New Roman"/>
          <w:lang w:val="en-US"/>
        </w:rPr>
        <w:t xml:space="preserve"> </w:t>
      </w:r>
      <w:bookmarkStart w:id="24" w:name="_Toc99001396"/>
      <w:r w:rsidRPr="007B140B">
        <w:rPr>
          <w:rFonts w:cs="Times New Roman"/>
          <w:lang w:val="en-US"/>
        </w:rPr>
        <w:t>Primary objective</w:t>
      </w:r>
      <w:bookmarkEnd w:id="24"/>
    </w:p>
    <w:p w14:paraId="09749381" w14:textId="267CC7EF" w:rsidR="00F01E74" w:rsidRPr="007B140B" w:rsidRDefault="00F01E74" w:rsidP="00F01E74">
      <w:pPr>
        <w:pStyle w:val="Liststycke"/>
        <w:ind w:left="0"/>
        <w:rPr>
          <w:rFonts w:ascii="Times New Roman" w:hAnsi="Times New Roman" w:cs="Times New Roman"/>
          <w:sz w:val="24"/>
          <w:szCs w:val="24"/>
          <w:lang w:val="en-US" w:eastAsia="zh-CN"/>
        </w:rPr>
      </w:pPr>
      <w:r w:rsidRPr="007B140B">
        <w:rPr>
          <w:rFonts w:ascii="Times New Roman" w:hAnsi="Times New Roman" w:cs="Times New Roman"/>
          <w:sz w:val="24"/>
          <w:szCs w:val="24"/>
          <w:lang w:val="en-US" w:eastAsia="zh-CN"/>
        </w:rPr>
        <w:t>The primary objective i</w:t>
      </w:r>
      <w:r w:rsidRPr="007B140B">
        <w:rPr>
          <w:rFonts w:ascii="Times New Roman" w:hAnsi="Times New Roman" w:cs="Times New Roman"/>
          <w:sz w:val="24"/>
          <w:szCs w:val="24"/>
          <w:lang w:val="en-US"/>
        </w:rPr>
        <w:t>s t</w:t>
      </w:r>
      <w:r w:rsidRPr="007B140B">
        <w:rPr>
          <w:rFonts w:ascii="Times New Roman" w:hAnsi="Times New Roman" w:cs="Times New Roman"/>
          <w:sz w:val="24"/>
          <w:szCs w:val="24"/>
          <w:lang w:val="en-US" w:eastAsia="zh-CN"/>
        </w:rPr>
        <w:t xml:space="preserve">o </w:t>
      </w:r>
      <w:r w:rsidR="00724155" w:rsidRPr="007B140B">
        <w:rPr>
          <w:rFonts w:ascii="Times New Roman" w:hAnsi="Times New Roman" w:cs="Times New Roman"/>
          <w:sz w:val="24"/>
          <w:szCs w:val="24"/>
          <w:lang w:val="en-US" w:eastAsia="zh-CN"/>
        </w:rPr>
        <w:t>investigate</w:t>
      </w:r>
      <w:r w:rsidRPr="007B140B">
        <w:rPr>
          <w:rFonts w:ascii="Times New Roman" w:hAnsi="Times New Roman" w:cs="Times New Roman"/>
          <w:sz w:val="24"/>
          <w:szCs w:val="24"/>
          <w:lang w:val="en-US" w:eastAsia="zh-CN"/>
        </w:rPr>
        <w:t xml:space="preserve"> whether zoledronic acid</w:t>
      </w:r>
      <w:r w:rsidR="006B2481" w:rsidRPr="007B140B">
        <w:rPr>
          <w:rFonts w:ascii="Times New Roman" w:hAnsi="Times New Roman" w:cs="Times New Roman"/>
          <w:sz w:val="24"/>
          <w:szCs w:val="24"/>
          <w:lang w:val="en-US" w:eastAsia="zh-CN"/>
        </w:rPr>
        <w:t xml:space="preserve"> </w:t>
      </w:r>
      <w:r w:rsidRPr="007B140B">
        <w:rPr>
          <w:rFonts w:ascii="Times New Roman" w:hAnsi="Times New Roman" w:cs="Times New Roman"/>
          <w:sz w:val="24"/>
          <w:szCs w:val="24"/>
          <w:lang w:val="en-US" w:eastAsia="zh-CN"/>
        </w:rPr>
        <w:t xml:space="preserve">reduces the risk of new </w:t>
      </w:r>
      <w:r w:rsidR="00B85498" w:rsidRPr="007B140B">
        <w:rPr>
          <w:rFonts w:ascii="Times New Roman" w:hAnsi="Times New Roman" w:cs="Times New Roman"/>
          <w:sz w:val="24"/>
          <w:szCs w:val="24"/>
          <w:lang w:val="en-US" w:eastAsia="zh-CN"/>
        </w:rPr>
        <w:t xml:space="preserve">clinical </w:t>
      </w:r>
      <w:r w:rsidRPr="007B140B">
        <w:rPr>
          <w:rFonts w:ascii="Times New Roman" w:hAnsi="Times New Roman" w:cs="Times New Roman"/>
          <w:sz w:val="24"/>
          <w:szCs w:val="24"/>
          <w:lang w:val="en-US" w:eastAsia="zh-CN"/>
        </w:rPr>
        <w:t>fractures</w:t>
      </w:r>
      <w:r w:rsidR="006B2481" w:rsidRPr="007B140B">
        <w:rPr>
          <w:rFonts w:ascii="Times New Roman" w:hAnsi="Times New Roman" w:cs="Times New Roman"/>
          <w:sz w:val="24"/>
          <w:szCs w:val="24"/>
          <w:lang w:val="en-US" w:eastAsia="zh-CN"/>
        </w:rPr>
        <w:t>, as compared with placebo,</w:t>
      </w:r>
      <w:r w:rsidRPr="007B140B">
        <w:rPr>
          <w:rFonts w:ascii="Times New Roman" w:hAnsi="Times New Roman" w:cs="Times New Roman"/>
          <w:sz w:val="24"/>
          <w:szCs w:val="24"/>
          <w:lang w:val="en-US" w:eastAsia="zh-CN"/>
        </w:rPr>
        <w:t xml:space="preserve"> in </w:t>
      </w:r>
      <w:r w:rsidR="00E3459C" w:rsidRPr="007B140B">
        <w:rPr>
          <w:rFonts w:ascii="Times New Roman" w:hAnsi="Times New Roman" w:cs="Times New Roman"/>
          <w:sz w:val="24"/>
          <w:szCs w:val="24"/>
          <w:lang w:val="en-US" w:eastAsia="zh-CN"/>
        </w:rPr>
        <w:t>older adults</w:t>
      </w:r>
      <w:r w:rsidRPr="007B140B">
        <w:rPr>
          <w:rFonts w:ascii="Times New Roman" w:hAnsi="Times New Roman" w:cs="Times New Roman"/>
          <w:sz w:val="24"/>
          <w:szCs w:val="24"/>
          <w:lang w:val="en-US" w:eastAsia="zh-CN"/>
        </w:rPr>
        <w:t xml:space="preserve"> with a recent non-hip, non-vertebral fragility fracture.</w:t>
      </w:r>
    </w:p>
    <w:p w14:paraId="584B812C" w14:textId="77777777" w:rsidR="00F01E74" w:rsidRPr="007B140B" w:rsidRDefault="00F01E74" w:rsidP="00D36611">
      <w:pPr>
        <w:pStyle w:val="Formatmall3"/>
        <w:rPr>
          <w:rFonts w:cs="Times New Roman"/>
          <w:lang w:val="en-US"/>
        </w:rPr>
      </w:pPr>
      <w:bookmarkStart w:id="25" w:name="_Toc99001397"/>
      <w:r w:rsidRPr="007B140B">
        <w:rPr>
          <w:rFonts w:cs="Times New Roman"/>
          <w:lang w:val="en-US"/>
        </w:rPr>
        <w:t>Secondary objectives</w:t>
      </w:r>
      <w:bookmarkEnd w:id="25"/>
    </w:p>
    <w:p w14:paraId="2F8E9C74" w14:textId="0C1A1087" w:rsidR="00CC2179" w:rsidRPr="007B140B" w:rsidRDefault="002F036C" w:rsidP="00CC2179">
      <w:pPr>
        <w:spacing w:after="0" w:line="240" w:lineRule="auto"/>
        <w:rPr>
          <w:rFonts w:ascii="Times New Roman" w:hAnsi="Times New Roman" w:cs="Times New Roman"/>
          <w:b/>
          <w:sz w:val="24"/>
          <w:szCs w:val="24"/>
          <w:lang w:val="en-US" w:eastAsia="zh-CN"/>
        </w:rPr>
      </w:pPr>
      <w:r w:rsidRPr="007B140B">
        <w:rPr>
          <w:rFonts w:ascii="Times New Roman" w:hAnsi="Times New Roman" w:cs="Times New Roman"/>
          <w:sz w:val="24"/>
          <w:szCs w:val="24"/>
          <w:lang w:val="en-US"/>
        </w:rPr>
        <w:t>The secondary objectives are t</w:t>
      </w:r>
      <w:r w:rsidR="00CC2179" w:rsidRPr="007B140B">
        <w:rPr>
          <w:rFonts w:ascii="Times New Roman" w:hAnsi="Times New Roman" w:cs="Times New Roman"/>
          <w:sz w:val="24"/>
          <w:szCs w:val="24"/>
          <w:lang w:val="en-US"/>
        </w:rPr>
        <w:t xml:space="preserve">o </w:t>
      </w:r>
      <w:r w:rsidR="00724155" w:rsidRPr="007B140B">
        <w:rPr>
          <w:rFonts w:ascii="Times New Roman" w:hAnsi="Times New Roman" w:cs="Times New Roman"/>
          <w:sz w:val="24"/>
          <w:szCs w:val="24"/>
          <w:lang w:val="en-US"/>
        </w:rPr>
        <w:t>investigate</w:t>
      </w:r>
      <w:r w:rsidR="00CC2179" w:rsidRPr="007B140B">
        <w:rPr>
          <w:rFonts w:ascii="Times New Roman" w:hAnsi="Times New Roman" w:cs="Times New Roman"/>
          <w:sz w:val="24"/>
          <w:szCs w:val="24"/>
          <w:lang w:val="en-US"/>
        </w:rPr>
        <w:t xml:space="preserve"> whether zoledronic acid, as compared </w:t>
      </w:r>
      <w:r w:rsidR="00592F3B" w:rsidRPr="007B140B">
        <w:rPr>
          <w:rFonts w:ascii="Times New Roman" w:hAnsi="Times New Roman" w:cs="Times New Roman"/>
          <w:sz w:val="24"/>
          <w:szCs w:val="24"/>
          <w:lang w:val="en-US"/>
        </w:rPr>
        <w:t>with</w:t>
      </w:r>
      <w:r w:rsidR="00CC2179" w:rsidRPr="007B140B">
        <w:rPr>
          <w:rFonts w:ascii="Times New Roman" w:hAnsi="Times New Roman" w:cs="Times New Roman"/>
          <w:sz w:val="24"/>
          <w:szCs w:val="24"/>
          <w:lang w:val="en-US"/>
        </w:rPr>
        <w:t xml:space="preserve"> placebo:</w:t>
      </w:r>
    </w:p>
    <w:p w14:paraId="0D14E92F" w14:textId="77777777" w:rsidR="00CC2179" w:rsidRPr="007B140B" w:rsidRDefault="00CC2179" w:rsidP="00CC2179">
      <w:pPr>
        <w:spacing w:after="0" w:line="240" w:lineRule="auto"/>
        <w:rPr>
          <w:rFonts w:ascii="Times New Roman" w:hAnsi="Times New Roman" w:cs="Times New Roman"/>
          <w:sz w:val="24"/>
          <w:szCs w:val="24"/>
          <w:lang w:val="en-US"/>
        </w:rPr>
      </w:pPr>
    </w:p>
    <w:p w14:paraId="764257C9" w14:textId="7C45F3BD" w:rsidR="00CC2179" w:rsidRPr="007B140B" w:rsidRDefault="004801C8" w:rsidP="00363CEE">
      <w:pPr>
        <w:pStyle w:val="Liststycke"/>
        <w:numPr>
          <w:ilvl w:val="0"/>
          <w:numId w:val="4"/>
        </w:num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has a </w:t>
      </w:r>
      <w:r w:rsidR="00F13B34">
        <w:rPr>
          <w:rFonts w:ascii="Times New Roman" w:hAnsi="Times New Roman" w:cs="Times New Roman"/>
          <w:sz w:val="24"/>
          <w:szCs w:val="24"/>
          <w:lang w:val="en-US"/>
        </w:rPr>
        <w:t>greater</w:t>
      </w:r>
      <w:r w:rsidR="00F13B34" w:rsidRPr="007B140B">
        <w:rPr>
          <w:rFonts w:ascii="Times New Roman" w:hAnsi="Times New Roman" w:cs="Times New Roman"/>
          <w:sz w:val="24"/>
          <w:szCs w:val="24"/>
          <w:lang w:val="en-US"/>
        </w:rPr>
        <w:t xml:space="preserve"> </w:t>
      </w:r>
      <w:r w:rsidRPr="007B140B">
        <w:rPr>
          <w:rFonts w:ascii="Times New Roman" w:hAnsi="Times New Roman" w:cs="Times New Roman"/>
          <w:sz w:val="24"/>
          <w:szCs w:val="24"/>
          <w:lang w:val="en-US"/>
        </w:rPr>
        <w:t xml:space="preserve">effect </w:t>
      </w:r>
      <w:r w:rsidR="00FF42C6">
        <w:rPr>
          <w:rFonts w:ascii="Times New Roman" w:hAnsi="Times New Roman" w:cs="Times New Roman"/>
          <w:sz w:val="24"/>
          <w:szCs w:val="24"/>
          <w:lang w:val="en-US"/>
        </w:rPr>
        <w:t>in reducing</w:t>
      </w:r>
      <w:r w:rsidR="003A2E4A">
        <w:rPr>
          <w:rFonts w:ascii="Times New Roman" w:hAnsi="Times New Roman" w:cs="Times New Roman"/>
          <w:sz w:val="24"/>
          <w:szCs w:val="24"/>
          <w:lang w:val="en-US"/>
        </w:rPr>
        <w:t xml:space="preserve"> the risk of</w:t>
      </w:r>
      <w:r w:rsidR="00FF42C6" w:rsidRPr="007B140B">
        <w:rPr>
          <w:rFonts w:ascii="Times New Roman" w:hAnsi="Times New Roman" w:cs="Times New Roman"/>
          <w:sz w:val="24"/>
          <w:szCs w:val="24"/>
          <w:lang w:val="en-US"/>
        </w:rPr>
        <w:t xml:space="preserve"> </w:t>
      </w:r>
      <w:r w:rsidRPr="007B140B">
        <w:rPr>
          <w:rFonts w:ascii="Times New Roman" w:hAnsi="Times New Roman" w:cs="Times New Roman"/>
          <w:sz w:val="24"/>
          <w:szCs w:val="24"/>
          <w:lang w:val="en-US"/>
        </w:rPr>
        <w:t xml:space="preserve">new clinical fractures </w:t>
      </w:r>
      <w:r w:rsidR="00CC2179" w:rsidRPr="007B140B">
        <w:rPr>
          <w:rFonts w:ascii="Times New Roman" w:hAnsi="Times New Roman" w:cs="Times New Roman"/>
          <w:sz w:val="24"/>
          <w:szCs w:val="24"/>
          <w:lang w:val="en-US"/>
        </w:rPr>
        <w:t xml:space="preserve">in </w:t>
      </w:r>
      <w:r w:rsidR="00F13B34">
        <w:rPr>
          <w:rFonts w:ascii="Times New Roman" w:hAnsi="Times New Roman" w:cs="Times New Roman"/>
          <w:sz w:val="24"/>
          <w:szCs w:val="24"/>
          <w:lang w:val="en-US"/>
        </w:rPr>
        <w:t>wo</w:t>
      </w:r>
      <w:r w:rsidR="00CC2179" w:rsidRPr="007B140B">
        <w:rPr>
          <w:rFonts w:ascii="Times New Roman" w:hAnsi="Times New Roman" w:cs="Times New Roman"/>
          <w:sz w:val="24"/>
          <w:szCs w:val="24"/>
          <w:lang w:val="en-US"/>
        </w:rPr>
        <w:t xml:space="preserve">men </w:t>
      </w:r>
      <w:r w:rsidR="00F13B34">
        <w:rPr>
          <w:rFonts w:ascii="Times New Roman" w:hAnsi="Times New Roman" w:cs="Times New Roman"/>
          <w:sz w:val="24"/>
          <w:szCs w:val="24"/>
          <w:lang w:val="en-US"/>
        </w:rPr>
        <w:t xml:space="preserve">than in </w:t>
      </w:r>
      <w:r w:rsidR="00CC2179" w:rsidRPr="007B140B">
        <w:rPr>
          <w:rFonts w:ascii="Times New Roman" w:hAnsi="Times New Roman" w:cs="Times New Roman"/>
          <w:sz w:val="24"/>
          <w:szCs w:val="24"/>
          <w:lang w:val="en-US"/>
        </w:rPr>
        <w:t xml:space="preserve">men </w:t>
      </w:r>
    </w:p>
    <w:p w14:paraId="6A2E9E32" w14:textId="0C81D2F2" w:rsidR="00CC2179" w:rsidRPr="007B140B" w:rsidRDefault="00674CB9" w:rsidP="00363CEE">
      <w:pPr>
        <w:pStyle w:val="Liststycke"/>
        <w:numPr>
          <w:ilvl w:val="0"/>
          <w:numId w:val="4"/>
        </w:num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reduces the risk of cancer</w:t>
      </w:r>
    </w:p>
    <w:p w14:paraId="2942EC2D" w14:textId="67897E14" w:rsidR="00924BD4" w:rsidRPr="007B140B" w:rsidRDefault="00E204D6" w:rsidP="0002444C">
      <w:pPr>
        <w:pStyle w:val="Liststycke"/>
        <w:numPr>
          <w:ilvl w:val="0"/>
          <w:numId w:val="4"/>
        </w:num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reduces the risk of</w:t>
      </w:r>
      <w:r w:rsidR="004B3C65" w:rsidRPr="007B140B">
        <w:rPr>
          <w:rFonts w:ascii="Times New Roman" w:hAnsi="Times New Roman" w:cs="Times New Roman"/>
          <w:sz w:val="24"/>
          <w:szCs w:val="24"/>
          <w:lang w:val="en-US"/>
        </w:rPr>
        <w:t xml:space="preserve"> </w:t>
      </w:r>
      <w:r w:rsidR="00EE62DE" w:rsidRPr="007B140B">
        <w:rPr>
          <w:rFonts w:ascii="Times New Roman" w:hAnsi="Times New Roman" w:cs="Times New Roman"/>
          <w:sz w:val="24"/>
          <w:szCs w:val="24"/>
          <w:lang w:val="en-US"/>
        </w:rPr>
        <w:t>cardiovascular disease (</w:t>
      </w:r>
      <w:r w:rsidRPr="007B140B">
        <w:rPr>
          <w:rFonts w:ascii="Times New Roman" w:hAnsi="Times New Roman" w:cs="Times New Roman"/>
          <w:sz w:val="24"/>
          <w:szCs w:val="24"/>
          <w:lang w:val="en-US"/>
        </w:rPr>
        <w:t>stroke</w:t>
      </w:r>
      <w:r w:rsidR="00924BD4" w:rsidRPr="007B140B">
        <w:rPr>
          <w:rFonts w:ascii="Times New Roman" w:hAnsi="Times New Roman" w:cs="Times New Roman"/>
          <w:sz w:val="24"/>
          <w:szCs w:val="24"/>
          <w:lang w:val="en-US"/>
        </w:rPr>
        <w:t xml:space="preserve"> or</w:t>
      </w:r>
      <w:r w:rsidR="004B3C65" w:rsidRPr="007B140B">
        <w:rPr>
          <w:rFonts w:ascii="Times New Roman" w:hAnsi="Times New Roman" w:cs="Times New Roman"/>
          <w:sz w:val="24"/>
          <w:szCs w:val="24"/>
          <w:lang w:val="en-US"/>
        </w:rPr>
        <w:t xml:space="preserve"> </w:t>
      </w:r>
      <w:r w:rsidR="00CC2179" w:rsidRPr="007B140B">
        <w:rPr>
          <w:rFonts w:ascii="Times New Roman" w:hAnsi="Times New Roman" w:cs="Times New Roman"/>
          <w:sz w:val="24"/>
          <w:szCs w:val="24"/>
          <w:lang w:val="en-US"/>
        </w:rPr>
        <w:t>myocardial inf</w:t>
      </w:r>
      <w:r w:rsidRPr="007B140B">
        <w:rPr>
          <w:rFonts w:ascii="Times New Roman" w:hAnsi="Times New Roman" w:cs="Times New Roman"/>
          <w:sz w:val="24"/>
          <w:szCs w:val="24"/>
          <w:lang w:val="en-US"/>
        </w:rPr>
        <w:t>arction</w:t>
      </w:r>
      <w:r w:rsidR="00EE62DE" w:rsidRPr="007B140B">
        <w:rPr>
          <w:rFonts w:ascii="Times New Roman" w:hAnsi="Times New Roman" w:cs="Times New Roman"/>
          <w:sz w:val="24"/>
          <w:szCs w:val="24"/>
          <w:lang w:val="en-US"/>
        </w:rPr>
        <w:t>)</w:t>
      </w:r>
    </w:p>
    <w:p w14:paraId="1977DED3" w14:textId="6ED46E09" w:rsidR="00CC2179" w:rsidRPr="007B140B" w:rsidRDefault="00924BD4" w:rsidP="0002444C">
      <w:pPr>
        <w:pStyle w:val="Liststycke"/>
        <w:numPr>
          <w:ilvl w:val="0"/>
          <w:numId w:val="4"/>
        </w:num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lastRenderedPageBreak/>
        <w:t>reduces the risk of</w:t>
      </w:r>
      <w:r w:rsidR="004B3C65" w:rsidRPr="007B140B">
        <w:rPr>
          <w:rFonts w:ascii="Times New Roman" w:hAnsi="Times New Roman" w:cs="Times New Roman"/>
          <w:sz w:val="24"/>
          <w:szCs w:val="24"/>
          <w:lang w:val="en-US"/>
        </w:rPr>
        <w:t xml:space="preserve"> death</w:t>
      </w:r>
    </w:p>
    <w:p w14:paraId="3658F6A3" w14:textId="73B694A8" w:rsidR="008921DA" w:rsidRPr="007B140B" w:rsidRDefault="008D5978" w:rsidP="008921DA">
      <w:pPr>
        <w:pStyle w:val="Liststycke"/>
        <w:numPr>
          <w:ilvl w:val="0"/>
          <w:numId w:val="4"/>
        </w:num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reduces the risk of falling</w:t>
      </w:r>
    </w:p>
    <w:p w14:paraId="5D85A3E3" w14:textId="77777777" w:rsidR="00354D62" w:rsidRPr="007B140B" w:rsidRDefault="00354D62" w:rsidP="004C704F">
      <w:pPr>
        <w:spacing w:after="0" w:line="240" w:lineRule="auto"/>
        <w:rPr>
          <w:rFonts w:ascii="Times New Roman" w:hAnsi="Times New Roman" w:cs="Times New Roman"/>
          <w:sz w:val="24"/>
          <w:szCs w:val="24"/>
          <w:lang w:val="en-US"/>
        </w:rPr>
      </w:pPr>
    </w:p>
    <w:p w14:paraId="3A9702B4" w14:textId="487EF3C7" w:rsidR="00F14D88" w:rsidRPr="007B140B" w:rsidRDefault="00BF0C44" w:rsidP="00F14D88">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Although it is conventional to designate subgroup analyses as exploratory, </w:t>
      </w:r>
      <w:r w:rsidR="00A816B9">
        <w:rPr>
          <w:rFonts w:ascii="Times New Roman" w:hAnsi="Times New Roman" w:cs="Times New Roman"/>
          <w:sz w:val="24"/>
          <w:szCs w:val="24"/>
          <w:lang w:val="en-US"/>
        </w:rPr>
        <w:t xml:space="preserve">we designated </w:t>
      </w:r>
      <w:r w:rsidRPr="007B140B">
        <w:rPr>
          <w:rFonts w:ascii="Times New Roman" w:hAnsi="Times New Roman" w:cs="Times New Roman"/>
          <w:sz w:val="24"/>
          <w:szCs w:val="24"/>
          <w:lang w:val="en-US"/>
        </w:rPr>
        <w:t>t</w:t>
      </w:r>
      <w:r w:rsidR="002C6334" w:rsidRPr="007B140B">
        <w:rPr>
          <w:rFonts w:ascii="Times New Roman" w:hAnsi="Times New Roman" w:cs="Times New Roman"/>
          <w:sz w:val="24"/>
          <w:szCs w:val="24"/>
          <w:lang w:val="en-US"/>
        </w:rPr>
        <w:t xml:space="preserve">he subgroup analysis by sex </w:t>
      </w:r>
      <w:r w:rsidRPr="007B140B">
        <w:rPr>
          <w:rFonts w:ascii="Times New Roman" w:hAnsi="Times New Roman" w:cs="Times New Roman"/>
          <w:sz w:val="24"/>
          <w:szCs w:val="24"/>
          <w:lang w:val="en-US"/>
        </w:rPr>
        <w:t>as a secondary objective</w:t>
      </w:r>
      <w:r w:rsidR="008D6A33" w:rsidRPr="007B140B">
        <w:rPr>
          <w:rFonts w:ascii="Times New Roman" w:hAnsi="Times New Roman" w:cs="Times New Roman"/>
          <w:sz w:val="24"/>
          <w:szCs w:val="24"/>
          <w:lang w:val="en-US"/>
        </w:rPr>
        <w:t xml:space="preserve"> </w:t>
      </w:r>
      <w:r w:rsidR="00231BDE" w:rsidRPr="007B140B">
        <w:rPr>
          <w:rFonts w:ascii="Times New Roman" w:hAnsi="Times New Roman" w:cs="Times New Roman"/>
          <w:sz w:val="24"/>
          <w:szCs w:val="24"/>
          <w:lang w:val="en-US"/>
        </w:rPr>
        <w:t>because</w:t>
      </w:r>
      <w:r w:rsidR="00623A46" w:rsidRPr="007B140B">
        <w:rPr>
          <w:rFonts w:ascii="Times New Roman" w:hAnsi="Times New Roman" w:cs="Times New Roman"/>
          <w:sz w:val="24"/>
          <w:szCs w:val="24"/>
          <w:lang w:val="en-US"/>
        </w:rPr>
        <w:t xml:space="preserve"> </w:t>
      </w:r>
      <w:r w:rsidR="00F77B35" w:rsidRPr="007B140B">
        <w:rPr>
          <w:rFonts w:ascii="Times New Roman" w:hAnsi="Times New Roman" w:cs="Times New Roman"/>
          <w:sz w:val="24"/>
          <w:szCs w:val="24"/>
          <w:lang w:val="en-US"/>
        </w:rPr>
        <w:t xml:space="preserve">no clinical trial has shown that </w:t>
      </w:r>
      <w:r w:rsidR="00767CB3" w:rsidRPr="007B140B">
        <w:rPr>
          <w:rFonts w:ascii="Times New Roman" w:hAnsi="Times New Roman" w:cs="Times New Roman"/>
          <w:sz w:val="24"/>
          <w:szCs w:val="24"/>
          <w:lang w:val="en-US"/>
        </w:rPr>
        <w:t>bone-protective</w:t>
      </w:r>
      <w:r w:rsidR="00F77B35" w:rsidRPr="007B140B">
        <w:rPr>
          <w:rFonts w:ascii="Times New Roman" w:hAnsi="Times New Roman" w:cs="Times New Roman"/>
          <w:sz w:val="24"/>
          <w:szCs w:val="24"/>
          <w:lang w:val="en-US"/>
        </w:rPr>
        <w:t xml:space="preserve"> therapy significantly reduces clinical fractures</w:t>
      </w:r>
      <w:r w:rsidR="000E2892" w:rsidRPr="007B140B">
        <w:rPr>
          <w:rFonts w:ascii="Times New Roman" w:hAnsi="Times New Roman" w:cs="Times New Roman"/>
          <w:sz w:val="24"/>
          <w:szCs w:val="24"/>
          <w:lang w:val="en-US"/>
        </w:rPr>
        <w:t xml:space="preserve"> in men</w:t>
      </w:r>
      <w:r w:rsidR="00231BDE" w:rsidRPr="007B140B">
        <w:rPr>
          <w:rFonts w:ascii="Times New Roman" w:hAnsi="Times New Roman" w:cs="Times New Roman"/>
          <w:sz w:val="24"/>
          <w:szCs w:val="24"/>
          <w:lang w:val="en-US"/>
        </w:rPr>
        <w:t>.</w:t>
      </w:r>
      <w:r w:rsidR="00B9797D" w:rsidRPr="007B140B">
        <w:rPr>
          <w:rFonts w:ascii="Times New Roman" w:hAnsi="Times New Roman" w:cs="Times New Roman"/>
          <w:sz w:val="24"/>
          <w:szCs w:val="24"/>
          <w:lang w:val="en-US"/>
        </w:rPr>
        <w:fldChar w:fldCharType="begin" w:fldLock="1"/>
      </w:r>
      <w:r w:rsidR="00555CDC" w:rsidRPr="007B140B">
        <w:rPr>
          <w:rFonts w:ascii="Times New Roman" w:hAnsi="Times New Roman" w:cs="Times New Roman"/>
          <w:sz w:val="24"/>
          <w:szCs w:val="24"/>
          <w:lang w:val="en-US"/>
        </w:rPr>
        <w:instrText>ADDIN CSL_CITATION {"citationItems":[{"id":"ITEM-1","itemData":{"DOI":"https://doi.org/10.7326/M14-0317","ISBN":"0003-4819","ISSN":"15393704","PMID":"25199883","abstract":"BACKGROUND: Osteoporosis is a major contributor to the propensity to fracture among older adults, and various pharmaceuticals are available to treat it. PURPOSE: To update a review about the benefits and harms of pharmacologic treatments used to prevent fractures in adults at risk. DATA SOURCES: Multiple computerized databases were searched between 2 January 2005 and 4 March 2014 for English-language studies. STUDY SELECTION: Trials, observational studies, and systematic reviews. DATA EXTRACTION: Duplicate extraction and assessment of data about study characteristics, outcomes, and quality. DATA SYNTHESIS: From more than 52 000 titles screened, 315 articles were included in this update. There is high-strength evidence that bisphosphonates, denosumab, and teriparatide reduce fractures compared with placebo, with relative risk reductions from 0.40 to 0.60 for vertebral fractures and 0.60 to 0.80 for nonvertebral fractures. Raloxifene has been shown in placebo-controlled trials to reduce only vertebral fractures. Since 2007, there is a newly recognized adverse event of bisphosphonate use: atypical subtrochanteric femur fracture. Gastrointestinal side effects, hot flashes, thromboembolic events, and infections vary among drugs. LIMITATIONS: Few studies have directly compared drugs used to treat osteoporosis. Data in men are very sparse. Costs were not assessed. CONCLUSION: Good-quality evidence supports that several medications for bone density in osteoporotic range and/or preexisting hip or vertebral fracture reduce fracture risk. Side effects vary among drugs, and the comparative effectiveness of the drugs is unclear. PRIMARY FUNDING SOURCE: Agency for Healthcare Research and Quality and RAND Corporation.","author":[{"dropping-particle":"","family":"Crandall","given":"Carolyn J.","non-dropping-particle":"","parse-names":false,"suffix":""},{"dropping-particle":"","family":"Newberry","given":"Sydne J.","non-dropping-particle":"","parse-names":false,"suffix":""},{"dropping-particle":"","family":"Diamant","given":"Allison","non-dropping-particle":"","parse-names":false,"suffix":""},{"dropping-particle":"","family":"Lim","given":"Yee Wei","non-dropping-particle":"","parse-names":false,"suffix":""},{"dropping-particle":"","family":"Gellad","given":"Walid F.","non-dropping-particle":"","parse-names":false,"suffix":""},{"dropping-particle":"","family":"Booth","given":"Marika J.","non-dropping-particle":"","parse-names":false,"suffix":""},{"dropping-particle":"","family":"Motala","given":"Aneesa","non-dropping-particle":"","parse-names":false,"suffix":""},{"dropping-particle":"","family":"Shekelle","given":"Paul G.","non-dropping-particle":"","parse-names":false,"suffix":""}],"container-title":"Annals of Internal Medicine","id":"ITEM-1","issue":"10","issued":{"date-parts":[["2014"]]},"page":"711-723","title":"Comparative effectiveness of pharmacologic treatments to prevent fractures: an updated systematic review","type":"article-journal","volume":"161"},"uris":["http://www.mendeley.com/documents/?uuid=b3ee6a31-7a74-4c50-8e8f-ba611309cd89"]}],"mendeley":{"formattedCitation":"&lt;sup&gt;&lt;sup&gt;8&lt;/sup&gt;&lt;/sup&gt;","plainTextFormattedCitation":"8","previouslyFormattedCitation":"&lt;sup&gt;&lt;sup&gt;8&lt;/sup&gt;&lt;/sup&gt;"},"properties":{"noteIndex":0},"schema":"https://github.com/citation-style-language/schema/raw/master/csl-citation.json"}</w:instrText>
      </w:r>
      <w:r w:rsidR="00B9797D" w:rsidRPr="007B140B">
        <w:rPr>
          <w:rFonts w:ascii="Times New Roman" w:hAnsi="Times New Roman" w:cs="Times New Roman"/>
          <w:sz w:val="24"/>
          <w:szCs w:val="24"/>
          <w:lang w:val="en-US"/>
        </w:rPr>
        <w:fldChar w:fldCharType="separate"/>
      </w:r>
      <w:r w:rsidR="00555CDC" w:rsidRPr="007B140B">
        <w:rPr>
          <w:rFonts w:ascii="Times New Roman" w:hAnsi="Times New Roman" w:cs="Times New Roman"/>
          <w:noProof/>
          <w:sz w:val="24"/>
          <w:szCs w:val="24"/>
          <w:vertAlign w:val="superscript"/>
          <w:lang w:val="en-US"/>
        </w:rPr>
        <w:t>8</w:t>
      </w:r>
      <w:r w:rsidR="00B9797D" w:rsidRPr="007B140B">
        <w:rPr>
          <w:rFonts w:ascii="Times New Roman" w:hAnsi="Times New Roman" w:cs="Times New Roman"/>
          <w:sz w:val="24"/>
          <w:szCs w:val="24"/>
          <w:lang w:val="en-US"/>
        </w:rPr>
        <w:fldChar w:fldCharType="end"/>
      </w:r>
      <w:r w:rsidR="00CA24B6" w:rsidRPr="007B140B">
        <w:rPr>
          <w:rFonts w:ascii="Times New Roman" w:hAnsi="Times New Roman" w:cs="Times New Roman"/>
          <w:sz w:val="24"/>
          <w:szCs w:val="24"/>
          <w:lang w:val="en-US"/>
        </w:rPr>
        <w:t xml:space="preserve"> </w:t>
      </w:r>
      <w:r w:rsidR="00231BDE" w:rsidRPr="007B140B">
        <w:rPr>
          <w:rFonts w:ascii="Times New Roman" w:hAnsi="Times New Roman" w:cs="Times New Roman"/>
          <w:sz w:val="24"/>
          <w:szCs w:val="24"/>
          <w:lang w:val="en-US"/>
        </w:rPr>
        <w:t xml:space="preserve">This fact </w:t>
      </w:r>
      <w:r w:rsidR="004D41E5" w:rsidRPr="007B140B">
        <w:rPr>
          <w:rFonts w:ascii="Times New Roman" w:hAnsi="Times New Roman" w:cs="Times New Roman"/>
          <w:sz w:val="24"/>
          <w:szCs w:val="24"/>
          <w:lang w:val="en-US"/>
        </w:rPr>
        <w:t xml:space="preserve">may </w:t>
      </w:r>
      <w:r w:rsidR="00231BDE" w:rsidRPr="007B140B">
        <w:rPr>
          <w:rFonts w:ascii="Times New Roman" w:hAnsi="Times New Roman" w:cs="Times New Roman"/>
          <w:sz w:val="24"/>
          <w:szCs w:val="24"/>
          <w:lang w:val="en-US"/>
        </w:rPr>
        <w:t>explain part of</w:t>
      </w:r>
      <w:r w:rsidR="004D41E5" w:rsidRPr="007B140B">
        <w:rPr>
          <w:rFonts w:ascii="Times New Roman" w:hAnsi="Times New Roman" w:cs="Times New Roman"/>
          <w:sz w:val="24"/>
          <w:szCs w:val="24"/>
          <w:lang w:val="en-US"/>
        </w:rPr>
        <w:t xml:space="preserve"> </w:t>
      </w:r>
      <w:r w:rsidR="00CA24B6" w:rsidRPr="007B140B">
        <w:rPr>
          <w:rFonts w:ascii="Times New Roman" w:hAnsi="Times New Roman" w:cs="Times New Roman"/>
          <w:sz w:val="24"/>
          <w:szCs w:val="24"/>
          <w:lang w:val="en-US"/>
        </w:rPr>
        <w:t xml:space="preserve">the low </w:t>
      </w:r>
      <w:r w:rsidR="004D41E5" w:rsidRPr="007B140B">
        <w:rPr>
          <w:rFonts w:ascii="Times New Roman" w:hAnsi="Times New Roman" w:cs="Times New Roman"/>
          <w:sz w:val="24"/>
          <w:szCs w:val="24"/>
          <w:lang w:val="en-US"/>
        </w:rPr>
        <w:t>rates</w:t>
      </w:r>
      <w:r w:rsidR="00CA24B6" w:rsidRPr="007B140B">
        <w:rPr>
          <w:rFonts w:ascii="Times New Roman" w:hAnsi="Times New Roman" w:cs="Times New Roman"/>
          <w:sz w:val="24"/>
          <w:szCs w:val="24"/>
          <w:lang w:val="en-US"/>
        </w:rPr>
        <w:t xml:space="preserve"> </w:t>
      </w:r>
      <w:r w:rsidR="004D41E5" w:rsidRPr="007B140B">
        <w:rPr>
          <w:rFonts w:ascii="Times New Roman" w:hAnsi="Times New Roman" w:cs="Times New Roman"/>
          <w:sz w:val="24"/>
          <w:szCs w:val="24"/>
          <w:lang w:val="en-US"/>
        </w:rPr>
        <w:t>of</w:t>
      </w:r>
      <w:r w:rsidR="00CA24B6" w:rsidRPr="007B140B">
        <w:rPr>
          <w:rFonts w:ascii="Times New Roman" w:hAnsi="Times New Roman" w:cs="Times New Roman"/>
          <w:sz w:val="24"/>
          <w:szCs w:val="24"/>
          <w:lang w:val="en-US"/>
        </w:rPr>
        <w:t xml:space="preserve"> osteoporosis </w:t>
      </w:r>
      <w:r w:rsidR="00625D9F" w:rsidRPr="007B140B">
        <w:rPr>
          <w:rFonts w:ascii="Times New Roman" w:hAnsi="Times New Roman" w:cs="Times New Roman"/>
          <w:sz w:val="24"/>
          <w:szCs w:val="24"/>
          <w:lang w:val="en-US"/>
        </w:rPr>
        <w:t xml:space="preserve">treatment </w:t>
      </w:r>
      <w:r w:rsidR="00CA24B6" w:rsidRPr="007B140B">
        <w:rPr>
          <w:rFonts w:ascii="Times New Roman" w:hAnsi="Times New Roman" w:cs="Times New Roman"/>
          <w:sz w:val="24"/>
          <w:szCs w:val="24"/>
          <w:lang w:val="en-US"/>
        </w:rPr>
        <w:t>in men</w:t>
      </w:r>
      <w:r w:rsidR="00354D62" w:rsidRPr="007B140B">
        <w:rPr>
          <w:rFonts w:ascii="Times New Roman" w:hAnsi="Times New Roman" w:cs="Times New Roman"/>
          <w:sz w:val="24"/>
          <w:szCs w:val="24"/>
          <w:lang w:val="en-US"/>
        </w:rPr>
        <w:t>.</w:t>
      </w:r>
      <w:r w:rsidR="004D41E5" w:rsidRPr="007B140B">
        <w:rPr>
          <w:rFonts w:ascii="Times New Roman" w:hAnsi="Times New Roman" w:cs="Times New Roman"/>
          <w:sz w:val="24"/>
          <w:szCs w:val="24"/>
          <w:lang w:val="en-US"/>
        </w:rPr>
        <w:fldChar w:fldCharType="begin" w:fldLock="1"/>
      </w:r>
      <w:r w:rsidR="00D2485C">
        <w:rPr>
          <w:rFonts w:ascii="Times New Roman" w:hAnsi="Times New Roman" w:cs="Times New Roman"/>
          <w:sz w:val="24"/>
          <w:szCs w:val="24"/>
          <w:lang w:val="en-US"/>
        </w:rPr>
        <w:instrText>ADDIN CSL_CITATION {"citationItems":[{"id":"ITEM-1","itemData":{"DOI":"10.1002/jbmr.2301","author":[{"dropping-particle":"","family":"Solomon","given":"D. H.","non-dropping-particle":"","parse-names":false,"suffix":""},{"dropping-particle":"","family":"Johnston","given":"S. S.","non-dropping-particle":"","parse-names":false,"suffix":""},{"dropping-particle":"","family":"Boytsov","given":"N. N.","non-dropping-particle":"","parse-names":false,"suffix":""},{"dropping-particle":"","family":"McMorrow","given":"D.","non-dropping-particle":"","parse-names":false,"suffix":""},{"dropping-particle":"","family":"Lane","given":"J. M.","non-dropping-particle":"","parse-names":false,"suffix":""},{"dropping-particle":"","family":"Krohn","given":"K. D.","non-dropping-particle":"","parse-names":false,"suffix":""}],"container-title":"Journal of Bone and Mineral Research","id":"ITEM-1","issue":"9","issued":{"date-parts":[["2014"]]},"page":"1929-1937","title":"Osteoporosis medication use after hip fracture in U.S. patients between 2002 and 2011","type":"article-journal","volume":"29"},"uris":["http://www.mendeley.com/documents/?uuid=4304610f-d7e5-4106-93b4-419af076369f"]},{"id":"ITEM-2","itemData":{"author":[{"dropping-particle":"","family":"Socialstyrelsen","given":"","non-dropping-particle":"","parse-names":false,"suffix":""},{"dropping-particle":"","family":"Sveriges kommuner och landsting","given":"","non-dropping-particle":"","parse-names":false,"suffix":""}],"id":"ITEM-2","issued":{"date-parts":[["2014"]]},"number-of-pages":"223","publisher-place":"Stockholm","title":"Öppna jämförelser 2014: Hälso- och sjukvård - jämförelser mellan landsting. Del 2. Indikatorer om sjukdomar och behandlingar","type":"book"},"uris":["http://www.mendeley.com/documents/?uuid=cf48489f-97b1-49f8-8e97-ef99b2f367d9"]}],"mendeley":{"formattedCitation":"&lt;sup&gt;&lt;sup&gt;16&lt;/sup&gt;,&lt;sup&gt;27&lt;/sup&gt;&lt;/sup&gt;","plainTextFormattedCitation":"16,27","previouslyFormattedCitation":"&lt;sup&gt;&lt;sup&gt;16&lt;/sup&gt;,&lt;sup&gt;27&lt;/sup&gt;&lt;/sup&gt;"},"properties":{"noteIndex":0},"schema":"https://github.com/citation-style-language/schema/raw/master/csl-citation.json"}</w:instrText>
      </w:r>
      <w:r w:rsidR="004D41E5" w:rsidRPr="007B140B">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16,27</w:t>
      </w:r>
      <w:r w:rsidR="004D41E5" w:rsidRPr="007B140B">
        <w:rPr>
          <w:rFonts w:ascii="Times New Roman" w:hAnsi="Times New Roman" w:cs="Times New Roman"/>
          <w:sz w:val="24"/>
          <w:szCs w:val="24"/>
          <w:lang w:val="en-US"/>
        </w:rPr>
        <w:fldChar w:fldCharType="end"/>
      </w:r>
      <w:r w:rsidR="00354D62" w:rsidRPr="007B140B">
        <w:rPr>
          <w:rFonts w:ascii="Times New Roman" w:hAnsi="Times New Roman" w:cs="Times New Roman"/>
          <w:sz w:val="24"/>
          <w:szCs w:val="24"/>
          <w:lang w:val="en-US"/>
        </w:rPr>
        <w:t xml:space="preserve"> </w:t>
      </w:r>
      <w:r w:rsidR="00964729" w:rsidRPr="007B140B">
        <w:rPr>
          <w:rFonts w:ascii="Times New Roman" w:hAnsi="Times New Roman" w:cs="Times New Roman"/>
          <w:sz w:val="24"/>
          <w:szCs w:val="24"/>
          <w:lang w:val="en-US"/>
        </w:rPr>
        <w:t>C</w:t>
      </w:r>
      <w:r w:rsidR="004C704F" w:rsidRPr="007B140B">
        <w:rPr>
          <w:rFonts w:ascii="Times New Roman" w:hAnsi="Times New Roman" w:cs="Times New Roman"/>
          <w:sz w:val="24"/>
          <w:szCs w:val="24"/>
          <w:lang w:val="en-US"/>
        </w:rPr>
        <w:t>ancer was selected</w:t>
      </w:r>
      <w:r w:rsidR="00964729" w:rsidRPr="007B140B">
        <w:rPr>
          <w:rFonts w:ascii="Times New Roman" w:hAnsi="Times New Roman" w:cs="Times New Roman"/>
          <w:sz w:val="24"/>
          <w:szCs w:val="24"/>
          <w:lang w:val="en-US"/>
        </w:rPr>
        <w:t xml:space="preserve"> as a secondary outcome</w:t>
      </w:r>
      <w:r w:rsidR="004C704F" w:rsidRPr="007B140B">
        <w:rPr>
          <w:rFonts w:ascii="Times New Roman" w:hAnsi="Times New Roman" w:cs="Times New Roman"/>
          <w:sz w:val="24"/>
          <w:szCs w:val="24"/>
          <w:lang w:val="en-US"/>
        </w:rPr>
        <w:t xml:space="preserve"> </w:t>
      </w:r>
      <w:r w:rsidR="00964729" w:rsidRPr="007B140B">
        <w:rPr>
          <w:rFonts w:ascii="Times New Roman" w:hAnsi="Times New Roman" w:cs="Times New Roman"/>
          <w:sz w:val="24"/>
          <w:szCs w:val="24"/>
          <w:lang w:val="en-US"/>
        </w:rPr>
        <w:t xml:space="preserve">to confirm the results of </w:t>
      </w:r>
      <w:r w:rsidR="004C704F" w:rsidRPr="007B140B">
        <w:rPr>
          <w:rFonts w:ascii="Times New Roman" w:hAnsi="Times New Roman" w:cs="Times New Roman"/>
          <w:sz w:val="24"/>
          <w:szCs w:val="24"/>
          <w:lang w:val="en-US"/>
        </w:rPr>
        <w:t>a phase IV trial</w:t>
      </w:r>
      <w:r w:rsidR="00964729" w:rsidRPr="007B140B">
        <w:rPr>
          <w:rFonts w:ascii="Times New Roman" w:hAnsi="Times New Roman" w:cs="Times New Roman"/>
          <w:sz w:val="24"/>
          <w:szCs w:val="24"/>
          <w:lang w:val="en-US"/>
        </w:rPr>
        <w:t>, which</w:t>
      </w:r>
      <w:r w:rsidR="004C704F" w:rsidRPr="007B140B">
        <w:rPr>
          <w:rFonts w:ascii="Times New Roman" w:hAnsi="Times New Roman" w:cs="Times New Roman"/>
          <w:sz w:val="24"/>
          <w:szCs w:val="24"/>
          <w:lang w:val="en-US"/>
        </w:rPr>
        <w:t xml:space="preserve"> </w:t>
      </w:r>
      <w:r w:rsidR="00B9797D" w:rsidRPr="007B140B">
        <w:rPr>
          <w:rFonts w:ascii="Times New Roman" w:hAnsi="Times New Roman" w:cs="Times New Roman"/>
          <w:sz w:val="24"/>
          <w:szCs w:val="24"/>
          <w:lang w:val="en-US"/>
        </w:rPr>
        <w:t xml:space="preserve">showed </w:t>
      </w:r>
      <w:r w:rsidR="004E2144" w:rsidRPr="007B140B">
        <w:rPr>
          <w:rFonts w:ascii="Times New Roman" w:hAnsi="Times New Roman" w:cs="Times New Roman"/>
          <w:sz w:val="24"/>
          <w:szCs w:val="24"/>
          <w:lang w:val="en-US"/>
        </w:rPr>
        <w:t xml:space="preserve">a significant </w:t>
      </w:r>
      <w:r w:rsidR="00964729" w:rsidRPr="007B140B">
        <w:rPr>
          <w:rFonts w:ascii="Times New Roman" w:hAnsi="Times New Roman" w:cs="Times New Roman"/>
          <w:sz w:val="24"/>
          <w:szCs w:val="24"/>
          <w:lang w:val="en-US"/>
        </w:rPr>
        <w:t>reduc</w:t>
      </w:r>
      <w:r w:rsidR="004E2144" w:rsidRPr="007B140B">
        <w:rPr>
          <w:rFonts w:ascii="Times New Roman" w:hAnsi="Times New Roman" w:cs="Times New Roman"/>
          <w:sz w:val="24"/>
          <w:szCs w:val="24"/>
          <w:lang w:val="en-US"/>
        </w:rPr>
        <w:t xml:space="preserve">tion in </w:t>
      </w:r>
      <w:r w:rsidR="00964729" w:rsidRPr="007B140B">
        <w:rPr>
          <w:rFonts w:ascii="Times New Roman" w:hAnsi="Times New Roman" w:cs="Times New Roman"/>
          <w:sz w:val="24"/>
          <w:szCs w:val="24"/>
          <w:lang w:val="en-US"/>
        </w:rPr>
        <w:t>cancer (a pre-specified safety outcome</w:t>
      </w:r>
      <w:r w:rsidR="007267A4">
        <w:rPr>
          <w:rFonts w:ascii="Times New Roman" w:hAnsi="Times New Roman" w:cs="Times New Roman"/>
          <w:sz w:val="24"/>
          <w:szCs w:val="24"/>
          <w:lang w:val="en-US"/>
        </w:rPr>
        <w:t xml:space="preserve">, </w:t>
      </w:r>
      <w:r w:rsidR="00C0060B">
        <w:rPr>
          <w:rFonts w:ascii="Times New Roman" w:hAnsi="Times New Roman" w:cs="Times New Roman"/>
          <w:sz w:val="24"/>
          <w:szCs w:val="24"/>
          <w:lang w:val="en-US"/>
        </w:rPr>
        <w:t xml:space="preserve">excluding </w:t>
      </w:r>
      <w:r w:rsidR="007267A4">
        <w:rPr>
          <w:rFonts w:ascii="Times New Roman" w:hAnsi="Times New Roman" w:cs="Times New Roman"/>
          <w:sz w:val="24"/>
          <w:szCs w:val="24"/>
          <w:lang w:val="en-US"/>
        </w:rPr>
        <w:t>non-melanoma skin</w:t>
      </w:r>
      <w:r w:rsidR="00C0060B">
        <w:rPr>
          <w:rFonts w:ascii="Times New Roman" w:hAnsi="Times New Roman" w:cs="Times New Roman"/>
          <w:sz w:val="24"/>
          <w:szCs w:val="24"/>
          <w:lang w:val="en-US"/>
        </w:rPr>
        <w:t xml:space="preserve"> cancer</w:t>
      </w:r>
      <w:r w:rsidR="00964729" w:rsidRPr="007B140B">
        <w:rPr>
          <w:rFonts w:ascii="Times New Roman" w:hAnsi="Times New Roman" w:cs="Times New Roman"/>
          <w:sz w:val="24"/>
          <w:szCs w:val="24"/>
          <w:lang w:val="en-US"/>
        </w:rPr>
        <w:t>)</w:t>
      </w:r>
      <w:r w:rsidR="004C704F" w:rsidRPr="007B140B">
        <w:rPr>
          <w:rFonts w:ascii="Times New Roman" w:hAnsi="Times New Roman" w:cs="Times New Roman"/>
          <w:sz w:val="24"/>
          <w:szCs w:val="24"/>
          <w:lang w:val="en-US"/>
        </w:rPr>
        <w:t xml:space="preserve"> in osteopenic women</w:t>
      </w:r>
      <w:r w:rsidR="004E2144" w:rsidRPr="007B140B">
        <w:rPr>
          <w:rFonts w:ascii="Times New Roman" w:hAnsi="Times New Roman" w:cs="Times New Roman"/>
          <w:sz w:val="24"/>
          <w:szCs w:val="24"/>
          <w:lang w:val="en-US"/>
        </w:rPr>
        <w:t xml:space="preserve"> treated with zoledronic acid</w:t>
      </w:r>
      <w:r w:rsidR="004C704F" w:rsidRPr="007B140B">
        <w:rPr>
          <w:rFonts w:ascii="Times New Roman" w:hAnsi="Times New Roman" w:cs="Times New Roman"/>
          <w:sz w:val="24"/>
          <w:szCs w:val="24"/>
          <w:lang w:val="en-US"/>
        </w:rPr>
        <w:t>.</w:t>
      </w:r>
      <w:r w:rsidR="006B6883" w:rsidRPr="007B140B">
        <w:rPr>
          <w:rFonts w:ascii="Times New Roman" w:hAnsi="Times New Roman" w:cs="Times New Roman"/>
          <w:sz w:val="24"/>
          <w:szCs w:val="24"/>
          <w:lang w:val="en-US"/>
        </w:rPr>
        <w:fldChar w:fldCharType="begin" w:fldLock="1"/>
      </w:r>
      <w:r w:rsidR="00D2485C">
        <w:rPr>
          <w:rFonts w:ascii="Times New Roman" w:hAnsi="Times New Roman" w:cs="Times New Roman"/>
          <w:sz w:val="24"/>
          <w:szCs w:val="24"/>
          <w:lang w:val="en-US"/>
        </w:rPr>
        <w:instrText>ADDIN CSL_CITATION {"citationItems":[{"id":"ITEM-1","itemData":{"DOI":"10.1056/NEJMoa1808082","ISSN":"0028-4793","author":[{"dropping-particle":"","family":"Reid","given":"Ian R.","non-dropping-particle":"","parse-names":false,"suffix":""},{"dropping-particle":"","family":"Horne","given":"Anne M.","non-dropping-particle":"","parse-names":false,"suffix":""},{"dropping-particle":"","family":"Mihov","given":"Borislav","non-dropping-particle":"","parse-names":false,"suffix":""},{"dropping-particle":"","family":"Stewart","given":"Angela","non-dropping-particle":"","parse-names":false,"suffix":""},{"dropping-particle":"","family":"Garratt","given":"Elizabeth","non-dropping-particle":"","parse-names":false,"suffix":""},{"dropping-particle":"","family":"Wong","given":"Sumwai","non-dropping-particle":"","parse-names":false,"suffix":""},{"dropping-particle":"","family":"Wiessing","given":"Katy R.","non-dropping-particle":"","parse-names":false,"suffix":""},{"dropping-particle":"","family":"Bolland","given":"Mark J.","non-dropping-particle":"","parse-names":false,"suffix":""},{"dropping-particle":"","family":"Bastin","given":"Sonja","non-dropping-particle":"","parse-names":false,"suffix":""},{"dropping-particle":"","family":"Gamble","given":"Gregory D.","non-dropping-particle":"","parse-names":false,"suffix":""}],"container-title":"New England Journal of Medicine","id":"ITEM-1","issue":"25","issued":{"date-parts":[["2018"]]},"page":"2407-2416","title":"Fracture prevention with zoledronate in older women with osteopenia","type":"article-journal","volume":"379"},"uris":["http://www.mendeley.com/documents/?uuid=69cbf6db-0dca-4f28-87bb-02a266b0d7ef"]}],"mendeley":{"formattedCitation":"&lt;sup&gt;&lt;sup&gt;21&lt;/sup&gt;&lt;/sup&gt;","plainTextFormattedCitation":"21","previouslyFormattedCitation":"&lt;sup&gt;&lt;sup&gt;21&lt;/sup&gt;&lt;/sup&gt;"},"properties":{"noteIndex":0},"schema":"https://github.com/citation-style-language/schema/raw/master/csl-citation.json"}</w:instrText>
      </w:r>
      <w:r w:rsidR="006B6883" w:rsidRPr="007B140B">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21</w:t>
      </w:r>
      <w:r w:rsidR="006B6883" w:rsidRPr="007B140B">
        <w:rPr>
          <w:rFonts w:ascii="Times New Roman" w:hAnsi="Times New Roman" w:cs="Times New Roman"/>
          <w:sz w:val="24"/>
          <w:szCs w:val="24"/>
          <w:lang w:val="en-US"/>
        </w:rPr>
        <w:fldChar w:fldCharType="end"/>
      </w:r>
      <w:r w:rsidR="00E4053D" w:rsidRPr="007B140B">
        <w:rPr>
          <w:rFonts w:ascii="Times New Roman" w:hAnsi="Times New Roman" w:cs="Times New Roman"/>
          <w:sz w:val="24"/>
          <w:szCs w:val="24"/>
          <w:lang w:val="en-US"/>
        </w:rPr>
        <w:t xml:space="preserve"> Cardiovascular disease was selected because </w:t>
      </w:r>
      <w:r w:rsidR="001E7E14" w:rsidRPr="007B140B">
        <w:rPr>
          <w:rFonts w:ascii="Times New Roman" w:hAnsi="Times New Roman" w:cs="Times New Roman"/>
          <w:sz w:val="24"/>
          <w:szCs w:val="24"/>
          <w:lang w:val="en-US"/>
        </w:rPr>
        <w:t xml:space="preserve">both </w:t>
      </w:r>
      <w:r w:rsidR="00E4053D" w:rsidRPr="007B140B">
        <w:rPr>
          <w:rFonts w:ascii="Times New Roman" w:hAnsi="Times New Roman" w:cs="Times New Roman"/>
          <w:sz w:val="24"/>
          <w:szCs w:val="24"/>
          <w:lang w:val="en-US"/>
        </w:rPr>
        <w:t>clinical trial data and observational data have suggested that bisphosphonates protect against stroke and myocardial infarction.</w:t>
      </w:r>
      <w:r w:rsidR="00B9797D" w:rsidRPr="007B140B">
        <w:rPr>
          <w:rFonts w:ascii="Times New Roman" w:hAnsi="Times New Roman" w:cs="Times New Roman"/>
          <w:sz w:val="24"/>
          <w:szCs w:val="24"/>
          <w:lang w:val="en-US"/>
        </w:rPr>
        <w:fldChar w:fldCharType="begin" w:fldLock="1"/>
      </w:r>
      <w:r w:rsidR="00D3588A">
        <w:rPr>
          <w:rFonts w:ascii="Times New Roman" w:hAnsi="Times New Roman" w:cs="Times New Roman"/>
          <w:sz w:val="24"/>
          <w:szCs w:val="24"/>
          <w:lang w:val="en-US"/>
        </w:rPr>
        <w:instrText>ADDIN CSL_CITATION {"citationItems":[{"id":"ITEM-1","itemData":{"DOI":"10.1016/j.atherosclerosis.2016.06.039","ISSN":"18791484","PMID":"27513349","abstract":"Background and aims Bisphosphonates might be effective in reducing cardiovascular events due to their ability to reduce calcification in arterial walls. We aimed to investigate the effects of treatment with bisphosphonates on the prevention of atherosclerotic processes and cardiovascular disease. Methods Pubmed, Embase and the Cochrane Library were systematically reviewed by two independent investigators for randomized controlled studies published up to January 2016, in which the effect of bisphosphonates on arterial wall disease, cardiovascular events, cardiovascular mortality or all-cause mortality were reported. There was no restriction for the type of population used in the trials. Random-effects models were used to calculate the pooled estimates. Results 61 trials reporting the effects of bisphosphonates on the outcomes of interest were included. Bisphosphonates had beneficial effects on arterial wall disease regarding arterial calcification (pooled mean percentage difference of 2 trials −11.52 (95% CI -16.51 to −6.52, p &lt; 0.01, I213%), but not on arterial stiffness (pooled mean percentage difference of 2 trials −2.82; 95% CI -10.71–5.07; p = 0.48, I259%). No effect of bisphosphonate treatment on cardiovascular events was found (pooled RR of 20 trials 1.03; 95% CI 0.91–1.17, I216%), while a lower risk for cardiovascular mortality was observed in patients treated with bisphosphonates (pooled RR of 10 trials 0.81; 95% CI 0.64–1.02; I20%) although not statistically significant. Patients treated with bisphosphonates had a reduced risk of all-cause mortality (pooled RR of 48 trials 0.90; 95% CI 0.84–0.98; I253%). Conclusions In this systematic review and meta-analysis it is shown that bisphosphonates reduce arterial wall calcification but have no effect on arterial stiffness or on cardiovascular events. Bisphosphonates tend to reduce the risk of cardiovascular mortality and reduce all-cause mortality in various patient groups, including osteoporosis and cancer patients.","author":[{"dropping-particle":"","family":"Kranenburg","given":"Guido","non-dropping-particle":"","parse-names":false,"suffix":""},{"dropping-particle":"","family":"Bartstra","given":"Jonas W.","non-dropping-particle":"","parse-names":false,"suffix":""},{"dropping-particle":"","family":"Weijmans","given":"Maaike","non-dropping-particle":"","parse-names":false,"suffix":""},{"dropping-particle":"","family":"Jong","given":"Pim A.","non-dropping-particle":"de","parse-names":false,"suffix":""},{"dropping-particle":"","family":"Mali","given":"Willem P.","non-dropping-particle":"","parse-names":false,"suffix":""},{"dropping-particle":"","family":"Verhaar","given":"Harald J.","non-dropping-particle":"","parse-names":false,"suffix":""},{"dropping-particle":"","family":"Visseren","given":"Frank L.J.","non-dropping-particle":"","parse-names":false,"suffix":""},{"dropping-particle":"","family":"Spiering","given":"Wilko","non-dropping-particle":"","parse-names":false,"suffix":""}],"container-title":"Atherosclerosis","id":"ITEM-1","issue":"Sep","issued":{"date-parts":[["2016"]]},"page":"106-115","title":"Bisphosphonates for cardiovascular risk reduction: a systematic review and meta-analysis","type":"article-journal","volume":"252"},"uris":["http://www.mendeley.com/documents/?uuid=714842b4-1826-4faf-8f9a-3dd139f1c70c"]},{"id":"ITEM-2","itemData":{"DOI":"10.1056/NEJMoa1808082","ISSN":"0028-4793","author":[{"dropping-particle":"","family":"Reid","given":"Ian R.","non-dropping-particle":"","parse-names":false,"suffix":""},{"dropping-particle":"","family":"Horne","given":"Anne M.","non-dropping-particle":"","parse-names":false,"suffix":""},{"dropping-particle":"","family":"Mihov","given":"Borislav","non-dropping-particle":"","parse-names":false,"suffix":""},{"dropping-particle":"","family":"Stewart","given":"Angela","non-dropping-particle":"","parse-names":false,"suffix":""},{"dropping-particle":"","family":"Garratt","given":"Elizabeth","non-dropping-particle":"","parse-names":false,"suffix":""},{"dropping-particle":"","family":"Wong","given":"Sumwai","non-dropping-particle":"","parse-names":false,"suffix":""},{"dropping-particle":"","family":"Wiessing","given":"Katy R.","non-dropping-particle":"","parse-names":false,"suffix":""},{"dropping-particle":"","family":"Bolland","given":"Mark J.","non-dropping-particle":"","parse-names":false,"suffix":""},{"dropping-particle":"","family":"Bastin","given":"Sonja","non-dropping-particle":"","parse-names":false,"suffix":""},{"dropping-particle":"","family":"Gamble","given":"Gregory D.","non-dropping-particle":"","parse-names":false,"suffix":""}],"container-title":"New England Journal of Medicine","id":"ITEM-2","issue":"25","issued":{"date-parts":[["2018"]]},"page":"2407-2416","title":"Fracture prevention with zoledronate in older women with osteopenia","type":"article-journal","volume":"379"},"uris":["http://www.mendeley.com/documents/?uuid=69cbf6db-0dca-4f28-87bb-02a266b0d7ef"]},{"id":"ITEM-3","itemData":{"DOI":"10.1002/jbmr.3448","ISSN":"1523-4681","PMID":"29744914","abstract":"The risk of cardiovascular events (CVEs) with alendronate use in real-world hip fracture patients is unknown. This study aimed to investigate the risk of CVE with and without use of alendronate in patients with hip fracture. We conducted a retrospective cohort study using a population-wide database managed by the Hong Kong Hospital Authority. Patients newly diagnosed with hip fracture from 2005 through 2013 were followed until November 6, 2016. Alendronate and other antiosteoporosis medications use during the study period were examined. We matched treated and nontreated patients based on time-dependent propensity score. The risks of cardiovascular mortality, myocardial infarction, and stroke between treatment groups were evaluated using conditional Cox regression stratified by match pairs. To examine the associations over time, outcomes were assessed at 1 year, 3 years, 5 years, and 10 years. Among 34,991 patients with newly diagnosed hip fracture, 4602 (13.2%) received antiosteoporosis treatment during follow-up. Physical functioning or survival prospect was not significantly different between treated and nontreated patients. A total of 4594 treated patients were matched with 13,568 nontreated patients. Results of Cox regression analysis revealed that alendronate was associated with a significantly lower risk of 1-year cardiovascular mortality (HR 0.33; 95% CI, 0.17 to 0.65) and incident myocardial infarction (HR 0.55; 95% CI, 0.34 to 0.89), whereas marginally significant reduction in risk of stroke was observed at 5 years and 10 years (HR at 5 years: 0.82; 95% CI, 0.67 to 1.00; p = 0.049; HR at 10 years: 0.83; 95% CI, 0.69 to 1.01; p = 0.065). The strength of the association declined over time but remained significant. Similar results were observed when all nitrogen-containing bisphosphonates (N-BPs) were analyzed together. These findings were robust in multiple sensitivity analyses. Additional studies in other population samples and randomized clinical trials may be warranted to further understand the relationship between use of various antiosteoporosis medication and risk of CVE in patients with hip fracture. © 2018 American Society for Bone and Mineral Research.","author":[{"dropping-particle":"","family":"Sing","given":"Chor Wing","non-dropping-particle":"","parse-names":false,"suffix":""},{"dropping-particle":"","family":"Wong","given":"Angel Ys","non-dropping-particle":"","parse-names":false,"suffix":""},{"dropping-particle":"","family":"Kiel","given":"Douglas P","non-dropping-particle":"","parse-names":false,"suffix":""},{"dropping-particle":"","family":"Cheung","given":"Elaine Yn","non-dropping-particle":"","parse-names":false,"suffix":""},{"dropping-particle":"","family":"Lam","given":"Joanne K Y","non-dropping-particle":"","parse-names":false,"suffix":""},{"dropping-particle":"","family":"Cheung","given":"Tommy T","non-dropping-particle":"","parse-names":false,"suffix":""},{"dropping-particle":"","family":"Chan","given":"Esther W","non-dropping-particle":"","parse-names":false,"suffix":""},{"dropping-particle":"","family":"Kung","given":"Annie W C","non-dropping-particle":"","parse-names":false,"suffix":""},{"dropping-particle":"","family":"Wong","given":"Ian CK","non-dropping-particle":"","parse-names":false,"suffix":""},{"dropping-particle":"","family":"Cheung","given":"Ching Lung","non-dropping-particle":"","parse-names":false,"suffix":""}],"container-title":"Journal of bone and mineral research : the official journal of the American Society for Bone and Mineral Research","id":"ITEM-3","issue":"8","issued":{"date-parts":[["2018"]]},"page":"1422-1434","title":"Association of alendronate and risk of cardiovascular events in patients with hip fracture","type":"article-journal","volume":"33"},"uris":["http://www.mendeley.com/documents/?uuid=14934bdd-9940-4cff-bd3d-8665fbe2cc13"]},{"id":"ITEM-4","itemData":{"DOI":"10.1359/jbmr.090704","ISSN":"08840431","PMID":"19580467","abstract":"Zoledronic acid reduces the risk of death by 28% after hip fracture, but the mechanisms are not known. This exploratory analysis sought to identify potential pathways for the reduction in mortality with zoledronic acid after hip fracture. This was a retrospective analysis of a randomized, controlled trial. Patients with recent hip fracture (n = 2111) were treated with zoledronic acid or placebo infusion yearly, as well as calcium and vitamin D supplementation. Causes of death were adjudicated by a blinded central review committee. Baseline comorbidities, events occurring during the study period, including subsequent fracture, change in bone density, infections, cardiovascular events, arrhythmias, and falls, were included in multivariable analyses. In a model adjusted for baseline risk factors, zoledronic acid reduced the risk of death by 25% [95% confidence interval (CI) 0.58-0.97). The effect was consistent across most subgroups. Subsequent fractures were significantly associated with death (hazard ratio 1.72, 95% CI 1.17-2.51) but explained only 8% of the zoledronic acid effect. Adjusting for acute events occurring during follow-up eliminated the death benefit, and zoledronic acid-treated subjects were less likely to die from pneumonia (interaction p = .04) and arrhythmias (interaction p = .02) than placebo-treated subjects. Only 8% of zoledronic acid's death benefit is due to a reduction in secondary fractures. Zoledronic acid may have an effect on cardiovascular events and pneumonia. Further studies of zoledronic acid in other acute illnesses may be warranted.","author":[{"dropping-particle":"","family":"Colón-Emeric","given":"Cathleen S.","non-dropping-particle":"","parse-names":false,"suffix":""},{"dropping-particle":"","family":"Mesenbrink","given":"Peter","non-dropping-particle":"","parse-names":false,"suffix":""},{"dropping-particle":"","family":"Lyles","given":"Kenneth W.","non-dropping-particle":"","parse-names":false,"suffix":""},{"dropping-particle":"","family":"Pieper","given":"Carl F.","non-dropping-particle":"","parse-names":false,"suffix":""},{"dropping-particle":"","family":"Boonen","given":"Steven","non-dropping-particle":"","parse-names":false,"suffix":""},{"dropping-particle":"","family":"Delmas","given":"Pierre","non-dropping-particle":"","parse-names":false,"suffix":""},{"dropping-particle":"","family":"Eriksen","given":"Erik F.","non-dropping-particle":"","parse-names":false,"suffix":""},{"dropping-particle":"","family":"Magaziner","given":"Jay","non-dropping-particle":"","parse-names":false,"suffix":""}],"container-title":"Journal of Bone and Mineral Research","id":"ITEM-4","issue":"1","issued":{"date-parts":[["2010"]]},"page":"91-97","title":"Potential mediators of the mortality reduction with zoledronic acid after hip fracture","type":"article-journal","volume":"25"},"uris":["http://www.mendeley.com/documents/?uuid=30005d02-7958-4730-9b2f-3c45f60f8160"]}],"mendeley":{"formattedCitation":"&lt;sup&gt;&lt;sup&gt;21&lt;/sup&gt;,&lt;sup&gt;28&lt;/sup&gt;–&lt;sup&gt;30&lt;/sup&gt;&lt;/sup&gt;","plainTextFormattedCitation":"21,28–30","previouslyFormattedCitation":"&lt;sup&gt;&lt;sup&gt;21&lt;/sup&gt;,&lt;sup&gt;28&lt;/sup&gt;–&lt;sup&gt;30&lt;/sup&gt;&lt;/sup&gt;"},"properties":{"noteIndex":0},"schema":"https://github.com/citation-style-language/schema/raw/master/csl-citation.json"}</w:instrText>
      </w:r>
      <w:r w:rsidR="00B9797D" w:rsidRPr="007B140B">
        <w:rPr>
          <w:rFonts w:ascii="Times New Roman" w:hAnsi="Times New Roman" w:cs="Times New Roman"/>
          <w:sz w:val="24"/>
          <w:szCs w:val="24"/>
          <w:lang w:val="en-US"/>
        </w:rPr>
        <w:fldChar w:fldCharType="separate"/>
      </w:r>
      <w:r w:rsidR="007B73F8" w:rsidRPr="007B73F8">
        <w:rPr>
          <w:rFonts w:ascii="Times New Roman" w:hAnsi="Times New Roman" w:cs="Times New Roman"/>
          <w:noProof/>
          <w:sz w:val="24"/>
          <w:szCs w:val="24"/>
          <w:vertAlign w:val="superscript"/>
          <w:lang w:val="en-US"/>
        </w:rPr>
        <w:t>21,28–30</w:t>
      </w:r>
      <w:r w:rsidR="00B9797D" w:rsidRPr="007B140B">
        <w:rPr>
          <w:rFonts w:ascii="Times New Roman" w:hAnsi="Times New Roman" w:cs="Times New Roman"/>
          <w:sz w:val="24"/>
          <w:szCs w:val="24"/>
          <w:lang w:val="en-US"/>
        </w:rPr>
        <w:fldChar w:fldCharType="end"/>
      </w:r>
      <w:r w:rsidR="00964729" w:rsidRPr="007B140B">
        <w:rPr>
          <w:rFonts w:ascii="Times New Roman" w:hAnsi="Times New Roman" w:cs="Times New Roman"/>
          <w:sz w:val="24"/>
          <w:szCs w:val="24"/>
          <w:lang w:val="en-US"/>
        </w:rPr>
        <w:t xml:space="preserve"> Death was selected to confirm the results of a phase III trial</w:t>
      </w:r>
      <w:r w:rsidR="004B4ED8">
        <w:rPr>
          <w:rFonts w:ascii="Times New Roman" w:hAnsi="Times New Roman" w:cs="Times New Roman"/>
          <w:sz w:val="24"/>
          <w:szCs w:val="24"/>
          <w:lang w:val="en-US"/>
        </w:rPr>
        <w:t xml:space="preserve"> that</w:t>
      </w:r>
      <w:r w:rsidR="00964729" w:rsidRPr="007B140B">
        <w:rPr>
          <w:rFonts w:ascii="Times New Roman" w:hAnsi="Times New Roman" w:cs="Times New Roman"/>
          <w:sz w:val="24"/>
          <w:szCs w:val="24"/>
          <w:lang w:val="en-US"/>
        </w:rPr>
        <w:t xml:space="preserve"> </w:t>
      </w:r>
      <w:r w:rsidR="00FE0286" w:rsidRPr="007B140B">
        <w:rPr>
          <w:rFonts w:ascii="Times New Roman" w:hAnsi="Times New Roman" w:cs="Times New Roman"/>
          <w:sz w:val="24"/>
          <w:szCs w:val="24"/>
          <w:lang w:val="en-US"/>
        </w:rPr>
        <w:t>demonstrated</w:t>
      </w:r>
      <w:r w:rsidR="00964729" w:rsidRPr="007B140B">
        <w:rPr>
          <w:rFonts w:ascii="Times New Roman" w:hAnsi="Times New Roman" w:cs="Times New Roman"/>
          <w:sz w:val="24"/>
          <w:szCs w:val="24"/>
          <w:lang w:val="en-US"/>
        </w:rPr>
        <w:t xml:space="preserve"> significantly reduced mortality in hip fracture patients</w:t>
      </w:r>
      <w:r w:rsidR="004E2144" w:rsidRPr="007B140B">
        <w:rPr>
          <w:rFonts w:ascii="Times New Roman" w:hAnsi="Times New Roman" w:cs="Times New Roman"/>
          <w:sz w:val="24"/>
          <w:szCs w:val="24"/>
          <w:lang w:val="en-US"/>
        </w:rPr>
        <w:t xml:space="preserve"> treated with zoledronic acid</w:t>
      </w:r>
      <w:r w:rsidR="00964729" w:rsidRPr="007B140B">
        <w:rPr>
          <w:rFonts w:ascii="Times New Roman" w:hAnsi="Times New Roman" w:cs="Times New Roman"/>
          <w:sz w:val="24"/>
          <w:szCs w:val="24"/>
          <w:lang w:val="en-US"/>
        </w:rPr>
        <w:t>.</w:t>
      </w:r>
      <w:r w:rsidR="006B6883" w:rsidRPr="007B140B">
        <w:rPr>
          <w:rFonts w:ascii="Times New Roman" w:hAnsi="Times New Roman" w:cs="Times New Roman"/>
          <w:sz w:val="24"/>
          <w:szCs w:val="24"/>
          <w:lang w:val="en-US"/>
        </w:rPr>
        <w:fldChar w:fldCharType="begin" w:fldLock="1"/>
      </w:r>
      <w:r w:rsidR="00D2485C">
        <w:rPr>
          <w:rFonts w:ascii="Times New Roman" w:hAnsi="Times New Roman" w:cs="Times New Roman"/>
          <w:sz w:val="24"/>
          <w:szCs w:val="24"/>
          <w:lang w:val="en-US"/>
        </w:rPr>
        <w:instrText>ADDIN CSL_CITATION {"citationItems":[{"id":"ITEM-1","itemData":{"DOI":"10.1056/NEJMoa074941","author":[{"dropping-particle":"","family":"Lyles","given":"Kenneth W.","non-dropping-particle":"","parse-names":false,"suffix":""},{"dropping-particle":"","family":"Colón-Emeric","given":"Cathleen S.","non-dropping-particle":"","parse-names":false,"suffix":""},{"dropping-particle":"","family":"Magaziner","given":"Jay S.","non-dropping-particle":"","parse-names":false,"suffix":""},{"dropping-particle":"","family":"Adachi","given":"Jonathan D.","non-dropping-particle":"","parse-names":false,"suffix":""},{"dropping-particle":"","family":"Pieper","given":"Carl F.","non-dropping-particle":"","parse-names":false,"suffix":""},{"dropping-particle":"","family":"Mautalen","given":"Carlos","non-dropping-particle":"","parse-names":false,"suffix":""},{"dropping-particle":"","family":"Hyldstrup","given":"Lars","non-dropping-particle":"","parse-names":false,"suffix":""},{"dropping-particle":"","family":"Recknor","given":"Chris","non-dropping-particle":"","parse-names":false,"suffix":""},{"dropping-particle":"","family":"Nordsletten","given":"Lars","non-dropping-particle":"","parse-names":false,"suffix":""},{"dropping-particle":"","family":"Moore","given":"Kathy A.","non-dropping-particle":"","parse-names":false,"suffix":""},{"dropping-particle":"","family":"Lavecchia","given":"Catherine","non-dropping-particle":"","parse-names":false,"suffix":""},{"dropping-particle":"","family":"Zhang","given":"Jie","non-dropping-particle":"","parse-names":false,"suffix":""},{"dropping-particle":"","family":"Mesenbrink","given":"Peter","non-dropping-particle":"","parse-names":false,"suffix":""},{"dropping-particle":"","family":"Hodgson","given":"Patricia K.","non-dropping-particle":"","parse-names":false,"suffix":""},{"dropping-particle":"","family":"Abrams","given":"Ken","non-dropping-particle":"","parse-names":false,"suffix":""},{"dropping-particle":"","family":"Orloff","given":"John J.","non-dropping-particle":"","parse-names":false,"suffix":""},{"dropping-particle":"","family":"Horowitz","given":"Zebulun","non-dropping-particle":"","parse-names":false,"suffix":""},{"dropping-particle":"","family":"Eriksen","given":"Erik Fink","non-dropping-particle":"","parse-names":false,"suffix":""},{"dropping-particle":"","family":"Boonen","given":"Steven","non-dropping-particle":"","parse-names":false,"suffix":""}],"container-title":"New England Journal of Medicine","id":"ITEM-1","issue":"18","issued":{"date-parts":[["2007"]]},"page":"1799-1809","title":"Zoledronic acid and clinical fractures and mortality after hip fracture","type":"article-journal","volume":"357"},"uris":["http://www.mendeley.com/documents/?uuid=fdc4eb3b-a387-4743-a233-680ae590c2cf"]}],"mendeley":{"formattedCitation":"&lt;sup&gt;&lt;sup&gt;20&lt;/sup&gt;&lt;/sup&gt;","plainTextFormattedCitation":"20","previouslyFormattedCitation":"&lt;sup&gt;&lt;sup&gt;20&lt;/sup&gt;&lt;/sup&gt;"},"properties":{"noteIndex":0},"schema":"https://github.com/citation-style-language/schema/raw/master/csl-citation.json"}</w:instrText>
      </w:r>
      <w:r w:rsidR="006B6883" w:rsidRPr="007B140B">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20</w:t>
      </w:r>
      <w:r w:rsidR="006B6883" w:rsidRPr="007B140B">
        <w:rPr>
          <w:rFonts w:ascii="Times New Roman" w:hAnsi="Times New Roman" w:cs="Times New Roman"/>
          <w:sz w:val="24"/>
          <w:szCs w:val="24"/>
          <w:lang w:val="en-US"/>
        </w:rPr>
        <w:fldChar w:fldCharType="end"/>
      </w:r>
      <w:r w:rsidR="00231BDE" w:rsidRPr="007B140B">
        <w:rPr>
          <w:rFonts w:ascii="Times New Roman" w:hAnsi="Times New Roman" w:cs="Times New Roman"/>
          <w:sz w:val="24"/>
          <w:szCs w:val="24"/>
          <w:lang w:val="en-US"/>
        </w:rPr>
        <w:t xml:space="preserve"> Falling</w:t>
      </w:r>
      <w:r w:rsidR="00354D62" w:rsidRPr="007B140B">
        <w:rPr>
          <w:rFonts w:ascii="Times New Roman" w:hAnsi="Times New Roman" w:cs="Times New Roman"/>
          <w:sz w:val="24"/>
          <w:szCs w:val="24"/>
          <w:lang w:val="en-US"/>
        </w:rPr>
        <w:t xml:space="preserve"> </w:t>
      </w:r>
      <w:r w:rsidR="00DA737A" w:rsidRPr="007B140B">
        <w:rPr>
          <w:rFonts w:ascii="Times New Roman" w:hAnsi="Times New Roman" w:cs="Times New Roman"/>
          <w:sz w:val="24"/>
          <w:szCs w:val="24"/>
          <w:lang w:val="en-US"/>
        </w:rPr>
        <w:t>was</w:t>
      </w:r>
      <w:r w:rsidR="00354D62" w:rsidRPr="007B140B">
        <w:rPr>
          <w:rFonts w:ascii="Times New Roman" w:hAnsi="Times New Roman" w:cs="Times New Roman"/>
          <w:sz w:val="24"/>
          <w:szCs w:val="24"/>
          <w:lang w:val="en-US"/>
        </w:rPr>
        <w:t xml:space="preserve"> selected</w:t>
      </w:r>
      <w:r w:rsidR="008E608C" w:rsidRPr="007B140B">
        <w:rPr>
          <w:rFonts w:ascii="Times New Roman" w:hAnsi="Times New Roman" w:cs="Times New Roman"/>
          <w:sz w:val="24"/>
          <w:szCs w:val="24"/>
          <w:lang w:val="en-US"/>
        </w:rPr>
        <w:t xml:space="preserve"> as an outcome</w:t>
      </w:r>
      <w:r w:rsidR="00354D62" w:rsidRPr="007B140B">
        <w:rPr>
          <w:rFonts w:ascii="Times New Roman" w:hAnsi="Times New Roman" w:cs="Times New Roman"/>
          <w:sz w:val="24"/>
          <w:szCs w:val="24"/>
          <w:lang w:val="en-US"/>
        </w:rPr>
        <w:t xml:space="preserve"> to confirm the results of two trials, one of denosumab and one of zoledronic acid, which showed significant reductions in falls.</w:t>
      </w:r>
      <w:r w:rsidR="00B9797D" w:rsidRPr="007B140B">
        <w:rPr>
          <w:rFonts w:ascii="Times New Roman" w:hAnsi="Times New Roman" w:cs="Times New Roman"/>
          <w:sz w:val="24"/>
          <w:szCs w:val="24"/>
          <w:lang w:val="en-US"/>
        </w:rPr>
        <w:fldChar w:fldCharType="begin" w:fldLock="1"/>
      </w:r>
      <w:r w:rsidR="00D3588A">
        <w:rPr>
          <w:rFonts w:ascii="Times New Roman" w:hAnsi="Times New Roman" w:cs="Times New Roman"/>
          <w:sz w:val="24"/>
          <w:szCs w:val="24"/>
          <w:lang w:val="en-US"/>
        </w:rPr>
        <w:instrText>ADDIN CSL_CITATION {"citationItems":[{"id":"ITEM-1","itemData":{"DOI":"10.1056/NEJMoa074941","author":[{"dropping-particle":"","family":"Lyles","given":"Kenneth W.","non-dropping-particle":"","parse-names":false,"suffix":""},{"dropping-particle":"","family":"Colón-Emeric","given":"Cathleen S.","non-dropping-particle":"","parse-names":false,"suffix":""},{"dropping-particle":"","family":"Magaziner","given":"Jay S.","non-dropping-particle":"","parse-names":false,"suffix":""},{"dropping-particle":"","family":"Adachi","given":"Jonathan D.","non-dropping-particle":"","parse-names":false,"suffix":""},{"dropping-particle":"","family":"Pieper","given":"Carl F.","non-dropping-particle":"","parse-names":false,"suffix":""},{"dropping-particle":"","family":"Mautalen","given":"Carlos","non-dropping-particle":"","parse-names":false,"suffix":""},{"dropping-particle":"","family":"Hyldstrup","given":"Lars","non-dropping-particle":"","parse-names":false,"suffix":""},{"dropping-particle":"","family":"Recknor","given":"Chris","non-dropping-particle":"","parse-names":false,"suffix":""},{"dropping-particle":"","family":"Nordsletten","given":"Lars","non-dropping-particle":"","parse-names":false,"suffix":""},{"dropping-particle":"","family":"Moore","given":"Kathy A.","non-dropping-particle":"","parse-names":false,"suffix":""},{"dropping-particle":"","family":"Lavecchia","given":"Catherine","non-dropping-particle":"","parse-names":false,"suffix":""},{"dropping-particle":"","family":"Zhang","given":"Jie","non-dropping-particle":"","parse-names":false,"suffix":""},{"dropping-particle":"","family":"Mesenbrink","given":"Peter","non-dropping-particle":"","parse-names":false,"suffix":""},{"dropping-particle":"","family":"Hodgson","given":"Patricia K.","non-dropping-particle":"","parse-names":false,"suffix":""},{"dropping-particle":"","family":"Abrams","given":"Ken","non-dropping-particle":"","parse-names":false,"suffix":""},{"dropping-particle":"","family":"Orloff","given":"John J.","non-dropping-particle":"","parse-names":false,"suffix":""},{"dropping-particle":"","family":"Horowitz","given":"Zebulun","non-dropping-particle":"","parse-names":false,"suffix":""},{"dropping-particle":"","family":"Eriksen","given":"Erik Fink","non-dropping-particle":"","parse-names":false,"suffix":""},{"dropping-particle":"","family":"Boonen","given":"Steven","non-dropping-particle":"","parse-names":false,"suffix":""}],"container-title":"New England Journal of Medicine","id":"ITEM-1","issue":"18","issued":{"date-parts":[["2007"]]},"page":"1799-1809","title":"Zoledronic acid and clinical fractures and mortality after hip fracture","type":"article-journal","volume":"357"},"uris":["http://www.mendeley.com/documents/?uuid=fdc4eb3b-a387-4743-a233-680ae590c2cf"]},{"id":"ITEM-2","itemData":{"DOI":"10.1097/01.ogx.0000363236.41902.96","ISSN":"00297828","author":[{"dropping-particle":"","family":"Cummings","given":"Steven R.","non-dropping-particle":"","parse-names":false,"suffix":""},{"dropping-particle":"","family":"Martin","given":"Javier San","non-dropping-particle":"","parse-names":false,"suffix":""},{"dropping-particle":"","family":"McClung","given":"Michael R.","non-dropping-particle":"","parse-names":false,"suffix":""},{"dropping-particle":"","family":"Siris","given":"Ethel S.","non-dropping-particle":"","parse-names":false,"suffix":""},{"dropping-particle":"","family":"Eastell","given":"Richard","non-dropping-particle":"","parse-names":false,"suffix":""},{"dropping-particle":"","family":"Reid","given":"Ian R.","non-dropping-particle":"","parse-names":false,"suffix":""},{"dropping-particle":"","family":"Delmas","given":"Pierre","non-dropping-particle":"","parse-names":false,"suffix":""},{"dropping-particle":"","family":"Zoog","given":"Holly B.","non-dropping-particle":"","parse-names":false,"suffix":""},{"dropping-particle":"","family":"Austin","given":"Matt","non-dropping-particle":"","parse-names":false,"suffix":""},{"dropping-particle":"","family":"Wang","given":"Andrea","non-dropping-particle":"","parse-names":false,"suffix":""},{"dropping-particle":"","family":"Kutilek","given":"Stepan","non-dropping-particle":"","parse-names":false,"suffix":""},{"dropping-particle":"","family":"Adami","given":"Silvano","non-dropping-particle":"","parse-names":false,"suffix":""},{"dropping-particle":"","family":"Zanchetta","given":"Jose","non-dropping-particle":"","parse-names":false,"suffix":""},{"dropping-particle":"","family":"Libanati","given":"Cesar","non-dropping-particle":"","parse-names":false,"suffix":""},{"dropping-particle":"","family":"Siddhanti","given":"Suresh","non-dropping-particle":"","parse-names":false,"suffix":""},{"dropping-particle":"","family":"Christiansen","given":"Claus","non-dropping-particle":"","parse-names":false,"suffix":""}],"container-title":"N Engl J Med","id":"ITEM-2","issue":"8","issued":{"date-parts":[["2009"]]},"page":"756-765","title":"Denosumab for prevention of fractures in postmenopausal women with osteoporosis","type":"article-journal","volume":"361"},"uris":["http://www.mendeley.com/documents/?uuid=3fb6c026-d74b-4859-8fb0-98310f098d3f"]}],"mendeley":{"formattedCitation":"&lt;sup&gt;&lt;sup&gt;20&lt;/sup&gt;,&lt;sup&gt;31&lt;/sup&gt;&lt;/sup&gt;","plainTextFormattedCitation":"20,31","previouslyFormattedCitation":"&lt;sup&gt;&lt;sup&gt;20&lt;/sup&gt;,&lt;sup&gt;31&lt;/sup&gt;&lt;/sup&gt;"},"properties":{"noteIndex":0},"schema":"https://github.com/citation-style-language/schema/raw/master/csl-citation.json"}</w:instrText>
      </w:r>
      <w:r w:rsidR="00B9797D" w:rsidRPr="007B140B">
        <w:rPr>
          <w:rFonts w:ascii="Times New Roman" w:hAnsi="Times New Roman" w:cs="Times New Roman"/>
          <w:sz w:val="24"/>
          <w:szCs w:val="24"/>
          <w:lang w:val="en-US"/>
        </w:rPr>
        <w:fldChar w:fldCharType="separate"/>
      </w:r>
      <w:r w:rsidR="007B73F8" w:rsidRPr="007B73F8">
        <w:rPr>
          <w:rFonts w:ascii="Times New Roman" w:hAnsi="Times New Roman" w:cs="Times New Roman"/>
          <w:noProof/>
          <w:sz w:val="24"/>
          <w:szCs w:val="24"/>
          <w:vertAlign w:val="superscript"/>
          <w:lang w:val="en-US"/>
        </w:rPr>
        <w:t>20,31</w:t>
      </w:r>
      <w:r w:rsidR="00B9797D" w:rsidRPr="007B140B">
        <w:rPr>
          <w:rFonts w:ascii="Times New Roman" w:hAnsi="Times New Roman" w:cs="Times New Roman"/>
          <w:sz w:val="24"/>
          <w:szCs w:val="24"/>
          <w:lang w:val="en-US"/>
        </w:rPr>
        <w:fldChar w:fldCharType="end"/>
      </w:r>
      <w:r w:rsidR="00354D62" w:rsidRPr="007B140B">
        <w:rPr>
          <w:rFonts w:ascii="Times New Roman" w:hAnsi="Times New Roman" w:cs="Times New Roman"/>
          <w:sz w:val="24"/>
          <w:szCs w:val="24"/>
          <w:lang w:val="en-US"/>
        </w:rPr>
        <w:t xml:space="preserve"> </w:t>
      </w:r>
    </w:p>
    <w:p w14:paraId="44EABACB" w14:textId="59BBD00D" w:rsidR="008E4D25" w:rsidRPr="007B140B" w:rsidRDefault="008E4D25" w:rsidP="004C704F">
      <w:pPr>
        <w:spacing w:after="0" w:line="240" w:lineRule="auto"/>
        <w:rPr>
          <w:rFonts w:ascii="Times New Roman" w:hAnsi="Times New Roman" w:cs="Times New Roman"/>
          <w:sz w:val="24"/>
          <w:szCs w:val="24"/>
          <w:lang w:val="en-US"/>
        </w:rPr>
      </w:pPr>
    </w:p>
    <w:p w14:paraId="7A4052E7" w14:textId="77777777" w:rsidR="004C704F" w:rsidRPr="007B140B" w:rsidRDefault="004C704F" w:rsidP="004C704F">
      <w:pPr>
        <w:spacing w:after="0" w:line="240" w:lineRule="auto"/>
        <w:rPr>
          <w:rFonts w:ascii="Times New Roman" w:hAnsi="Times New Roman" w:cs="Times New Roman"/>
          <w:sz w:val="24"/>
          <w:szCs w:val="24"/>
          <w:lang w:val="en-US"/>
        </w:rPr>
      </w:pPr>
    </w:p>
    <w:p w14:paraId="6823CFA1" w14:textId="18B46509" w:rsidR="00674CB9" w:rsidRPr="007B140B" w:rsidRDefault="00674CB9" w:rsidP="00D36611">
      <w:pPr>
        <w:pStyle w:val="Formatmall3"/>
        <w:rPr>
          <w:rFonts w:cs="Times New Roman"/>
          <w:lang w:val="en-US"/>
        </w:rPr>
      </w:pPr>
      <w:bookmarkStart w:id="26" w:name="_Toc99001398"/>
      <w:r w:rsidRPr="007B140B">
        <w:rPr>
          <w:rFonts w:cs="Times New Roman"/>
          <w:lang w:val="en-US"/>
        </w:rPr>
        <w:t>Exploratory objectives</w:t>
      </w:r>
      <w:bookmarkEnd w:id="26"/>
    </w:p>
    <w:p w14:paraId="5B94BE0B" w14:textId="058B4E75" w:rsidR="00A44FD4" w:rsidRPr="007B140B" w:rsidRDefault="004D1A78" w:rsidP="004D1A78">
      <w:pPr>
        <w:rPr>
          <w:rFonts w:ascii="Times New Roman" w:hAnsi="Times New Roman" w:cs="Times New Roman"/>
          <w:sz w:val="24"/>
          <w:szCs w:val="24"/>
          <w:lang w:val="en-US"/>
        </w:rPr>
      </w:pPr>
      <w:r w:rsidRPr="007B140B">
        <w:rPr>
          <w:rFonts w:ascii="Times New Roman" w:hAnsi="Times New Roman" w:cs="Times New Roman"/>
          <w:sz w:val="24"/>
          <w:szCs w:val="24"/>
          <w:lang w:val="en-US"/>
        </w:rPr>
        <w:t>The exploratory objectives are as follows:</w:t>
      </w:r>
    </w:p>
    <w:p w14:paraId="131B3503" w14:textId="5CEC11E3" w:rsidR="00A4387E" w:rsidRPr="002320F0" w:rsidRDefault="00A4387E" w:rsidP="00363CEE">
      <w:pPr>
        <w:pStyle w:val="Liststycke"/>
        <w:numPr>
          <w:ilvl w:val="0"/>
          <w:numId w:val="8"/>
        </w:numPr>
        <w:spacing w:after="0" w:line="240" w:lineRule="auto"/>
        <w:rPr>
          <w:rFonts w:ascii="Times New Roman" w:hAnsi="Times New Roman" w:cs="Times New Roman"/>
          <w:sz w:val="24"/>
          <w:szCs w:val="24"/>
          <w:lang w:val="en-US"/>
        </w:rPr>
      </w:pPr>
      <w:r w:rsidRPr="002320F0">
        <w:rPr>
          <w:rFonts w:ascii="Times New Roman" w:hAnsi="Times New Roman" w:cs="Times New Roman"/>
          <w:sz w:val="24"/>
          <w:szCs w:val="24"/>
          <w:lang w:val="en-US"/>
        </w:rPr>
        <w:t xml:space="preserve">To investigate whether </w:t>
      </w:r>
      <w:r w:rsidR="004801C8" w:rsidRPr="002320F0">
        <w:rPr>
          <w:rFonts w:ascii="Times New Roman" w:hAnsi="Times New Roman" w:cs="Times New Roman"/>
          <w:sz w:val="24"/>
          <w:szCs w:val="24"/>
          <w:lang w:val="en-US"/>
        </w:rPr>
        <w:t xml:space="preserve">the effect of </w:t>
      </w:r>
      <w:r w:rsidRPr="002320F0">
        <w:rPr>
          <w:rFonts w:ascii="Times New Roman" w:hAnsi="Times New Roman" w:cs="Times New Roman"/>
          <w:sz w:val="24"/>
          <w:szCs w:val="24"/>
          <w:lang w:val="en-US"/>
        </w:rPr>
        <w:t xml:space="preserve">zoledronic acid </w:t>
      </w:r>
      <w:r w:rsidR="004801C8" w:rsidRPr="002320F0">
        <w:rPr>
          <w:rFonts w:ascii="Times New Roman" w:hAnsi="Times New Roman" w:cs="Times New Roman"/>
          <w:sz w:val="24"/>
          <w:szCs w:val="24"/>
          <w:lang w:val="en-US"/>
        </w:rPr>
        <w:t xml:space="preserve">on new clinical fracture </w:t>
      </w:r>
      <w:r w:rsidR="00EA0727" w:rsidRPr="002320F0">
        <w:rPr>
          <w:rFonts w:ascii="Times New Roman" w:hAnsi="Times New Roman" w:cs="Times New Roman"/>
          <w:sz w:val="24"/>
          <w:szCs w:val="24"/>
          <w:lang w:val="en-US"/>
        </w:rPr>
        <w:t>decreases</w:t>
      </w:r>
      <w:r w:rsidR="004801C8" w:rsidRPr="002320F0">
        <w:rPr>
          <w:rFonts w:ascii="Times New Roman" w:hAnsi="Times New Roman" w:cs="Times New Roman"/>
          <w:sz w:val="24"/>
          <w:szCs w:val="24"/>
          <w:lang w:val="en-US"/>
        </w:rPr>
        <w:t xml:space="preserve"> with age </w:t>
      </w:r>
      <w:r w:rsidRPr="002320F0">
        <w:rPr>
          <w:rFonts w:ascii="Times New Roman" w:hAnsi="Times New Roman" w:cs="Times New Roman"/>
          <w:sz w:val="24"/>
          <w:szCs w:val="24"/>
          <w:lang w:val="en-US"/>
        </w:rPr>
        <w:t xml:space="preserve"> </w:t>
      </w:r>
    </w:p>
    <w:p w14:paraId="39453D3A" w14:textId="0CD438B4" w:rsidR="00CF5045" w:rsidRPr="002320F0" w:rsidRDefault="00CF5045" w:rsidP="00363CEE">
      <w:pPr>
        <w:pStyle w:val="Liststycke"/>
        <w:numPr>
          <w:ilvl w:val="0"/>
          <w:numId w:val="8"/>
        </w:numPr>
        <w:spacing w:after="0" w:line="240" w:lineRule="auto"/>
        <w:rPr>
          <w:rFonts w:ascii="Times New Roman" w:hAnsi="Times New Roman" w:cs="Times New Roman"/>
          <w:sz w:val="24"/>
          <w:szCs w:val="24"/>
          <w:lang w:val="en-US"/>
        </w:rPr>
      </w:pPr>
      <w:r w:rsidRPr="002320F0">
        <w:rPr>
          <w:rFonts w:ascii="Times New Roman" w:hAnsi="Times New Roman" w:cs="Times New Roman"/>
          <w:sz w:val="24"/>
          <w:szCs w:val="24"/>
          <w:lang w:val="en-US"/>
        </w:rPr>
        <w:t>To investigate the time-to-onse</w:t>
      </w:r>
      <w:r w:rsidR="005901A8" w:rsidRPr="002320F0">
        <w:rPr>
          <w:rFonts w:ascii="Times New Roman" w:hAnsi="Times New Roman" w:cs="Times New Roman"/>
          <w:sz w:val="24"/>
          <w:szCs w:val="24"/>
          <w:lang w:val="en-US"/>
        </w:rPr>
        <w:t xml:space="preserve">t of effect </w:t>
      </w:r>
      <w:r w:rsidR="00A765F9" w:rsidRPr="002320F0">
        <w:rPr>
          <w:rFonts w:ascii="Times New Roman" w:hAnsi="Times New Roman" w:cs="Times New Roman"/>
          <w:sz w:val="24"/>
          <w:szCs w:val="24"/>
          <w:lang w:val="en-US"/>
        </w:rPr>
        <w:t xml:space="preserve">of zoledronic acid </w:t>
      </w:r>
      <w:r w:rsidR="005901A8" w:rsidRPr="002320F0">
        <w:rPr>
          <w:rFonts w:ascii="Times New Roman" w:hAnsi="Times New Roman" w:cs="Times New Roman"/>
          <w:sz w:val="24"/>
          <w:szCs w:val="24"/>
          <w:lang w:val="en-US"/>
        </w:rPr>
        <w:t xml:space="preserve">on </w:t>
      </w:r>
      <w:r w:rsidR="002F37C1" w:rsidRPr="002320F0">
        <w:rPr>
          <w:rFonts w:ascii="Times New Roman" w:hAnsi="Times New Roman" w:cs="Times New Roman"/>
          <w:sz w:val="24"/>
          <w:szCs w:val="24"/>
          <w:lang w:val="en-US"/>
        </w:rPr>
        <w:t xml:space="preserve">clinical </w:t>
      </w:r>
      <w:r w:rsidR="005901A8" w:rsidRPr="002320F0">
        <w:rPr>
          <w:rFonts w:ascii="Times New Roman" w:hAnsi="Times New Roman" w:cs="Times New Roman"/>
          <w:sz w:val="24"/>
          <w:szCs w:val="24"/>
          <w:lang w:val="en-US"/>
        </w:rPr>
        <w:t>fractures</w:t>
      </w:r>
    </w:p>
    <w:p w14:paraId="07014DA9" w14:textId="478BC845" w:rsidR="00F14D88" w:rsidRPr="002320F0" w:rsidRDefault="00F14D88" w:rsidP="00F14D88">
      <w:pPr>
        <w:pStyle w:val="Liststycke"/>
        <w:numPr>
          <w:ilvl w:val="0"/>
          <w:numId w:val="8"/>
        </w:numPr>
        <w:spacing w:after="0" w:line="240" w:lineRule="auto"/>
        <w:rPr>
          <w:rFonts w:ascii="Times New Roman" w:hAnsi="Times New Roman" w:cs="Times New Roman"/>
          <w:sz w:val="24"/>
          <w:szCs w:val="24"/>
          <w:lang w:val="en-US"/>
        </w:rPr>
      </w:pPr>
      <w:r w:rsidRPr="002320F0">
        <w:rPr>
          <w:rFonts w:ascii="Times New Roman" w:hAnsi="Times New Roman" w:cs="Times New Roman"/>
          <w:sz w:val="24"/>
          <w:szCs w:val="24"/>
          <w:lang w:val="en-US"/>
        </w:rPr>
        <w:t>To investigate whether zoledronic increases muscle strength, as compared with placebo</w:t>
      </w:r>
    </w:p>
    <w:p w14:paraId="65C02957" w14:textId="59B8EDCC" w:rsidR="00E1620D" w:rsidRPr="00066B77" w:rsidRDefault="00E1620D" w:rsidP="00066B77">
      <w:pPr>
        <w:pStyle w:val="Liststycke"/>
        <w:numPr>
          <w:ilvl w:val="0"/>
          <w:numId w:val="8"/>
        </w:numPr>
        <w:rPr>
          <w:rFonts w:ascii="Times New Roman" w:hAnsi="Times New Roman" w:cs="Times New Roman"/>
          <w:sz w:val="24"/>
          <w:szCs w:val="24"/>
          <w:lang w:val="en-US"/>
        </w:rPr>
      </w:pPr>
      <w:r w:rsidRPr="00066B77">
        <w:rPr>
          <w:rFonts w:ascii="Times New Roman" w:hAnsi="Times New Roman" w:cs="Times New Roman"/>
          <w:sz w:val="24"/>
          <w:szCs w:val="24"/>
          <w:lang w:val="en-US"/>
        </w:rPr>
        <w:t xml:space="preserve">To </w:t>
      </w:r>
      <w:r w:rsidR="0027127F" w:rsidRPr="00066B77">
        <w:rPr>
          <w:rFonts w:ascii="Times New Roman" w:hAnsi="Times New Roman" w:cs="Times New Roman"/>
          <w:sz w:val="24"/>
          <w:szCs w:val="24"/>
          <w:lang w:val="en-US"/>
        </w:rPr>
        <w:t xml:space="preserve">investigate </w:t>
      </w:r>
      <w:r w:rsidRPr="00066B77">
        <w:rPr>
          <w:rFonts w:ascii="Times New Roman" w:hAnsi="Times New Roman" w:cs="Times New Roman"/>
          <w:sz w:val="24"/>
          <w:szCs w:val="24"/>
          <w:lang w:val="en-US"/>
        </w:rPr>
        <w:t>whether zoledronic acid reduces height loss, as compared with placebo</w:t>
      </w:r>
    </w:p>
    <w:p w14:paraId="2687949C" w14:textId="1A4BC7AC" w:rsidR="00C2619C" w:rsidRPr="002320F0" w:rsidRDefault="00C2619C" w:rsidP="00174BFB">
      <w:pPr>
        <w:pStyle w:val="Liststycke"/>
        <w:numPr>
          <w:ilvl w:val="0"/>
          <w:numId w:val="8"/>
        </w:numPr>
        <w:spacing w:after="0" w:line="240" w:lineRule="auto"/>
        <w:rPr>
          <w:rFonts w:ascii="Times New Roman" w:hAnsi="Times New Roman" w:cs="Times New Roman"/>
          <w:sz w:val="24"/>
          <w:szCs w:val="24"/>
          <w:lang w:val="en-US"/>
        </w:rPr>
      </w:pPr>
      <w:r w:rsidRPr="002320F0">
        <w:rPr>
          <w:rFonts w:ascii="Times New Roman" w:hAnsi="Times New Roman" w:cs="Times New Roman"/>
          <w:sz w:val="24"/>
          <w:szCs w:val="24"/>
          <w:lang w:val="en-US"/>
        </w:rPr>
        <w:t>To investigate whether zoledronic acid improves health-related quality of life</w:t>
      </w:r>
      <w:r w:rsidR="00BF79B7" w:rsidRPr="002609B3">
        <w:rPr>
          <w:rFonts w:ascii="Times New Roman" w:hAnsi="Times New Roman" w:cs="Times New Roman"/>
          <w:sz w:val="24"/>
          <w:szCs w:val="24"/>
          <w:lang w:val="en-US"/>
        </w:rPr>
        <w:t>, as compared with placebo</w:t>
      </w:r>
    </w:p>
    <w:p w14:paraId="5C4C8C40" w14:textId="25967E11" w:rsidR="00EA6DE2" w:rsidRPr="002320F0" w:rsidRDefault="00EA6DE2" w:rsidP="00066B77">
      <w:pPr>
        <w:pStyle w:val="Liststycke"/>
        <w:numPr>
          <w:ilvl w:val="0"/>
          <w:numId w:val="8"/>
        </w:numPr>
        <w:spacing w:after="0" w:line="240" w:lineRule="auto"/>
        <w:rPr>
          <w:rFonts w:ascii="Times New Roman" w:hAnsi="Times New Roman" w:cs="Times New Roman"/>
          <w:sz w:val="24"/>
          <w:szCs w:val="24"/>
          <w:lang w:val="en-US"/>
        </w:rPr>
      </w:pPr>
      <w:r w:rsidRPr="002320F0">
        <w:rPr>
          <w:rFonts w:ascii="Times New Roman" w:hAnsi="Times New Roman" w:cs="Times New Roman"/>
          <w:sz w:val="24"/>
          <w:szCs w:val="24"/>
          <w:lang w:val="en-US"/>
        </w:rPr>
        <w:t xml:space="preserve">To </w:t>
      </w:r>
      <w:r w:rsidR="0027127F" w:rsidRPr="002320F0">
        <w:rPr>
          <w:rFonts w:ascii="Times New Roman" w:hAnsi="Times New Roman" w:cs="Times New Roman"/>
          <w:sz w:val="24"/>
          <w:szCs w:val="24"/>
          <w:lang w:val="en-US"/>
        </w:rPr>
        <w:t xml:space="preserve">investigate </w:t>
      </w:r>
      <w:r w:rsidRPr="002320F0">
        <w:rPr>
          <w:rFonts w:ascii="Times New Roman" w:hAnsi="Times New Roman" w:cs="Times New Roman"/>
          <w:sz w:val="24"/>
          <w:szCs w:val="24"/>
          <w:lang w:val="en-US"/>
        </w:rPr>
        <w:t>whet</w:t>
      </w:r>
      <w:r w:rsidR="003B0780" w:rsidRPr="002320F0">
        <w:rPr>
          <w:rFonts w:ascii="Times New Roman" w:hAnsi="Times New Roman" w:cs="Times New Roman"/>
          <w:sz w:val="24"/>
          <w:szCs w:val="24"/>
          <w:lang w:val="en-US"/>
        </w:rPr>
        <w:t xml:space="preserve">her </w:t>
      </w:r>
      <w:r w:rsidRPr="002320F0">
        <w:rPr>
          <w:rFonts w:ascii="Times New Roman" w:hAnsi="Times New Roman" w:cs="Times New Roman"/>
          <w:sz w:val="24"/>
          <w:szCs w:val="24"/>
          <w:lang w:val="en-US"/>
        </w:rPr>
        <w:t>zoledron</w:t>
      </w:r>
      <w:r w:rsidR="009547D3" w:rsidRPr="002320F0">
        <w:rPr>
          <w:rFonts w:ascii="Times New Roman" w:hAnsi="Times New Roman" w:cs="Times New Roman"/>
          <w:sz w:val="24"/>
          <w:szCs w:val="24"/>
          <w:lang w:val="en-US"/>
        </w:rPr>
        <w:t xml:space="preserve">ic acid </w:t>
      </w:r>
      <w:r w:rsidR="00EA0727" w:rsidRPr="002320F0">
        <w:rPr>
          <w:rFonts w:ascii="Times New Roman" w:hAnsi="Times New Roman" w:cs="Times New Roman"/>
          <w:sz w:val="24"/>
          <w:szCs w:val="24"/>
          <w:lang w:val="en-US"/>
        </w:rPr>
        <w:t>reduces the risk of</w:t>
      </w:r>
      <w:r w:rsidR="009547D3" w:rsidRPr="002320F0">
        <w:rPr>
          <w:rFonts w:ascii="Times New Roman" w:hAnsi="Times New Roman" w:cs="Times New Roman"/>
          <w:sz w:val="24"/>
          <w:szCs w:val="24"/>
          <w:lang w:val="en-US"/>
        </w:rPr>
        <w:t xml:space="preserve"> </w:t>
      </w:r>
      <w:r w:rsidR="00EA0727" w:rsidRPr="002320F0">
        <w:rPr>
          <w:rFonts w:ascii="Times New Roman" w:hAnsi="Times New Roman" w:cs="Times New Roman"/>
          <w:sz w:val="24"/>
          <w:szCs w:val="24"/>
          <w:lang w:val="en-US"/>
        </w:rPr>
        <w:t xml:space="preserve">death, cancer, </w:t>
      </w:r>
      <w:r w:rsidR="009547D3" w:rsidRPr="002320F0">
        <w:rPr>
          <w:rFonts w:ascii="Times New Roman" w:hAnsi="Times New Roman" w:cs="Times New Roman"/>
          <w:sz w:val="24"/>
          <w:szCs w:val="24"/>
          <w:lang w:val="en-US"/>
        </w:rPr>
        <w:t>clinical fractures</w:t>
      </w:r>
      <w:r w:rsidR="00EA0727" w:rsidRPr="002320F0">
        <w:rPr>
          <w:rFonts w:ascii="Times New Roman" w:hAnsi="Times New Roman" w:cs="Times New Roman"/>
          <w:sz w:val="24"/>
          <w:szCs w:val="24"/>
          <w:lang w:val="en-US"/>
        </w:rPr>
        <w:t xml:space="preserve">, </w:t>
      </w:r>
      <w:r w:rsidR="00ED0960" w:rsidRPr="002320F0">
        <w:rPr>
          <w:rFonts w:ascii="Times New Roman" w:hAnsi="Times New Roman" w:cs="Times New Roman"/>
          <w:sz w:val="24"/>
          <w:szCs w:val="24"/>
          <w:lang w:val="en-US"/>
        </w:rPr>
        <w:t xml:space="preserve">falls, </w:t>
      </w:r>
      <w:r w:rsidR="0027127F" w:rsidRPr="002320F0">
        <w:rPr>
          <w:rFonts w:ascii="Times New Roman" w:hAnsi="Times New Roman" w:cs="Times New Roman"/>
          <w:sz w:val="24"/>
          <w:szCs w:val="24"/>
          <w:lang w:val="en-US"/>
        </w:rPr>
        <w:t>and</w:t>
      </w:r>
      <w:r w:rsidR="00EA0727" w:rsidRPr="002320F0">
        <w:rPr>
          <w:rFonts w:ascii="Times New Roman" w:hAnsi="Times New Roman" w:cs="Times New Roman"/>
          <w:sz w:val="24"/>
          <w:szCs w:val="24"/>
          <w:lang w:val="en-US"/>
        </w:rPr>
        <w:t xml:space="preserve"> cardiovascular disease</w:t>
      </w:r>
      <w:r w:rsidR="002F37C1" w:rsidRPr="002320F0">
        <w:rPr>
          <w:rFonts w:ascii="Times New Roman" w:hAnsi="Times New Roman" w:cs="Times New Roman"/>
          <w:sz w:val="24"/>
          <w:szCs w:val="24"/>
          <w:lang w:val="en-US"/>
        </w:rPr>
        <w:t>, as compared with placebo,</w:t>
      </w:r>
      <w:r w:rsidRPr="002320F0">
        <w:rPr>
          <w:rFonts w:ascii="Times New Roman" w:hAnsi="Times New Roman" w:cs="Times New Roman"/>
          <w:sz w:val="24"/>
          <w:szCs w:val="24"/>
          <w:lang w:val="en-US"/>
        </w:rPr>
        <w:t xml:space="preserve"> </w:t>
      </w:r>
      <w:r w:rsidR="00EA0727" w:rsidRPr="002320F0">
        <w:rPr>
          <w:rFonts w:ascii="Times New Roman" w:hAnsi="Times New Roman" w:cs="Times New Roman"/>
          <w:sz w:val="24"/>
          <w:szCs w:val="24"/>
          <w:lang w:val="en-US"/>
        </w:rPr>
        <w:t>over 10 years</w:t>
      </w:r>
    </w:p>
    <w:p w14:paraId="4F254871" w14:textId="2702FD3A" w:rsidR="00674CB9" w:rsidRPr="007B140B" w:rsidRDefault="00674CB9" w:rsidP="00674CB9">
      <w:pPr>
        <w:spacing w:after="0" w:line="240" w:lineRule="auto"/>
        <w:ind w:left="360"/>
        <w:rPr>
          <w:rFonts w:ascii="Times New Roman" w:hAnsi="Times New Roman" w:cs="Times New Roman"/>
          <w:sz w:val="24"/>
          <w:szCs w:val="24"/>
          <w:lang w:val="en-US"/>
        </w:rPr>
      </w:pPr>
    </w:p>
    <w:p w14:paraId="5452BD91" w14:textId="77777777" w:rsidR="00E1620D" w:rsidRPr="007B140B" w:rsidRDefault="00E1620D" w:rsidP="00F14D88">
      <w:pPr>
        <w:spacing w:after="0" w:line="240" w:lineRule="auto"/>
        <w:rPr>
          <w:rFonts w:ascii="Times New Roman" w:hAnsi="Times New Roman" w:cs="Times New Roman"/>
          <w:sz w:val="24"/>
          <w:szCs w:val="24"/>
          <w:lang w:val="en-US"/>
        </w:rPr>
      </w:pPr>
    </w:p>
    <w:p w14:paraId="2E452B0A" w14:textId="1A982FA6" w:rsidR="00DC5D95" w:rsidRDefault="00301575" w:rsidP="00DC5D95">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Efficacy</w:t>
      </w:r>
      <w:r w:rsidR="00DC5D95" w:rsidRPr="007B140B">
        <w:rPr>
          <w:rFonts w:ascii="Times New Roman" w:hAnsi="Times New Roman" w:cs="Times New Roman"/>
          <w:sz w:val="24"/>
          <w:szCs w:val="24"/>
          <w:lang w:val="en-US"/>
        </w:rPr>
        <w:t xml:space="preserve"> by age was selected as an exploratory </w:t>
      </w:r>
      <w:r w:rsidR="0079196C" w:rsidRPr="007B140B">
        <w:rPr>
          <w:rFonts w:ascii="Times New Roman" w:hAnsi="Times New Roman" w:cs="Times New Roman"/>
          <w:sz w:val="24"/>
          <w:szCs w:val="24"/>
          <w:lang w:val="en-US"/>
        </w:rPr>
        <w:t>objective</w:t>
      </w:r>
      <w:r w:rsidR="00DC5D95" w:rsidRPr="007B140B">
        <w:rPr>
          <w:rFonts w:ascii="Times New Roman" w:hAnsi="Times New Roman" w:cs="Times New Roman"/>
          <w:sz w:val="24"/>
          <w:szCs w:val="24"/>
          <w:lang w:val="en-US"/>
        </w:rPr>
        <w:t xml:space="preserve"> because </w:t>
      </w:r>
      <w:r w:rsidR="003F0DC2" w:rsidRPr="007B140B">
        <w:rPr>
          <w:rFonts w:ascii="Times New Roman" w:hAnsi="Times New Roman" w:cs="Times New Roman"/>
          <w:sz w:val="24"/>
          <w:szCs w:val="24"/>
          <w:lang w:val="en-US"/>
        </w:rPr>
        <w:t xml:space="preserve">some researchers suggest that bone-protective therapy is less effective in the oldest age groups, perhaps because the high incidence of falls </w:t>
      </w:r>
      <w:r w:rsidR="001F143D">
        <w:rPr>
          <w:rFonts w:ascii="Times New Roman" w:hAnsi="Times New Roman" w:cs="Times New Roman"/>
          <w:sz w:val="24"/>
          <w:szCs w:val="24"/>
          <w:lang w:val="en-US"/>
        </w:rPr>
        <w:t xml:space="preserve">in these groups </w:t>
      </w:r>
      <w:r w:rsidR="003F0DC2" w:rsidRPr="007B140B">
        <w:rPr>
          <w:rFonts w:ascii="Times New Roman" w:hAnsi="Times New Roman" w:cs="Times New Roman"/>
          <w:sz w:val="24"/>
          <w:szCs w:val="24"/>
          <w:lang w:val="en-US"/>
        </w:rPr>
        <w:t xml:space="preserve">offsets </w:t>
      </w:r>
      <w:r w:rsidR="00D73E37">
        <w:rPr>
          <w:rFonts w:ascii="Times New Roman" w:hAnsi="Times New Roman" w:cs="Times New Roman"/>
          <w:sz w:val="24"/>
          <w:szCs w:val="24"/>
          <w:lang w:val="en-US"/>
        </w:rPr>
        <w:t xml:space="preserve">beneficial </w:t>
      </w:r>
      <w:r w:rsidR="003F0DC2" w:rsidRPr="007B140B">
        <w:rPr>
          <w:rFonts w:ascii="Times New Roman" w:hAnsi="Times New Roman" w:cs="Times New Roman"/>
          <w:sz w:val="24"/>
          <w:szCs w:val="24"/>
          <w:lang w:val="en-US"/>
        </w:rPr>
        <w:t>skeletal</w:t>
      </w:r>
      <w:r w:rsidR="00D73E37">
        <w:rPr>
          <w:rFonts w:ascii="Times New Roman" w:hAnsi="Times New Roman" w:cs="Times New Roman"/>
          <w:sz w:val="24"/>
          <w:szCs w:val="24"/>
          <w:lang w:val="en-US"/>
        </w:rPr>
        <w:t xml:space="preserve"> effects</w:t>
      </w:r>
      <w:r w:rsidR="003F0DC2" w:rsidRPr="007B140B">
        <w:rPr>
          <w:rFonts w:ascii="Times New Roman" w:hAnsi="Times New Roman" w:cs="Times New Roman"/>
          <w:sz w:val="24"/>
          <w:szCs w:val="24"/>
          <w:lang w:val="en-US"/>
        </w:rPr>
        <w:t>.</w:t>
      </w:r>
      <w:r w:rsidR="003F0DC2" w:rsidRPr="007B140B">
        <w:rPr>
          <w:rFonts w:ascii="Times New Roman" w:hAnsi="Times New Roman" w:cs="Times New Roman"/>
          <w:sz w:val="24"/>
          <w:szCs w:val="24"/>
          <w:lang w:val="en-US"/>
        </w:rPr>
        <w:fldChar w:fldCharType="begin" w:fldLock="1"/>
      </w:r>
      <w:r w:rsidR="00D3588A">
        <w:rPr>
          <w:rFonts w:ascii="Times New Roman" w:hAnsi="Times New Roman" w:cs="Times New Roman"/>
          <w:sz w:val="24"/>
          <w:szCs w:val="24"/>
          <w:lang w:val="en-US"/>
        </w:rPr>
        <w:instrText>ADDIN CSL_CITATION {"citationItems":[{"id":"ITEM-1","itemData":{"DOI":"10.1111/j.1532-5415.2004.52506.x","ISBN":"0002-8614","ISSN":"00028614","PMID":"15507059","abstract":"OBJECTIVES: To determine the efficacy of risedronate in reducing vertebral fracture risk in women aged 80 and older with osteoporosis.\\n\\nDESIGN: Pooled analysis of data from three randomized, double-blind, controlled, 3-year-fracture-endpoint trials conducted from November 1993 to April 1998: Hip Intervention Program (HIP), Vertebral Efficacy with Risedronate Therapy-Multinational (VERT-MN), and VERT-North America (NA).\\n\\nSETTING: Office-based practices, research centers, and osteoporosis clinics in Europe, North America, and Australia.\\n\\nPARTICIPANTS: Osteoporotic (femoral neck bone mineral density T-score &lt; -2.5 standard deviations or at least one prevalent vertebral fracture) women aged 80 and older.\\n\\nINTERVENTION: Patients received placebo (n=688) or risedronate 5 mg/d (n=704) for up to 3 years. All patients received 1,000 mg/d calcium and, if baseline levels were low, up to 500 IU/d vitamin D.\\n\\nMEASUREMENTS: Cumulative incidence of new vertebral fractures.\\n\\nRESULTS: After 1 year, the risk of new vertebral fractures in the risedronate group was 81% lower than with placebo (95% confidence interval=60-91%; P&lt;.001). The number of women who needed to be treated to prevent one new vertebral fracture after 1 year was 12. This early onset of efficacy was consistent across the clinical programs, and antifracture efficacy was confirmed over 3 years. Risedronate was well tolerated, with a safety profile comparable with that of placebo.\\n\\nCONCLUSION: These findings provide the first evidence that, even in the very old, reducing bone resorption rate remains an effective treatment strategy for osteoporosis. Because each therapeutic agent used for the treatment of osteoporosis may have unique characteristics, the observations made in this study should not be assumed to apply to other bisphosphonates.","author":[{"dropping-particle":"","family":"Boonen","given":"Steven","non-dropping-particle":"","parse-names":false,"suffix":""},{"dropping-particle":"","family":"McClung","given":"Michael R.","non-dropping-particle":"","parse-names":false,"suffix":""},{"dropping-particle":"","family":"Eastell","given":"Richard","non-dropping-particle":"","parse-names":false,"suffix":""},{"dropping-particle":"","family":"Fuleihan","given":"Ghada El Hajj","non-dropping-particle":"","parse-names":false,"suffix":""},{"dropping-particle":"","family":"Barton","given":"Ian P.","non-dropping-particle":"","parse-names":false,"suffix":""},{"dropping-particle":"","family":"Delmas","given":"Pierre","non-dropping-particle":"","parse-names":false,"suffix":""}],"container-title":"Journal of the American Geriatrics Society","id":"ITEM-1","issued":{"date-parts":[["2004"]]},"page":"1832-1839","title":"Safety and efficacy of risedronate in reducing fracture risk in osteoporotic women aged 80 and older: implications for the use of antiresorptive agents in the old and oldest old","type":"article-journal","volume":"52"},"uris":["http://www.mendeley.com/documents/?uuid=7d93b9ad-b347-4233-aadb-67c652469260"]},{"id":"ITEM-2","itemData":{"DOI":"10.1111/j.1532-5415.2009.02673.x","ISBN":"0002-8614","ISSN":"00028614","PMID":"20070415","abstract":"OBJECTIVES: To determine the efficacy of once-yearly intravenous zoledronic acid (ZOL) 5 mg in reducing risk of clinical vertebral, nonvertebral, and any clinical fractures in elderly osteoporotic postmenopausal women. DESIGN: A post hoc subgroup analysis of pooled data from the Health Outcome and Reduced Incidence with Zoledronic Acid One Yearly (HORIZON) Pivotal Fracture Trial and the HORIZON Recurrent Fracture Trial. SETTING: Multicenter, randomized, double-blind, placebo-controlled trials. PARTICIPANTS: Postmenopausal women (aged &gt; or =75) with documented osteoporosis (T-score &lt; or =-2.5 at femoral neck or &gt;/=1 prevalent vertebral or hip fracture) or a recent hip fracture. INTERVENTION: Patients were randomized to receive an intravenous infusion of ZOL 5 mg (n=1,961) or placebo (n=1,926) at baseline and 12 and 24 months. MEASUREMENTS: Primary endpoints were incidence of clinical vertebral and nonvertebral and any clinical fracture after treatment. RESULTS: At 3 years, incidence of any clinical, clinical vertebral, and nonvertebral fracture were significantly lower in the ZOL group than in the placebo group (10.8% vs 16.6%, 1.1% vs 3.7%, and 9.9% vs 13.7%, respectively) (hazard ratio (HR)=0.65, 95% confidence interval (CI)=0.54-0.78, P&lt;.001; HR=0.34, 95% CI=0.21-0.55, P&lt;.001; and HR=0.73, 95% CI=0.60-0.90, P=.002, respectively). The incidence of hip fracture was lower with ZOL but did not reach statistical significance. The incidence rate of postdose adverse events were higher with ZOL, although the rate of serious adverse events and deaths was comparable between the two groups. CONCLUSION: Once-yearly intravenous ZOL 5 mg was associated with a significant reduction in the risk of new clinical fractures (vertebral and nonvertebral) in elderly postmenopausal women with osteroporosis.","author":[{"dropping-particle":"","family":"Boonen","given":"Steven","non-dropping-particle":"","parse-names":false,"suffix":""},{"dropping-particle":"","family":"Black","given":"Dennis M.","non-dropping-particle":"","parse-names":false,"suffix":""},{"dropping-particle":"","family":"Colón-Emeric","given":"Cathleen S.","non-dropping-particle":"","parse-names":false,"suffix":""},{"dropping-particle":"","family":"Eastell","given":"Richard","non-dropping-particle":"","parse-names":false,"suffix":""},{"dropping-particle":"","family":"Magaziner","given":"Jay S.","non-dropping-particle":"","parse-names":false,"suffix":""},{"dropping-particle":"","family":"Eriksen","given":"Erik Fink","non-dropping-particle":"","parse-names":false,"suffix":""},{"dropping-particle":"","family":"Mesenbrink","given":"Peter","non-dropping-particle":"","parse-names":false,"suffix":""},{"dropping-particle":"","family":"Haentjens","given":"Patrick","non-dropping-particle":"","parse-names":false,"suffix":""},{"dropping-particle":"","family":"Lyles","given":"Kenneth W.","non-dropping-particle":"","parse-names":false,"suffix":""}],"container-title":"Journal of the American Geriatrics Society","id":"ITEM-2","issued":{"date-parts":[["2010"]]},"page":"292-299","title":"Efficacy and safety of a once-yearly intravenous zoledronic acid 5 mg for fracture prevention in elderly postmenopausal women with osteoporosis aged 75 and older","type":"article-journal","volume":"58"},"uris":["http://www.mendeley.com/documents/?uuid=76eed159-d700-4a45-b8a4-1287393e6bd3"]}],"mendeley":{"formattedCitation":"&lt;sup&gt;&lt;sup&gt;32&lt;/sup&gt;,&lt;sup&gt;33&lt;/sup&gt;&lt;/sup&gt;","plainTextFormattedCitation":"32,33","previouslyFormattedCitation":"&lt;sup&gt;&lt;sup&gt;32&lt;/sup&gt;,&lt;sup&gt;33&lt;/sup&gt;&lt;/sup&gt;"},"properties":{"noteIndex":0},"schema":"https://github.com/citation-style-language/schema/raw/master/csl-citation.json"}</w:instrText>
      </w:r>
      <w:r w:rsidR="003F0DC2" w:rsidRPr="007B140B">
        <w:rPr>
          <w:rFonts w:ascii="Times New Roman" w:hAnsi="Times New Roman" w:cs="Times New Roman"/>
          <w:sz w:val="24"/>
          <w:szCs w:val="24"/>
          <w:lang w:val="en-US"/>
        </w:rPr>
        <w:fldChar w:fldCharType="separate"/>
      </w:r>
      <w:r w:rsidR="007B73F8" w:rsidRPr="007B73F8">
        <w:rPr>
          <w:rFonts w:ascii="Times New Roman" w:hAnsi="Times New Roman" w:cs="Times New Roman"/>
          <w:noProof/>
          <w:sz w:val="24"/>
          <w:szCs w:val="24"/>
          <w:vertAlign w:val="superscript"/>
          <w:lang w:val="en-US"/>
        </w:rPr>
        <w:t>32,33</w:t>
      </w:r>
      <w:r w:rsidR="003F0DC2" w:rsidRPr="007B140B">
        <w:rPr>
          <w:rFonts w:ascii="Times New Roman" w:hAnsi="Times New Roman" w:cs="Times New Roman"/>
          <w:sz w:val="24"/>
          <w:szCs w:val="24"/>
          <w:lang w:val="en-US"/>
        </w:rPr>
        <w:fldChar w:fldCharType="end"/>
      </w:r>
      <w:r w:rsidR="003F0DC2" w:rsidRPr="007B140B">
        <w:rPr>
          <w:rFonts w:ascii="Times New Roman" w:hAnsi="Times New Roman" w:cs="Times New Roman"/>
          <w:sz w:val="24"/>
          <w:szCs w:val="24"/>
          <w:lang w:val="en-US"/>
        </w:rPr>
        <w:t xml:space="preserve"> Lo</w:t>
      </w:r>
      <w:r w:rsidR="00DC5D95" w:rsidRPr="007B140B">
        <w:rPr>
          <w:rFonts w:ascii="Times New Roman" w:hAnsi="Times New Roman" w:cs="Times New Roman"/>
          <w:sz w:val="24"/>
          <w:szCs w:val="24"/>
          <w:lang w:val="en-US"/>
        </w:rPr>
        <w:t>w treatment rates of osteoporosis</w:t>
      </w:r>
      <w:r w:rsidR="003F0DC2" w:rsidRPr="007B140B">
        <w:rPr>
          <w:rFonts w:ascii="Times New Roman" w:hAnsi="Times New Roman" w:cs="Times New Roman"/>
          <w:sz w:val="24"/>
          <w:szCs w:val="24"/>
          <w:lang w:val="en-US"/>
        </w:rPr>
        <w:t xml:space="preserve"> have also been observed i</w:t>
      </w:r>
      <w:r w:rsidR="00DC5D95" w:rsidRPr="007B140B">
        <w:rPr>
          <w:rFonts w:ascii="Times New Roman" w:hAnsi="Times New Roman" w:cs="Times New Roman"/>
          <w:sz w:val="24"/>
          <w:szCs w:val="24"/>
          <w:lang w:val="en-US"/>
        </w:rPr>
        <w:t>n the oldest age groups</w:t>
      </w:r>
      <w:r w:rsidR="003F0DC2" w:rsidRPr="007B140B">
        <w:rPr>
          <w:rFonts w:ascii="Times New Roman" w:hAnsi="Times New Roman" w:cs="Times New Roman"/>
          <w:sz w:val="24"/>
          <w:szCs w:val="24"/>
          <w:lang w:val="en-US"/>
        </w:rPr>
        <w:t>.</w:t>
      </w:r>
      <w:r w:rsidR="004454A5" w:rsidRPr="007B140B">
        <w:rPr>
          <w:rFonts w:ascii="Times New Roman" w:hAnsi="Times New Roman" w:cs="Times New Roman"/>
          <w:sz w:val="24"/>
          <w:szCs w:val="24"/>
          <w:lang w:val="en-US"/>
        </w:rPr>
        <w:fldChar w:fldCharType="begin" w:fldLock="1"/>
      </w:r>
      <w:r w:rsidR="00D3588A">
        <w:rPr>
          <w:rFonts w:ascii="Times New Roman" w:hAnsi="Times New Roman" w:cs="Times New Roman"/>
          <w:sz w:val="24"/>
          <w:szCs w:val="24"/>
          <w:lang w:val="en-US"/>
        </w:rPr>
        <w:instrText>ADDIN CSL_CITATION {"citationItems":[{"id":"ITEM-1","itemData":{"DOI":"10.1007/s11657-009-0022-z","ISBN":"1862-3522","ISSN":"18623522","PMID":"20234854","abstract":"SUMMARY: We analysed data from elderly people registered in the Swedish Prescribed Drug Register to investigate whether age is associated with use of osteoporosis drugs in a nationwide population. Our results indicate an undertreatment of osteoporosis, particularly with bisphosphonates, in the oldest old in Sweden. INTRODUCTION: The aim of this study was to investigate whether age is associated with use of osteoporosis drugs in a large population of older people. METHODS: We analysed data on age, sex, type of residential area (urban/rural) and dispensed drugs for people aged &gt;/=75 years registered in the Swedish Prescribed Drug Register from October to December 2005 (n = 731,105). Multivariate logistic regression was used to analyse whether age was associated with use of osteoporosis drugs, after adjustment for type of residential area and number of other drugs (a proxy for comorbidity). RESULTS: Osteoporosis drugs were used by 16.1% of the women and 3.4% of the men. The probability of use of bisphosphonates declined with increasing age [ORwomen = 0.36 (95% CI 0.34-0.38) and ORmen = 0.46 (95% CI 0.37-0.56) for age &gt;/=90 years vs. 75-79 years]. Raloxifene was also negatively associated with age. Calcium + vitamin D supplements, however, showed a divergent pattern regarding age. In women, the lowest likelihood of use of calcium + vitamin D supplements occurred in the oldest old (&gt;/=90 years). CONCLUSIONS: Our results indicate an undertreatment of osteoporosis, particularly with bisphosphonates, in the oldest old in Sweden. Future research is needed for understanding the mechanisms behind this age effect.","author":[{"dropping-particle":"","family":"Johnell","given":"Kristina","non-dropping-particle":"","parse-names":false,"suffix":""},{"dropping-particle":"","family":"Fastbom","given":"Johan","non-dropping-particle":"","parse-names":false,"suffix":""}],"container-title":"Archives of Osteoporosis","id":"ITEM-1","issued":{"date-parts":[["2009"]]},"page":"17-23","title":"Undertreatment of osteoporosis in the oldest old? A nationwide study of over 700,000 older people","type":"article-journal","volume":"4"},"uris":["http://www.mendeley.com/documents/?uuid=734fd956-7cdc-4ba3-8068-0251f5b86213"]}],"mendeley":{"formattedCitation":"&lt;sup&gt;&lt;sup&gt;34&lt;/sup&gt;&lt;/sup&gt;","plainTextFormattedCitation":"34","previouslyFormattedCitation":"&lt;sup&gt;&lt;sup&gt;34&lt;/sup&gt;&lt;/sup&gt;"},"properties":{"noteIndex":0},"schema":"https://github.com/citation-style-language/schema/raw/master/csl-citation.json"}</w:instrText>
      </w:r>
      <w:r w:rsidR="004454A5" w:rsidRPr="007B140B">
        <w:rPr>
          <w:rFonts w:ascii="Times New Roman" w:hAnsi="Times New Roman" w:cs="Times New Roman"/>
          <w:sz w:val="24"/>
          <w:szCs w:val="24"/>
          <w:lang w:val="en-US"/>
        </w:rPr>
        <w:fldChar w:fldCharType="separate"/>
      </w:r>
      <w:r w:rsidR="007B73F8" w:rsidRPr="007B73F8">
        <w:rPr>
          <w:rFonts w:ascii="Times New Roman" w:hAnsi="Times New Roman" w:cs="Times New Roman"/>
          <w:noProof/>
          <w:sz w:val="24"/>
          <w:szCs w:val="24"/>
          <w:vertAlign w:val="superscript"/>
          <w:lang w:val="en-US"/>
        </w:rPr>
        <w:t>34</w:t>
      </w:r>
      <w:r w:rsidR="004454A5" w:rsidRPr="007B140B">
        <w:rPr>
          <w:rFonts w:ascii="Times New Roman" w:hAnsi="Times New Roman" w:cs="Times New Roman"/>
          <w:sz w:val="24"/>
          <w:szCs w:val="24"/>
          <w:lang w:val="en-US"/>
        </w:rPr>
        <w:fldChar w:fldCharType="end"/>
      </w:r>
      <w:r w:rsidR="00DC5D95" w:rsidRPr="007B140B">
        <w:rPr>
          <w:rFonts w:ascii="Times New Roman" w:hAnsi="Times New Roman" w:cs="Times New Roman"/>
          <w:sz w:val="24"/>
          <w:szCs w:val="24"/>
          <w:lang w:val="en-US"/>
        </w:rPr>
        <w:t xml:space="preserve"> </w:t>
      </w:r>
      <w:r w:rsidR="00F14D88" w:rsidRPr="007B140B">
        <w:rPr>
          <w:rFonts w:ascii="Times New Roman" w:hAnsi="Times New Roman" w:cs="Times New Roman"/>
          <w:sz w:val="24"/>
          <w:szCs w:val="24"/>
          <w:lang w:val="en-US"/>
        </w:rPr>
        <w:t>Muscle strength is included as an explanatory outcom</w:t>
      </w:r>
      <w:r w:rsidR="007A4234" w:rsidRPr="007B140B">
        <w:rPr>
          <w:rFonts w:ascii="Times New Roman" w:hAnsi="Times New Roman" w:cs="Times New Roman"/>
          <w:sz w:val="24"/>
          <w:szCs w:val="24"/>
          <w:lang w:val="en-US"/>
        </w:rPr>
        <w:t xml:space="preserve">e </w:t>
      </w:r>
      <w:r w:rsidR="003B60BE" w:rsidRPr="007B140B">
        <w:rPr>
          <w:rFonts w:ascii="Times New Roman" w:hAnsi="Times New Roman" w:cs="Times New Roman"/>
          <w:sz w:val="24"/>
          <w:szCs w:val="24"/>
          <w:lang w:val="en-US"/>
        </w:rPr>
        <w:t xml:space="preserve">because </w:t>
      </w:r>
      <w:r w:rsidR="00AD6A64">
        <w:rPr>
          <w:rFonts w:ascii="Times New Roman" w:hAnsi="Times New Roman" w:cs="Times New Roman"/>
          <w:sz w:val="24"/>
          <w:szCs w:val="24"/>
          <w:lang w:val="en-US"/>
        </w:rPr>
        <w:t>this</w:t>
      </w:r>
      <w:r w:rsidR="00AD6A64" w:rsidRPr="007B140B">
        <w:rPr>
          <w:rFonts w:ascii="Times New Roman" w:hAnsi="Times New Roman" w:cs="Times New Roman"/>
          <w:sz w:val="24"/>
          <w:szCs w:val="24"/>
          <w:lang w:val="en-US"/>
        </w:rPr>
        <w:t xml:space="preserve"> </w:t>
      </w:r>
      <w:r w:rsidR="003B60BE" w:rsidRPr="007B140B">
        <w:rPr>
          <w:rFonts w:ascii="Times New Roman" w:hAnsi="Times New Roman" w:cs="Times New Roman"/>
          <w:sz w:val="24"/>
          <w:szCs w:val="24"/>
          <w:lang w:val="en-US"/>
        </w:rPr>
        <w:t>is</w:t>
      </w:r>
      <w:r w:rsidR="007A4234" w:rsidRPr="007B140B">
        <w:rPr>
          <w:rFonts w:ascii="Times New Roman" w:hAnsi="Times New Roman" w:cs="Times New Roman"/>
          <w:sz w:val="24"/>
          <w:szCs w:val="24"/>
          <w:lang w:val="en-US"/>
        </w:rPr>
        <w:t xml:space="preserve"> a possible mechanism for a</w:t>
      </w:r>
      <w:r w:rsidR="00F14D88" w:rsidRPr="007B140B">
        <w:rPr>
          <w:rFonts w:ascii="Times New Roman" w:hAnsi="Times New Roman" w:cs="Times New Roman"/>
          <w:sz w:val="24"/>
          <w:szCs w:val="24"/>
          <w:lang w:val="en-US"/>
        </w:rPr>
        <w:t xml:space="preserve"> beneficial effect of zoledronic acid on falls. </w:t>
      </w:r>
      <w:r w:rsidR="00AA5A55">
        <w:rPr>
          <w:rFonts w:ascii="Times New Roman" w:hAnsi="Times New Roman" w:cs="Times New Roman"/>
          <w:sz w:val="24"/>
          <w:szCs w:val="24"/>
          <w:lang w:val="en-US"/>
        </w:rPr>
        <w:t>Such a</w:t>
      </w:r>
      <w:r w:rsidR="00AA5A55" w:rsidRPr="007B140B">
        <w:rPr>
          <w:rFonts w:ascii="Times New Roman" w:hAnsi="Times New Roman" w:cs="Times New Roman"/>
          <w:sz w:val="24"/>
          <w:szCs w:val="24"/>
          <w:lang w:val="en-US"/>
        </w:rPr>
        <w:t xml:space="preserve"> </w:t>
      </w:r>
      <w:r w:rsidR="00F14D88" w:rsidRPr="007B140B">
        <w:rPr>
          <w:rFonts w:ascii="Times New Roman" w:hAnsi="Times New Roman" w:cs="Times New Roman"/>
          <w:sz w:val="24"/>
          <w:szCs w:val="24"/>
          <w:lang w:val="en-US"/>
        </w:rPr>
        <w:t>mechanism is supported by the known crosstalk between osteocytes and muscle cells, which is mediated by pathways influenced by bone-</w:t>
      </w:r>
      <w:r w:rsidR="003B60BE" w:rsidRPr="007B140B">
        <w:rPr>
          <w:rFonts w:ascii="Times New Roman" w:hAnsi="Times New Roman" w:cs="Times New Roman"/>
          <w:sz w:val="24"/>
          <w:szCs w:val="24"/>
          <w:lang w:val="en-US"/>
        </w:rPr>
        <w:t>protective</w:t>
      </w:r>
      <w:r w:rsidR="00F14D88" w:rsidRPr="007B140B">
        <w:rPr>
          <w:rFonts w:ascii="Times New Roman" w:hAnsi="Times New Roman" w:cs="Times New Roman"/>
          <w:sz w:val="24"/>
          <w:szCs w:val="24"/>
          <w:lang w:val="en-US"/>
        </w:rPr>
        <w:t xml:space="preserve"> agents.</w:t>
      </w:r>
      <w:r w:rsidR="00B95373" w:rsidRPr="007B140B">
        <w:rPr>
          <w:rFonts w:ascii="Times New Roman" w:hAnsi="Times New Roman" w:cs="Times New Roman"/>
          <w:sz w:val="24"/>
          <w:szCs w:val="24"/>
          <w:lang w:val="en-US"/>
        </w:rPr>
        <w:fldChar w:fldCharType="begin" w:fldLock="1"/>
      </w:r>
      <w:r w:rsidR="00B04D41">
        <w:rPr>
          <w:rFonts w:ascii="Times New Roman" w:hAnsi="Times New Roman" w:cs="Times New Roman"/>
          <w:sz w:val="24"/>
          <w:szCs w:val="24"/>
          <w:lang w:val="en-US"/>
        </w:rPr>
        <w:instrText>ADDIN CSL_CITATION {"citationItems":[{"id":"ITEM-1","itemData":{"DOI":"10.1002/jbm4.10015","ISSN":"2473-4039","abstract":"We examined the effects of osteocyte secreted factors on myogenesis and muscle function. MLO-Y4 osteocyte-like cell conditioned media (CM) (10%) increased ex vivo soleus muscle contractile force by ~25%. MLO-Y4 and primary osteocyte CM (1-10%) stimulated myogenic differentiation of C2C12 myoblasts, but 10% osteoblast CMs did not enhance C2C12 cell differentiation. Since WNT3a and WNT1 are secreted by osteocytes, and the expression level of Wnt3a is increased in MLO-Y4 cells by fluid flow shear stress, both were compared, showing WNT3a more potent than WNT1 in inducing myogenesis. Treatment of C2C12 myoblasts with WNT3a at concentrations as low as 0.5ng/mL mirrored the effects of both primary osteocyte and MLO-Y4 CM by inducing nuclear translocation of beta-catenin with myogenic differentiation, suggesting that Wnts might be potential factors secreted by osteocytes that signal to muscle cells. Knocking down Wnt3a in MLO-Y4 osteocytes inhibited the effect of CM on C2C12 myogenic differentiation. Sclerostin (100ng/mL) inhibited both the effects of MLO-Y4 CM and WNT3a on C2C12 cell differentiation. RT-PCR array results supported the activation of the Wnt/beta-catenin pathway by MLO-Y4 CM and WNT3a. These results were confirmed by qPCR showing up-regulation of myogenic markers and two Wnt/beta-catenin downstream genes, Numb and Flh1. We postulated that MLO-Y4 CM/WNT3a could modulate intracellular calcium homeostasis as the trigger mechanism for the enhanced myogenesis and contractile force. MLO-Y4 CM and WNT3a increased caffeine-induced Ca(2+) release from the sarcoplasmic reticulum (SR) of C2C12 myotubes and the expression of genes directly associated with intracellular Ca(2+) signaling and homeostasis. Together, these data show that in vitro and ex vivo, osteocytes can stimulate myogenesis and enhance muscle contractile function and suggest that Wnts could be mediators of bone to muscle signaling, likely via modulation of intracellular Ca(2+) signaling and the Wnt/beta-Catenin pathway.","author":[{"dropping-particle":"","family":"Huang","given":"Jian","non-dropping-particle":"","parse-names":false,"suffix":""},{"dropping-particle":"","family":"Romero-Suarez","given":"Sandra","non-dropping-particle":"","parse-names":false,"suffix":""},{"dropping-particle":"","family":"Lara","given":"Nuria","non-dropping-particle":"","parse-names":false,"suffix":""},{"dropping-particle":"","family":"Mo","given":"Chenglin","non-dropping-particle":"","parse-names":false,"suffix":""},{"dropping-particle":"","family":"Kaja","given":"Simon","non-dropping-particle":"","parse-names":false,"suffix":""},{"dropping-particle":"","family":"Brotto","given":"Leticia","non-dropping-particle":"","parse-names":false,"suffix":""},{"dropping-particle":"","family":"Dallas","given":"Sarah L","non-dropping-particle":"","parse-names":false,"suffix":""},{"dropping-particle":"","family":"Johnson","given":"Mark L","non-dropping-particle":"","parse-names":false,"suffix":""},{"dropping-particle":"","family":"Jähn","given":"Katharina","non-dropping-particle":"","parse-names":false,"suffix":""},{"dropping-particle":"","family":"Bonewald","given":"Lynda F","non-dropping-particle":"","parse-names":false,"suffix":""},{"dropping-particle":"","family":"Brotto","given":"Marco","non-dropping-particle":"","parse-names":false,"suffix":""}],"container-title":"JBMR Plus","id":"ITEM-1","issue":"2","issued":{"date-parts":[["2017"]]},"page":"86-100","title":"Crosstalk Between MLO-Y4 Osteocytes and C2C12 Muscle Cells Is Mediated by the Wnt/β-Catenin Pathway","type":"article-journal","volume":"1"},"uris":["http://www.mendeley.com/documents/?uuid=7a9df813-4228-4848-8f9d-65ee4ad6b892"]}],"mendeley":{"formattedCitation":"&lt;sup&gt;&lt;sup&gt;35&lt;/sup&gt;&lt;/sup&gt;","plainTextFormattedCitation":"35","previouslyFormattedCitation":"&lt;sup&gt;&lt;sup&gt;35&lt;/sup&gt;&lt;/sup&gt;"},"properties":{"noteIndex":0},"schema":"https://github.com/citation-style-language/schema/raw/master/csl-citation.json"}</w:instrText>
      </w:r>
      <w:r w:rsidR="00B95373" w:rsidRPr="007B140B">
        <w:rPr>
          <w:rFonts w:ascii="Times New Roman" w:hAnsi="Times New Roman" w:cs="Times New Roman"/>
          <w:sz w:val="24"/>
          <w:szCs w:val="24"/>
          <w:lang w:val="en-US"/>
        </w:rPr>
        <w:fldChar w:fldCharType="separate"/>
      </w:r>
      <w:r w:rsidR="00D858E3" w:rsidRPr="00D858E3">
        <w:rPr>
          <w:rFonts w:ascii="Times New Roman" w:hAnsi="Times New Roman" w:cs="Times New Roman"/>
          <w:noProof/>
          <w:sz w:val="24"/>
          <w:szCs w:val="24"/>
          <w:vertAlign w:val="superscript"/>
          <w:lang w:val="en-US"/>
        </w:rPr>
        <w:t>35</w:t>
      </w:r>
      <w:r w:rsidR="00B95373" w:rsidRPr="007B140B">
        <w:rPr>
          <w:rFonts w:ascii="Times New Roman" w:hAnsi="Times New Roman" w:cs="Times New Roman"/>
          <w:sz w:val="24"/>
          <w:szCs w:val="24"/>
          <w:lang w:val="en-US"/>
        </w:rPr>
        <w:fldChar w:fldCharType="end"/>
      </w:r>
      <w:r w:rsidR="007A0B74" w:rsidRPr="007B140B">
        <w:rPr>
          <w:rFonts w:ascii="Times New Roman" w:hAnsi="Times New Roman" w:cs="Times New Roman"/>
          <w:sz w:val="24"/>
          <w:szCs w:val="24"/>
          <w:lang w:val="en-US"/>
        </w:rPr>
        <w:t xml:space="preserve"> Height </w:t>
      </w:r>
      <w:r w:rsidR="00546161" w:rsidRPr="007B140B">
        <w:rPr>
          <w:rFonts w:ascii="Times New Roman" w:hAnsi="Times New Roman" w:cs="Times New Roman"/>
          <w:sz w:val="24"/>
          <w:szCs w:val="24"/>
          <w:lang w:val="en-US"/>
        </w:rPr>
        <w:t>loss was selected because it</w:t>
      </w:r>
      <w:r w:rsidR="00E1620D" w:rsidRPr="007B140B">
        <w:rPr>
          <w:rFonts w:ascii="Times New Roman" w:hAnsi="Times New Roman" w:cs="Times New Roman"/>
          <w:sz w:val="24"/>
          <w:szCs w:val="24"/>
          <w:lang w:val="en-US"/>
        </w:rPr>
        <w:t xml:space="preserve"> </w:t>
      </w:r>
      <w:r w:rsidR="0050022B">
        <w:rPr>
          <w:rFonts w:ascii="Times New Roman" w:hAnsi="Times New Roman" w:cs="Times New Roman"/>
          <w:sz w:val="24"/>
          <w:szCs w:val="24"/>
          <w:lang w:val="en-US"/>
        </w:rPr>
        <w:t>reflects</w:t>
      </w:r>
      <w:r w:rsidR="00546161" w:rsidRPr="007B140B">
        <w:rPr>
          <w:rFonts w:ascii="Times New Roman" w:hAnsi="Times New Roman" w:cs="Times New Roman"/>
          <w:sz w:val="24"/>
          <w:szCs w:val="24"/>
          <w:lang w:val="en-US"/>
        </w:rPr>
        <w:t xml:space="preserve"> </w:t>
      </w:r>
      <w:r w:rsidR="00E1620D" w:rsidRPr="007B140B">
        <w:rPr>
          <w:rFonts w:ascii="Times New Roman" w:hAnsi="Times New Roman" w:cs="Times New Roman"/>
          <w:sz w:val="24"/>
          <w:szCs w:val="24"/>
          <w:lang w:val="en-US"/>
        </w:rPr>
        <w:t xml:space="preserve">efficacy </w:t>
      </w:r>
      <w:r w:rsidR="0050022B">
        <w:rPr>
          <w:rFonts w:ascii="Times New Roman" w:hAnsi="Times New Roman" w:cs="Times New Roman"/>
          <w:sz w:val="24"/>
          <w:szCs w:val="24"/>
          <w:lang w:val="en-US"/>
        </w:rPr>
        <w:t>in reducing</w:t>
      </w:r>
      <w:r w:rsidR="0050022B" w:rsidRPr="007B140B">
        <w:rPr>
          <w:rFonts w:ascii="Times New Roman" w:hAnsi="Times New Roman" w:cs="Times New Roman"/>
          <w:sz w:val="24"/>
          <w:szCs w:val="24"/>
          <w:lang w:val="en-US"/>
        </w:rPr>
        <w:t xml:space="preserve"> </w:t>
      </w:r>
      <w:r w:rsidR="00E1620D" w:rsidRPr="007B140B">
        <w:rPr>
          <w:rFonts w:ascii="Times New Roman" w:hAnsi="Times New Roman" w:cs="Times New Roman"/>
          <w:sz w:val="24"/>
          <w:szCs w:val="24"/>
          <w:lang w:val="en-US"/>
        </w:rPr>
        <w:t>vertebral fractures</w:t>
      </w:r>
      <w:r w:rsidR="007E2F9F" w:rsidRPr="007B140B">
        <w:rPr>
          <w:rFonts w:ascii="Times New Roman" w:hAnsi="Times New Roman" w:cs="Times New Roman"/>
          <w:sz w:val="24"/>
          <w:szCs w:val="24"/>
          <w:lang w:val="en-US"/>
        </w:rPr>
        <w:t xml:space="preserve">. </w:t>
      </w:r>
      <w:r w:rsidR="007A0B74" w:rsidRPr="007B140B">
        <w:rPr>
          <w:rFonts w:ascii="Times New Roman" w:hAnsi="Times New Roman" w:cs="Times New Roman"/>
          <w:sz w:val="24"/>
          <w:szCs w:val="24"/>
          <w:lang w:val="en-US"/>
        </w:rPr>
        <w:t>Height loss</w:t>
      </w:r>
      <w:r w:rsidR="007A4234" w:rsidRPr="007B140B">
        <w:rPr>
          <w:rFonts w:ascii="Times New Roman" w:hAnsi="Times New Roman" w:cs="Times New Roman"/>
          <w:sz w:val="24"/>
          <w:szCs w:val="24"/>
          <w:lang w:val="en-US"/>
        </w:rPr>
        <w:t xml:space="preserve"> was designated as an exploratory outcome because it will </w:t>
      </w:r>
      <w:r w:rsidR="003F0DC2" w:rsidRPr="007B140B">
        <w:rPr>
          <w:rFonts w:ascii="Times New Roman" w:hAnsi="Times New Roman" w:cs="Times New Roman"/>
          <w:sz w:val="24"/>
          <w:szCs w:val="24"/>
          <w:lang w:val="en-US"/>
        </w:rPr>
        <w:t xml:space="preserve">only </w:t>
      </w:r>
      <w:r w:rsidR="007A4234" w:rsidRPr="007B140B">
        <w:rPr>
          <w:rFonts w:ascii="Times New Roman" w:hAnsi="Times New Roman" w:cs="Times New Roman"/>
          <w:sz w:val="24"/>
          <w:szCs w:val="24"/>
          <w:lang w:val="en-US"/>
        </w:rPr>
        <w:t>be asse</w:t>
      </w:r>
      <w:r w:rsidR="003F0DC2" w:rsidRPr="007B140B">
        <w:rPr>
          <w:rFonts w:ascii="Times New Roman" w:hAnsi="Times New Roman" w:cs="Times New Roman"/>
          <w:sz w:val="24"/>
          <w:szCs w:val="24"/>
          <w:lang w:val="en-US"/>
        </w:rPr>
        <w:t xml:space="preserve">ssed halfway through the </w:t>
      </w:r>
      <w:r w:rsidR="00BF7AE6">
        <w:rPr>
          <w:rFonts w:ascii="Times New Roman" w:hAnsi="Times New Roman" w:cs="Times New Roman"/>
          <w:sz w:val="24"/>
          <w:szCs w:val="24"/>
          <w:lang w:val="en-US"/>
        </w:rPr>
        <w:t>Main Phase</w:t>
      </w:r>
      <w:r w:rsidR="006F109D">
        <w:rPr>
          <w:rFonts w:ascii="Times New Roman" w:hAnsi="Times New Roman" w:cs="Times New Roman"/>
          <w:sz w:val="24"/>
          <w:szCs w:val="24"/>
          <w:lang w:val="en-US"/>
        </w:rPr>
        <w:t xml:space="preserve"> but</w:t>
      </w:r>
      <w:r w:rsidR="003F0DC2" w:rsidRPr="007B140B">
        <w:rPr>
          <w:rFonts w:ascii="Times New Roman" w:hAnsi="Times New Roman" w:cs="Times New Roman"/>
          <w:sz w:val="24"/>
          <w:szCs w:val="24"/>
          <w:lang w:val="en-US"/>
        </w:rPr>
        <w:t xml:space="preserve"> </w:t>
      </w:r>
      <w:r w:rsidR="00316ED6" w:rsidRPr="007B140B">
        <w:rPr>
          <w:rFonts w:ascii="Times New Roman" w:hAnsi="Times New Roman" w:cs="Times New Roman"/>
          <w:sz w:val="24"/>
          <w:szCs w:val="24"/>
          <w:lang w:val="en-US"/>
        </w:rPr>
        <w:t xml:space="preserve">not </w:t>
      </w:r>
      <w:r w:rsidR="007A4234" w:rsidRPr="007B140B">
        <w:rPr>
          <w:rFonts w:ascii="Times New Roman" w:hAnsi="Times New Roman" w:cs="Times New Roman"/>
          <w:sz w:val="24"/>
          <w:szCs w:val="24"/>
          <w:lang w:val="en-US"/>
        </w:rPr>
        <w:t>at the end</w:t>
      </w:r>
      <w:r w:rsidR="00E1620D" w:rsidRPr="007B140B">
        <w:rPr>
          <w:rFonts w:ascii="Times New Roman" w:hAnsi="Times New Roman" w:cs="Times New Roman"/>
          <w:sz w:val="24"/>
          <w:szCs w:val="24"/>
          <w:lang w:val="en-US"/>
        </w:rPr>
        <w:t>. A reduction in height loss with zoledronic acid was observed</w:t>
      </w:r>
      <w:r w:rsidR="000C5F39" w:rsidRPr="007B140B">
        <w:rPr>
          <w:rFonts w:ascii="Times New Roman" w:hAnsi="Times New Roman" w:cs="Times New Roman"/>
          <w:sz w:val="24"/>
          <w:szCs w:val="24"/>
          <w:lang w:val="en-US"/>
        </w:rPr>
        <w:t xml:space="preserve"> in two</w:t>
      </w:r>
      <w:r w:rsidR="00E1620D" w:rsidRPr="007B140B">
        <w:rPr>
          <w:rFonts w:ascii="Times New Roman" w:hAnsi="Times New Roman" w:cs="Times New Roman"/>
          <w:sz w:val="24"/>
          <w:szCs w:val="24"/>
          <w:lang w:val="en-US"/>
        </w:rPr>
        <w:t xml:space="preserve"> previous trials</w:t>
      </w:r>
      <w:r w:rsidR="000C5F39" w:rsidRPr="007B140B">
        <w:rPr>
          <w:rFonts w:ascii="Times New Roman" w:hAnsi="Times New Roman" w:cs="Times New Roman"/>
          <w:sz w:val="24"/>
          <w:szCs w:val="24"/>
          <w:lang w:val="en-US"/>
        </w:rPr>
        <w:t xml:space="preserve"> of zoledronic acid</w:t>
      </w:r>
      <w:r w:rsidR="00E1620D" w:rsidRPr="007B140B">
        <w:rPr>
          <w:rFonts w:ascii="Times New Roman" w:hAnsi="Times New Roman" w:cs="Times New Roman"/>
          <w:sz w:val="24"/>
          <w:szCs w:val="24"/>
          <w:lang w:val="en-US"/>
        </w:rPr>
        <w:t>.</w:t>
      </w:r>
      <w:r w:rsidR="00E1620D" w:rsidRPr="007B140B">
        <w:rPr>
          <w:rFonts w:ascii="Times New Roman" w:hAnsi="Times New Roman" w:cs="Times New Roman"/>
          <w:sz w:val="24"/>
          <w:szCs w:val="24"/>
          <w:lang w:val="en-US"/>
        </w:rPr>
        <w:fldChar w:fldCharType="begin" w:fldLock="1"/>
      </w:r>
      <w:r w:rsidR="00D2485C">
        <w:rPr>
          <w:rFonts w:ascii="Times New Roman" w:hAnsi="Times New Roman" w:cs="Times New Roman"/>
          <w:sz w:val="24"/>
          <w:szCs w:val="24"/>
          <w:lang w:val="en-US"/>
        </w:rPr>
        <w:instrText>ADDIN CSL_CITATION {"citationItems":[{"id":"ITEM-1","itemData":{"DOI":"10.1056/NEJMoa067312","author":[{"dropping-particle":"","family":"Black","given":"D M","non-dropping-particle":"","parse-names":false,"suffix":""},{"dropping-particle":"","family":"Delmas","given":"P D","non-dropping-particle":"","parse-names":false,"suffix":""},{"dropping-particle":"","family":"Eastell","given":"R","non-dropping-particle":"","parse-names":false,"suffix":""},{"dropping-particle":"","family":"Reid","given":"I R","non-dropping-particle":"","parse-names":false,"suffix":""},{"dropping-particle":"","family":"Boonen","given":"S","non-dropping-particle":"","parse-names":false,"suffix":""},{"dropping-particle":"","family":"Cauley","given":"J A","non-dropping-particle":"","parse-names":false,"suffix":""},{"dropping-particle":"","family":"Cosman","given":"F","non-dropping-particle":"","parse-names":false,"suffix":""},{"dropping-particle":"","family":"Lakatos","given":"P","non-dropping-particle":"","parse-names":false,"suffix":""},{"dropping-particle":"","family":"Leung","given":"P C","non-dropping-particle":"","parse-names":false,"suffix":""},{"dropping-particle":"","family":"Man","given":"Z","non-dropping-particle":"","parse-names":false,"suffix":""},{"dropping-particle":"","family":"Mautalen","given":"C","non-dropping-particle":"","parse-names":false,"suffix":""},{"dropping-particle":"","family":"Mesenbrink","given":"P","non-dropping-particle":"","parse-names":false,"suffix":""},{"dropping-particle":"","family":"Hu","given":"H","non-dropping-particle":"","parse-names":false,"suffix":""},{"dropping-particle":"","family":"Caminis","given":"J","non-dropping-particle":"","parse-names":false,"suffix":""},{"dropping-particle":"","family":"Tong","given":"K","non-dropping-particle":"","parse-names":false,"suffix":""},{"dropping-particle":"","family":"Rosario-Jansen","given":"T","non-dropping-particle":"","parse-names":false,"suffix":""},{"dropping-particle":"","family":"Krasnow","given":"J","non-dropping-particle":"","parse-names":false,"suffix":""},{"dropping-particle":"","family":"Hue","given":"T F","non-dropping-particle":"","parse-names":false,"suffix":""},{"dropping-particle":"","family":"Sellmeyer","given":"D","non-dropping-particle":"","parse-names":false,"suffix":""},{"dropping-particle":"","family":"Eriksen","given":"E F","non-dropping-particle":"","parse-names":false,"suffix":""},{"dropping-particle":"","family":"Cummings","given":"S R","non-dropping-particle":"","parse-names":false,"suffix":""}],"container-title":"N Engl J Med","id":"ITEM-1","issue":"18","issued":{"date-parts":[["2007"]]},"page":"1809-1822","title":"Once-yearly zoledronic acid for treatment of postmenopausal osteoporosis","type":"article-journal","volume":"356"},"uris":["http://www.mendeley.com/documents/?uuid=0f13fad4-b5f5-42f7-873f-7dd2216502be"]},{"id":"ITEM-2","itemData":{"DOI":"10.1056/NEJMoa1808082","ISSN":"0028-4793","author":[{"dropping-particle":"","family":"Reid","given":"Ian R.","non-dropping-particle":"","parse-names":false,"suffix":""},{"dropping-particle":"","family":"Horne","given":"Anne M.","non-dropping-particle":"","parse-names":false,"suffix":""},{"dropping-particle":"","family":"Mihov","given":"Borislav","non-dropping-particle":"","parse-names":false,"suffix":""},{"dropping-particle":"","family":"Stewart","given":"Angela","non-dropping-particle":"","parse-names":false,"suffix":""},{"dropping-particle":"","family":"Garratt","given":"Elizabeth","non-dropping-particle":"","parse-names":false,"suffix":""},{"dropping-particle":"","family":"Wong","given":"Sumwai","non-dropping-particle":"","parse-names":false,"suffix":""},{"dropping-particle":"","family":"Wiessing","given":"Katy R.","non-dropping-particle":"","parse-names":false,"suffix":""},{"dropping-particle":"","family":"Bolland","given":"Mark J.","non-dropping-particle":"","parse-names":false,"suffix":""},{"dropping-particle":"","family":"Bastin","given":"Sonja","non-dropping-particle":"","parse-names":false,"suffix":""},{"dropping-particle":"","family":"Gamble","given":"Gregory D.","non-dropping-particle":"","parse-names":false,"suffix":""}],"container-title":"New England Journal of Medicine","id":"ITEM-2","issue":"25","issued":{"date-parts":[["2018"]]},"page":"2407-2416","title":"Fracture prevention with zoledronate in older women with osteopenia","type":"article-journal","volume":"379"},"uris":["http://www.mendeley.com/documents/?uuid=69cbf6db-0dca-4f28-87bb-02a266b0d7ef"]}],"mendeley":{"formattedCitation":"&lt;sup&gt;&lt;sup&gt;19&lt;/sup&gt;,&lt;sup&gt;21&lt;/sup&gt;&lt;/sup&gt;","plainTextFormattedCitation":"19,21","previouslyFormattedCitation":"&lt;sup&gt;&lt;sup&gt;19&lt;/sup&gt;,&lt;sup&gt;21&lt;/sup&gt;&lt;/sup&gt;"},"properties":{"noteIndex":0},"schema":"https://github.com/citation-style-language/schema/raw/master/csl-citation.json"}</w:instrText>
      </w:r>
      <w:r w:rsidR="00E1620D" w:rsidRPr="007B140B">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19,21</w:t>
      </w:r>
      <w:r w:rsidR="00E1620D" w:rsidRPr="007B140B">
        <w:rPr>
          <w:rFonts w:ascii="Times New Roman" w:hAnsi="Times New Roman" w:cs="Times New Roman"/>
          <w:sz w:val="24"/>
          <w:szCs w:val="24"/>
          <w:lang w:val="en-US"/>
        </w:rPr>
        <w:fldChar w:fldCharType="end"/>
      </w:r>
      <w:r w:rsidR="00C2619C">
        <w:rPr>
          <w:rFonts w:ascii="Times New Roman" w:hAnsi="Times New Roman" w:cs="Times New Roman"/>
          <w:sz w:val="24"/>
          <w:szCs w:val="24"/>
          <w:lang w:val="en-US"/>
        </w:rPr>
        <w:t xml:space="preserve"> Health-related quality of life</w:t>
      </w:r>
      <w:r w:rsidR="0022088C">
        <w:rPr>
          <w:rFonts w:ascii="Times New Roman" w:hAnsi="Times New Roman" w:cs="Times New Roman"/>
          <w:sz w:val="24"/>
          <w:szCs w:val="24"/>
          <w:lang w:val="en-US"/>
        </w:rPr>
        <w:t xml:space="preserve"> will be used to assess whether participants </w:t>
      </w:r>
      <w:r w:rsidR="00E92103">
        <w:rPr>
          <w:rFonts w:ascii="Times New Roman" w:hAnsi="Times New Roman" w:cs="Times New Roman"/>
          <w:sz w:val="24"/>
          <w:szCs w:val="24"/>
          <w:lang w:val="en-US"/>
        </w:rPr>
        <w:t>perceive</w:t>
      </w:r>
      <w:r w:rsidR="0022088C">
        <w:rPr>
          <w:rFonts w:ascii="Times New Roman" w:hAnsi="Times New Roman" w:cs="Times New Roman"/>
          <w:sz w:val="24"/>
          <w:szCs w:val="24"/>
          <w:lang w:val="en-US"/>
        </w:rPr>
        <w:t xml:space="preserve"> </w:t>
      </w:r>
      <w:r w:rsidR="00867C5B">
        <w:rPr>
          <w:rFonts w:ascii="Times New Roman" w:hAnsi="Times New Roman" w:cs="Times New Roman"/>
          <w:sz w:val="24"/>
          <w:szCs w:val="24"/>
          <w:lang w:val="en-US"/>
        </w:rPr>
        <w:t xml:space="preserve">any </w:t>
      </w:r>
      <w:r w:rsidR="0022088C">
        <w:rPr>
          <w:rFonts w:ascii="Times New Roman" w:hAnsi="Times New Roman" w:cs="Times New Roman"/>
          <w:sz w:val="24"/>
          <w:szCs w:val="24"/>
          <w:lang w:val="en-US"/>
        </w:rPr>
        <w:t xml:space="preserve">health benefits from zoledronic acid treatment. </w:t>
      </w:r>
      <w:r w:rsidR="00E43EA1">
        <w:rPr>
          <w:rFonts w:ascii="Times New Roman" w:hAnsi="Times New Roman" w:cs="Times New Roman"/>
          <w:sz w:val="24"/>
          <w:szCs w:val="24"/>
          <w:lang w:val="en-US"/>
        </w:rPr>
        <w:t>H</w:t>
      </w:r>
      <w:r w:rsidR="00F257EC">
        <w:rPr>
          <w:rFonts w:ascii="Times New Roman" w:hAnsi="Times New Roman" w:cs="Times New Roman"/>
          <w:sz w:val="24"/>
          <w:szCs w:val="24"/>
          <w:lang w:val="en-US"/>
        </w:rPr>
        <w:t xml:space="preserve">ealth-related quality of life outcomes </w:t>
      </w:r>
      <w:r w:rsidR="007A265C">
        <w:rPr>
          <w:rFonts w:ascii="Times New Roman" w:hAnsi="Times New Roman" w:cs="Times New Roman"/>
          <w:sz w:val="24"/>
          <w:szCs w:val="24"/>
          <w:lang w:val="en-US"/>
        </w:rPr>
        <w:t>were</w:t>
      </w:r>
      <w:r w:rsidR="00F257EC">
        <w:rPr>
          <w:rFonts w:ascii="Times New Roman" w:hAnsi="Times New Roman" w:cs="Times New Roman"/>
          <w:sz w:val="24"/>
          <w:szCs w:val="24"/>
          <w:lang w:val="en-US"/>
        </w:rPr>
        <w:t xml:space="preserve"> specified in the protocol</w:t>
      </w:r>
      <w:r w:rsidR="00E43EA1" w:rsidRPr="00E43EA1">
        <w:rPr>
          <w:rFonts w:ascii="Times New Roman" w:hAnsi="Times New Roman" w:cs="Times New Roman"/>
          <w:sz w:val="24"/>
          <w:szCs w:val="24"/>
          <w:lang w:val="en-US"/>
        </w:rPr>
        <w:t xml:space="preserve"> </w:t>
      </w:r>
      <w:r w:rsidR="00E43EA1">
        <w:rPr>
          <w:rFonts w:ascii="Times New Roman" w:hAnsi="Times New Roman" w:cs="Times New Roman"/>
          <w:sz w:val="24"/>
          <w:szCs w:val="24"/>
          <w:lang w:val="en-US"/>
        </w:rPr>
        <w:t>of three previous trials of zoledronic acid.</w:t>
      </w:r>
      <w:r w:rsidR="00E43EA1">
        <w:rPr>
          <w:rFonts w:ascii="Times New Roman" w:hAnsi="Times New Roman" w:cs="Times New Roman"/>
          <w:sz w:val="24"/>
          <w:szCs w:val="24"/>
          <w:lang w:val="en-US"/>
        </w:rPr>
        <w:fldChar w:fldCharType="begin" w:fldLock="1"/>
      </w:r>
      <w:r w:rsidR="00E43EA1">
        <w:rPr>
          <w:rFonts w:ascii="Times New Roman" w:hAnsi="Times New Roman" w:cs="Times New Roman"/>
          <w:sz w:val="24"/>
          <w:szCs w:val="24"/>
          <w:lang w:val="en-US"/>
        </w:rPr>
        <w:instrText>ADDIN CSL_CITATION {"citationItems":[{"id":"ITEM-1","itemData":{"DOI":"10.1056/NEJMoa1808082","ISSN":"0028-4793","author":[{"dropping-particle":"","family":"Reid","given":"Ian R.","non-dropping-particle":"","parse-names":false,"suffix":""},{"dropping-particle":"","family":"Horne","given":"Anne M.","non-dropping-particle":"","parse-names":false,"suffix":""},{"dropping-particle":"","family":"Mihov","given":"Borislav","non-dropping-particle":"","parse-names":false,"suffix":""},{"dropping-particle":"","family":"Stewart","given":"Angela","non-dropping-particle":"","parse-names":false,"suffix":""},{"dropping-particle":"","family":"Garratt","given":"Elizabeth","non-dropping-particle":"","parse-names":false,"suffix":""},{"dropping-particle":"","family":"Wong","given":"Sumwai","non-dropping-particle":"","parse-names":false,"suffix":""},{"dropping-particle":"","family":"Wiessing","given":"Katy R.","non-dropping-particle":"","parse-names":false,"suffix":""},{"dropping-particle":"","family":"Bolland","given":"Mark J.","non-dropping-particle":"","parse-names":false,"suffix":""},{"dropping-particle":"","family":"Bastin","given":"Sonja","non-dropping-particle":"","parse-names":false,"suffix":""},{"dropping-particle":"","family":"Gamble","given":"Gregory D.","non-dropping-particle":"","parse-names":false,"suffix":""}],"container-title":"New England Journal of Medicine","id":"ITEM-1","issue":"25","issued":{"date-parts":[["2018"]]},"page":"2407-2416","title":"Fracture prevention with zoledronate in older women with osteopenia","type":"article-journal","volume":"379"},"uris":["http://www.mendeley.com/documents/?uuid=69cbf6db-0dca-4f28-87bb-02a266b0d7ef"]},{"id":"ITEM-2","itemData":{"DOI":"10.1056/NEJMoa074941","author":[{"dropping-particle":"","family":"Lyles","given":"Kenneth W.","non-dropping-particle":"","parse-names":false,"suffix":""},{"dropping-particle":"","family":"Colón-Emeric","given":"Cathleen S.","non-dropping-particle":"","parse-names":false,"suffix":""},{"dropping-particle":"","family":"Magaziner","given":"Jay S.","non-dropping-particle":"","parse-names":false,"suffix":""},{"dropping-particle":"","family":"Adachi","given":"Jonathan D.","non-dropping-particle":"","parse-names":false,"suffix":""},{"dropping-particle":"","family":"Pieper","given":"Carl F.","non-dropping-particle":"","parse-names":false,"suffix":""},{"dropping-particle":"","family":"Mautalen","given":"Carlos","non-dropping-particle":"","parse-names":false,"suffix":""},{"dropping-particle":"","family":"Hyldstrup","given":"Lars","non-dropping-particle":"","parse-names":false,"suffix":""},{"dropping-particle":"","family":"Recknor","given":"Chris","non-dropping-particle":"","parse-names":false,"suffix":""},{"dropping-particle":"","family":"Nordsletten","given":"Lars","non-dropping-particle":"","parse-names":false,"suffix":""},{"dropping-particle":"","family":"Moore","given":"Kathy A.","non-dropping-particle":"","parse-names":false,"suffix":""},{"dropping-particle":"","family":"Lavecchia","given":"Catherine","non-dropping-particle":"","parse-names":false,"suffix":""},{"dropping-particle":"","family":"Zhang","given":"Jie","non-dropping-particle":"","parse-names":false,"suffix":""},{"dropping-particle":"","family":"Mesenbrink","given":"Peter","non-dropping-particle":"","parse-names":false,"suffix":""},{"dropping-particle":"","family":"Hodgson","given":"Patricia K.","non-dropping-particle":"","parse-names":false,"suffix":""},{"dropping-particle":"","family":"Abrams","given":"Ken","non-dropping-particle":"","parse-names":false,"suffix":""},{"dropping-particle":"","family":"Orloff","given":"John J.","non-dropping-particle":"","parse-names":false,"suffix":""},{"dropping-particle":"","family":"Horowitz","given":"Zebulun","non-dropping-particle":"","parse-names":false,"suffix":""},{"dropping-particle":"","family":"Eriksen","given":"Erik Fink","non-dropping-particle":"","parse-names":false,"suffix":""},{"dropping-particle":"","family":"Boonen","given":"Steven","non-dropping-particle":"","parse-names":false,"suffix":""}],"container-title":"New England Journal of Medicine","id":"ITEM-2","issue":"18","issued":{"date-parts":[["2007"]]},"page":"1799-1809","title":"Zoledronic acid and clinical fractures and mortality after hip fracture","type":"article-journal","volume":"357"},"uris":["http://www.mendeley.com/documents/?uuid=fdc4eb3b-a387-4743-a233-680ae590c2cf"]},{"id":"ITEM-3","itemData":{"DOI":"10.1056/NEJMoa1204061","ISBN":"0028-4793","ISSN":"1533-4406","PMID":"23113482","abstract":"Fractures in men are a major health issue, and data on the antifracture efficacy of therapies for osteoporosis in men are limited. We studied the effect of zoledronic acid on fracture risk among men with osteoporosis.","author":[{"dropping-particle":"","family":"Boonen","given":"Steven","non-dropping-particle":"","parse-names":false,"suffix":""},{"dropping-particle":"","family":"Reginster","given":"Jean Yves","non-dropping-particle":"","parse-names":false,"suffix":""},{"dropping-particle":"","family":"Kaufman","given":"Jean Marc","non-dropping-particle":"","parse-names":false,"suffix":""},{"dropping-particle":"","family":"Lippuner","given":"Kurt","non-dropping-particle":"","parse-names":false,"suffix":""},{"dropping-particle":"","family":"Zanchetta","given":"Jose","non-dropping-particle":"","parse-names":false,"suffix":""},{"dropping-particle":"","family":"Langdahl","given":"Bente","non-dropping-particle":"","parse-names":false,"suffix":""},{"dropping-particle":"","family":"Rizzoli","given":"Rene","non-dropping-particle":"","parse-names":false,"suffix":""},{"dropping-particle":"","family":"Lipschitz","given":"Stanley","non-dropping-particle":"","parse-names":false,"suffix":""},{"dropping-particle":"","family":"Dimai","given":"Hans Peter","non-dropping-particle":"","parse-names":false,"suffix":""},{"dropping-particle":"","family":"Witvrouw","given":"Richard","non-dropping-particle":"","parse-names":false,"suffix":""},{"dropping-particle":"","family":"Eriksen","given":"Erik","non-dropping-particle":"","parse-names":false,"suffix":""},{"dropping-particle":"","family":"Brixen","given":"Kim","non-dropping-particle":"","parse-names":false,"suffix":""},{"dropping-particle":"","family":"Russo","given":"Luis","non-dropping-particle":"","parse-names":false,"suffix":""},{"dropping-particle":"","family":"Claessens","given":"Frank","non-dropping-particle":"","parse-names":false,"suffix":""},{"dropping-particle":"","family":"Papanastasiou","given":"Philemon","non-dropping-particle":"","parse-names":false,"suffix":""},{"dropping-particle":"","family":"Antunez","given":"Oscar","non-dropping-particle":"","parse-names":false,"suffix":""},{"dropping-particle":"","family":"Su","given":"Guoqin","non-dropping-particle":"","parse-names":false,"suffix":""},{"dropping-particle":"","family":"Bucci-Rechtweg","given":"Christina","non-dropping-particle":"","parse-names":false,"suffix":""},{"dropping-particle":"","family":"Hruska","given":"Josef","non-dropping-particle":"","parse-names":false,"suffix":""},{"dropping-particle":"","family":"Incera","given":"Elodie","non-dropping-particle":"","parse-names":false,"suffix":""},{"dropping-particle":"","family":"Vanderschueren","given":"Dirk","non-dropping-particle":"","parse-names":false,"suffix":""},{"dropping-particle":"","family":"Orwoll","given":"Eric","non-dropping-particle":"","parse-names":false,"suffix":""}],"container-title":"New England Journal of Medicine","id":"ITEM-3","issued":{"date-parts":[["2012"]]},"page":"1714-23","title":"Fracture risk and zoledronic acid therapy in men with osteoporosis.","type":"article-journal","volume":"367"},"uris":["http://www.mendeley.com/documents/?uuid=468f639f-e766-4ff9-83b2-83686de955c1"]}],"mendeley":{"formattedCitation":"&lt;sup&gt;&lt;sup&gt;20&lt;/sup&gt;–&lt;sup&gt;22&lt;/sup&gt;&lt;/sup&gt;","plainTextFormattedCitation":"20–22","previouslyFormattedCitation":"&lt;sup&gt;&lt;sup&gt;20&lt;/sup&gt;–&lt;sup&gt;22&lt;/sup&gt;&lt;/sup&gt;"},"properties":{"noteIndex":0},"schema":"https://github.com/citation-style-language/schema/raw/master/csl-citation.json"}</w:instrText>
      </w:r>
      <w:r w:rsidR="00E43EA1">
        <w:rPr>
          <w:rFonts w:ascii="Times New Roman" w:hAnsi="Times New Roman" w:cs="Times New Roman"/>
          <w:sz w:val="24"/>
          <w:szCs w:val="24"/>
          <w:lang w:val="en-US"/>
        </w:rPr>
        <w:fldChar w:fldCharType="separate"/>
      </w:r>
      <w:r w:rsidR="00E43EA1" w:rsidRPr="00D2485C">
        <w:rPr>
          <w:rFonts w:ascii="Times New Roman" w:hAnsi="Times New Roman" w:cs="Times New Roman"/>
          <w:noProof/>
          <w:sz w:val="24"/>
          <w:szCs w:val="24"/>
          <w:vertAlign w:val="superscript"/>
          <w:lang w:val="en-US"/>
        </w:rPr>
        <w:t>20–22</w:t>
      </w:r>
      <w:r w:rsidR="00E43EA1">
        <w:rPr>
          <w:rFonts w:ascii="Times New Roman" w:hAnsi="Times New Roman" w:cs="Times New Roman"/>
          <w:sz w:val="24"/>
          <w:szCs w:val="24"/>
          <w:lang w:val="en-US"/>
        </w:rPr>
        <w:fldChar w:fldCharType="end"/>
      </w:r>
      <w:r w:rsidR="007A265C">
        <w:rPr>
          <w:rFonts w:ascii="Times New Roman" w:hAnsi="Times New Roman" w:cs="Times New Roman"/>
          <w:sz w:val="24"/>
          <w:szCs w:val="24"/>
          <w:lang w:val="en-US"/>
        </w:rPr>
        <w:t xml:space="preserve"> The results of one of these trials have been published,</w:t>
      </w:r>
      <w:r w:rsidR="00FE1229">
        <w:rPr>
          <w:rFonts w:ascii="Times New Roman" w:hAnsi="Times New Roman" w:cs="Times New Roman"/>
          <w:sz w:val="24"/>
          <w:szCs w:val="24"/>
          <w:lang w:val="en-US"/>
        </w:rPr>
        <w:fldChar w:fldCharType="begin" w:fldLock="1"/>
      </w:r>
      <w:r w:rsidR="00B04D41">
        <w:rPr>
          <w:rFonts w:ascii="Times New Roman" w:hAnsi="Times New Roman" w:cs="Times New Roman"/>
          <w:sz w:val="24"/>
          <w:szCs w:val="24"/>
          <w:lang w:val="en-US"/>
        </w:rPr>
        <w:instrText>ADDIN CSL_CITATION {"citationItems":[{"id":"ITEM-1","itemData":{"DOI":"10.1007/s00198-010-1514-9","ISSN":"14332965","abstract":"Summary: This study evaluated the benefits of ZOL versus placebo on health-related quality of life (HRQoL) among patients from HORIZON-RFT. At month 24 and end of the study visit, ZOL significantly improved patients' overall health state compared to placebo as assessed by the EQ-5D VAS. Introduction: To evaluate the benefits of zoledronic acid (ZOL) versus placebo on health-related quality of life (HRQoL) among patients from The Health Outcomes and Reduced Incidence With Zoledronic Acid Once Yearly Recurrent Fracture Trial (HORIZON-RFT). Methods: In this randomized, double-blind, placebo-controlled trial, 2,127 patients were randomized to receive annual infusion of ZOL 5 mg (n = 1,065) or placebo (n = 1,062) within 90 days after surgical repair of low-trauma hip fracture. HRQoL was measured using EQ-5D Visual Analogue Scale (VAS) and utility scores (EuroQol instrument) at months 6, 12, 24, 36, and end of the study visit. Analysis of covariance model included baseline EQ-5D value, region, and treatment as explanatory variables. Results: At baseline, patients (mean age 75 years; 24% men and 76% women) were well matched between treatment groups with mean EQ-5D VAS of 65.82 in ZOL and 65.70 in placebo group. At the end of the study, mean change from baseline in EQ-5D VAS was greater for ZOL vs. placebo in all patients (7.67 ± 0.56 vs. 5.42 ± 0.56), and in subgroups of patients experiencing clinical vertebral fractures (8.86 ± 4.91 vs. -1.69 ± 3.42), non-vertebral fractures (5.03 ± 2.48 vs. -1.07 ± 2.16), and clinical fractures (5.19 ± 2.25 vs. -0.72 ± 1.82) with treatment difference significantly in favor of ZOL. EQ-5D utility scores were comparable for ZOL and placebo groups, but more patients on placebo consistently had extreme difficulty in mobility (1.74% for ZOL vs. 2.13% for placebo; p = 0.6238), self-care (4.92% vs. 6.69%; p = 0.1013), and usual activities (10.28% vs. 12.91%; p = 0.0775). Conclusion: ZOL significantly improves HRQoL in patients with low-trauma hip fracture. © 2011 International Osteoporosis Foundation and National Osteoporosis Foundation.","author":[{"dropping-particle":"","family":"Adachi","given":"J. D.","non-dropping-particle":"","parse-names":false,"suffix":""},{"dropping-particle":"","family":"Lyles","given":"K. W.","non-dropping-particle":"","parse-names":false,"suffix":""},{"dropping-particle":"","family":"Colón-Emeric","given":"C. S.","non-dropping-particle":"","parse-names":false,"suffix":""},{"dropping-particle":"","family":"Boonen","given":"S.","non-dropping-particle":"","parse-names":false,"suffix":""},{"dropping-particle":"","family":"Pieper","given":"C. F.","non-dropping-particle":"","parse-names":false,"suffix":""},{"dropping-particle":"","family":"Mautalen","given":"C.","non-dropping-particle":"","parse-names":false,"suffix":""},{"dropping-particle":"","family":"Hyldstrup","given":"L.","non-dropping-particle":"","parse-names":false,"suffix":""},{"dropping-particle":"","family":"Recknor","given":"C.","non-dropping-particle":"","parse-names":false,"suffix":""},{"dropping-particle":"","family":"Nordsletten","given":"L.","non-dropping-particle":"","parse-names":false,"suffix":""},{"dropping-particle":"","family":"Moore","given":"K. A.","non-dropping-particle":"","parse-names":false,"suffix":""},{"dropping-particle":"","family":"Bucci-Rechtweg","given":"C.","non-dropping-particle":"","parse-names":false,"suffix":""},{"dropping-particle":"","family":"Su","given":"G.","non-dropping-particle":"","parse-names":false,"suffix":""},{"dropping-particle":"","family":"Eriksen","given":"E. F.","non-dropping-particle":"","parse-names":false,"suffix":""},{"dropping-particle":"","family":"Magaziner","given":"J. S.","non-dropping-particle":"","parse-names":false,"suffix":""}],"container-title":"Osteoporosis International","id":"ITEM-1","issue":"9","issued":{"date-parts":[["2011"]]},"page":"2539-2549","title":"Zoledronic acid results in better health-related quality of life following hip fracture: The HORIZON-Recurrent Fracture Trial","type":"article-journal","volume":"22"},"uris":["http://www.mendeley.com/documents/?uuid=46961322-a685-4b9d-838e-0be04c89ba5c"]}],"mendeley":{"formattedCitation":"&lt;sup&gt;&lt;sup&gt;36&lt;/sup&gt;&lt;/sup&gt;","plainTextFormattedCitation":"36","previouslyFormattedCitation":"&lt;sup&gt;&lt;sup&gt;36&lt;/sup&gt;&lt;/sup&gt;"},"properties":{"noteIndex":0},"schema":"https://github.com/citation-style-language/schema/raw/master/csl-citation.json"}</w:instrText>
      </w:r>
      <w:r w:rsidR="00FE1229">
        <w:rPr>
          <w:rFonts w:ascii="Times New Roman" w:hAnsi="Times New Roman" w:cs="Times New Roman"/>
          <w:sz w:val="24"/>
          <w:szCs w:val="24"/>
          <w:lang w:val="en-US"/>
        </w:rPr>
        <w:fldChar w:fldCharType="separate"/>
      </w:r>
      <w:r w:rsidR="00D858E3" w:rsidRPr="00D858E3">
        <w:rPr>
          <w:rFonts w:ascii="Times New Roman" w:hAnsi="Times New Roman" w:cs="Times New Roman"/>
          <w:noProof/>
          <w:sz w:val="24"/>
          <w:szCs w:val="24"/>
          <w:vertAlign w:val="superscript"/>
          <w:lang w:val="en-US"/>
        </w:rPr>
        <w:t>36</w:t>
      </w:r>
      <w:r w:rsidR="00FE1229">
        <w:rPr>
          <w:rFonts w:ascii="Times New Roman" w:hAnsi="Times New Roman" w:cs="Times New Roman"/>
          <w:sz w:val="24"/>
          <w:szCs w:val="24"/>
          <w:lang w:val="en-US"/>
        </w:rPr>
        <w:fldChar w:fldCharType="end"/>
      </w:r>
      <w:r w:rsidR="007A265C">
        <w:rPr>
          <w:rFonts w:ascii="Times New Roman" w:hAnsi="Times New Roman" w:cs="Times New Roman"/>
          <w:sz w:val="24"/>
          <w:szCs w:val="24"/>
          <w:lang w:val="en-US"/>
        </w:rPr>
        <w:t xml:space="preserve"> and </w:t>
      </w:r>
      <w:r w:rsidR="00663129">
        <w:rPr>
          <w:rFonts w:ascii="Times New Roman" w:hAnsi="Times New Roman" w:cs="Times New Roman"/>
          <w:sz w:val="24"/>
          <w:szCs w:val="24"/>
          <w:lang w:val="en-US"/>
        </w:rPr>
        <w:t xml:space="preserve">these showed </w:t>
      </w:r>
      <w:r w:rsidR="007A265C">
        <w:rPr>
          <w:rFonts w:ascii="Times New Roman" w:hAnsi="Times New Roman" w:cs="Times New Roman"/>
          <w:sz w:val="24"/>
          <w:szCs w:val="24"/>
          <w:lang w:val="en-US"/>
        </w:rPr>
        <w:t>a significant improvement</w:t>
      </w:r>
      <w:r w:rsidR="00663129">
        <w:rPr>
          <w:rFonts w:ascii="Times New Roman" w:hAnsi="Times New Roman" w:cs="Times New Roman"/>
          <w:sz w:val="24"/>
          <w:szCs w:val="24"/>
          <w:lang w:val="en-US"/>
        </w:rPr>
        <w:t xml:space="preserve"> </w:t>
      </w:r>
      <w:r w:rsidR="007A265C">
        <w:rPr>
          <w:rFonts w:ascii="Times New Roman" w:hAnsi="Times New Roman" w:cs="Times New Roman"/>
          <w:sz w:val="24"/>
          <w:szCs w:val="24"/>
          <w:lang w:val="en-US"/>
        </w:rPr>
        <w:t>in the EuroQol-5 Dimensions-3 Levels (EQ-5D-3L)</w:t>
      </w:r>
      <w:r w:rsidR="002038A6">
        <w:rPr>
          <w:rFonts w:ascii="Times New Roman" w:hAnsi="Times New Roman" w:cs="Times New Roman"/>
          <w:sz w:val="24"/>
          <w:szCs w:val="24"/>
          <w:lang w:val="en-US"/>
        </w:rPr>
        <w:t xml:space="preserve"> v</w:t>
      </w:r>
      <w:r w:rsidR="007A265C">
        <w:rPr>
          <w:rFonts w:ascii="Times New Roman" w:hAnsi="Times New Roman" w:cs="Times New Roman"/>
          <w:sz w:val="24"/>
          <w:szCs w:val="24"/>
          <w:lang w:val="en-US"/>
        </w:rPr>
        <w:t xml:space="preserve">isual </w:t>
      </w:r>
      <w:r w:rsidR="002038A6">
        <w:rPr>
          <w:rFonts w:ascii="Times New Roman" w:hAnsi="Times New Roman" w:cs="Times New Roman"/>
          <w:sz w:val="24"/>
          <w:szCs w:val="24"/>
          <w:lang w:val="en-US"/>
        </w:rPr>
        <w:t>a</w:t>
      </w:r>
      <w:r w:rsidR="007A265C">
        <w:rPr>
          <w:rFonts w:ascii="Times New Roman" w:hAnsi="Times New Roman" w:cs="Times New Roman"/>
          <w:sz w:val="24"/>
          <w:szCs w:val="24"/>
          <w:lang w:val="en-US"/>
        </w:rPr>
        <w:t>nalogu</w:t>
      </w:r>
      <w:r w:rsidR="002038A6">
        <w:rPr>
          <w:rFonts w:ascii="Times New Roman" w:hAnsi="Times New Roman" w:cs="Times New Roman"/>
          <w:sz w:val="24"/>
          <w:szCs w:val="24"/>
          <w:lang w:val="en-US"/>
        </w:rPr>
        <w:t>e s</w:t>
      </w:r>
      <w:r w:rsidR="007A265C">
        <w:rPr>
          <w:rFonts w:ascii="Times New Roman" w:hAnsi="Times New Roman" w:cs="Times New Roman"/>
          <w:sz w:val="24"/>
          <w:szCs w:val="24"/>
          <w:lang w:val="en-US"/>
        </w:rPr>
        <w:t xml:space="preserve">cale, in which respondents rate their overall health on </w:t>
      </w:r>
      <w:r w:rsidR="007A265C">
        <w:rPr>
          <w:rFonts w:ascii="Times New Roman" w:hAnsi="Times New Roman" w:cs="Times New Roman"/>
          <w:sz w:val="24"/>
          <w:szCs w:val="24"/>
          <w:lang w:val="en-US"/>
        </w:rPr>
        <w:lastRenderedPageBreak/>
        <w:t>a scale from 0 to 100 (</w:t>
      </w:r>
      <w:r w:rsidR="00584BEA">
        <w:rPr>
          <w:rFonts w:ascii="Times New Roman" w:hAnsi="Times New Roman" w:cs="Times New Roman"/>
          <w:sz w:val="24"/>
          <w:szCs w:val="24"/>
          <w:lang w:val="en-US"/>
        </w:rPr>
        <w:t xml:space="preserve">from </w:t>
      </w:r>
      <w:r w:rsidR="007A265C">
        <w:rPr>
          <w:rFonts w:ascii="Times New Roman" w:hAnsi="Times New Roman" w:cs="Times New Roman"/>
          <w:sz w:val="24"/>
          <w:szCs w:val="24"/>
          <w:lang w:val="en-US"/>
        </w:rPr>
        <w:t>worst to best imaginable health)</w:t>
      </w:r>
      <w:r w:rsidR="00584BEA">
        <w:rPr>
          <w:rFonts w:ascii="Times New Roman" w:hAnsi="Times New Roman" w:cs="Times New Roman"/>
          <w:sz w:val="24"/>
          <w:szCs w:val="24"/>
          <w:lang w:val="en-US"/>
        </w:rPr>
        <w:t>. An improvement was not</w:t>
      </w:r>
      <w:r w:rsidR="00FE1229">
        <w:rPr>
          <w:rFonts w:ascii="Times New Roman" w:hAnsi="Times New Roman" w:cs="Times New Roman"/>
          <w:sz w:val="24"/>
          <w:szCs w:val="24"/>
          <w:lang w:val="en-US"/>
        </w:rPr>
        <w:t>, however,</w:t>
      </w:r>
      <w:r w:rsidR="00584BEA">
        <w:rPr>
          <w:rFonts w:ascii="Times New Roman" w:hAnsi="Times New Roman" w:cs="Times New Roman"/>
          <w:sz w:val="24"/>
          <w:szCs w:val="24"/>
          <w:lang w:val="en-US"/>
        </w:rPr>
        <w:t xml:space="preserve"> observed in the</w:t>
      </w:r>
      <w:r w:rsidR="00FE1229">
        <w:rPr>
          <w:rFonts w:ascii="Times New Roman" w:hAnsi="Times New Roman" w:cs="Times New Roman"/>
          <w:sz w:val="24"/>
          <w:szCs w:val="24"/>
          <w:lang w:val="en-US"/>
        </w:rPr>
        <w:t xml:space="preserve"> </w:t>
      </w:r>
      <w:r w:rsidR="00BF7AE6">
        <w:rPr>
          <w:rFonts w:ascii="Times New Roman" w:hAnsi="Times New Roman" w:cs="Times New Roman"/>
          <w:sz w:val="24"/>
          <w:szCs w:val="24"/>
          <w:lang w:val="en-US"/>
        </w:rPr>
        <w:t xml:space="preserve">EQ-5D-3L </w:t>
      </w:r>
      <w:r w:rsidR="00FE1229">
        <w:rPr>
          <w:rFonts w:ascii="Times New Roman" w:hAnsi="Times New Roman" w:cs="Times New Roman"/>
          <w:sz w:val="24"/>
          <w:szCs w:val="24"/>
          <w:lang w:val="en-US"/>
        </w:rPr>
        <w:t xml:space="preserve">summary score of the 5 </w:t>
      </w:r>
      <w:r w:rsidR="00B95730">
        <w:rPr>
          <w:rFonts w:ascii="Times New Roman" w:hAnsi="Times New Roman" w:cs="Times New Roman"/>
          <w:sz w:val="24"/>
          <w:szCs w:val="24"/>
          <w:lang w:val="en-US"/>
        </w:rPr>
        <w:t>dimensions</w:t>
      </w:r>
      <w:r w:rsidR="00DC067A">
        <w:rPr>
          <w:rFonts w:ascii="Times New Roman" w:hAnsi="Times New Roman" w:cs="Times New Roman"/>
          <w:sz w:val="24"/>
          <w:szCs w:val="24"/>
          <w:lang w:val="en-US"/>
        </w:rPr>
        <w:t>.</w:t>
      </w:r>
      <w:r w:rsidR="00FE1229">
        <w:rPr>
          <w:rFonts w:ascii="Times New Roman" w:hAnsi="Times New Roman" w:cs="Times New Roman"/>
          <w:sz w:val="24"/>
          <w:szCs w:val="24"/>
          <w:lang w:val="en-US"/>
        </w:rPr>
        <w:fldChar w:fldCharType="begin" w:fldLock="1"/>
      </w:r>
      <w:r w:rsidR="00B04D41">
        <w:rPr>
          <w:rFonts w:ascii="Times New Roman" w:hAnsi="Times New Roman" w:cs="Times New Roman"/>
          <w:sz w:val="24"/>
          <w:szCs w:val="24"/>
          <w:lang w:val="en-US"/>
        </w:rPr>
        <w:instrText>ADDIN CSL_CITATION {"citationItems":[{"id":"ITEM-1","itemData":{"DOI":"10.1007/s00198-010-1514-9","ISSN":"14332965","abstract":"Summary: This study evaluated the benefits of ZOL versus placebo on health-related quality of life (HRQoL) among patients from HORIZON-RFT. At month 24 and end of the study visit, ZOL significantly improved patients' overall health state compared to placebo as assessed by the EQ-5D VAS. Introduction: To evaluate the benefits of zoledronic acid (ZOL) versus placebo on health-related quality of life (HRQoL) among patients from The Health Outcomes and Reduced Incidence With Zoledronic Acid Once Yearly Recurrent Fracture Trial (HORIZON-RFT). Methods: In this randomized, double-blind, placebo-controlled trial, 2,127 patients were randomized to receive annual infusion of ZOL 5 mg (n = 1,065) or placebo (n = 1,062) within 90 days after surgical repair of low-trauma hip fracture. HRQoL was measured using EQ-5D Visual Analogue Scale (VAS) and utility scores (EuroQol instrument) at months 6, 12, 24, 36, and end of the study visit. Analysis of covariance model included baseline EQ-5D value, region, and treatment as explanatory variables. Results: At baseline, patients (mean age 75 years; 24% men and 76% women) were well matched between treatment groups with mean EQ-5D VAS of 65.82 in ZOL and 65.70 in placebo group. At the end of the study, mean change from baseline in EQ-5D VAS was greater for ZOL vs. placebo in all patients (7.67 ± 0.56 vs. 5.42 ± 0.56), and in subgroups of patients experiencing clinical vertebral fractures (8.86 ± 4.91 vs. -1.69 ± 3.42), non-vertebral fractures (5.03 ± 2.48 vs. -1.07 ± 2.16), and clinical fractures (5.19 ± 2.25 vs. -0.72 ± 1.82) with treatment difference significantly in favor of ZOL. EQ-5D utility scores were comparable for ZOL and placebo groups, but more patients on placebo consistently had extreme difficulty in mobility (1.74% for ZOL vs. 2.13% for placebo; p = 0.6238), self-care (4.92% vs. 6.69%; p = 0.1013), and usual activities (10.28% vs. 12.91%; p = 0.0775). Conclusion: ZOL significantly improves HRQoL in patients with low-trauma hip fracture. © 2011 International Osteoporosis Foundation and National Osteoporosis Foundation.","author":[{"dropping-particle":"","family":"Adachi","given":"J. D.","non-dropping-particle":"","parse-names":false,"suffix":""},{"dropping-particle":"","family":"Lyles","given":"K. W.","non-dropping-particle":"","parse-names":false,"suffix":""},{"dropping-particle":"","family":"Colón-Emeric","given":"C. S.","non-dropping-particle":"","parse-names":false,"suffix":""},{"dropping-particle":"","family":"Boonen","given":"S.","non-dropping-particle":"","parse-names":false,"suffix":""},{"dropping-particle":"","family":"Pieper","given":"C. F.","non-dropping-particle":"","parse-names":false,"suffix":""},{"dropping-particle":"","family":"Mautalen","given":"C.","non-dropping-particle":"","parse-names":false,"suffix":""},{"dropping-particle":"","family":"Hyldstrup","given":"L.","non-dropping-particle":"","parse-names":false,"suffix":""},{"dropping-particle":"","family":"Recknor","given":"C.","non-dropping-particle":"","parse-names":false,"suffix":""},{"dropping-particle":"","family":"Nordsletten","given":"L.","non-dropping-particle":"","parse-names":false,"suffix":""},{"dropping-particle":"","family":"Moore","given":"K. A.","non-dropping-particle":"","parse-names":false,"suffix":""},{"dropping-particle":"","family":"Bucci-Rechtweg","given":"C.","non-dropping-particle":"","parse-names":false,"suffix":""},{"dropping-particle":"","family":"Su","given":"G.","non-dropping-particle":"","parse-names":false,"suffix":""},{"dropping-particle":"","family":"Eriksen","given":"E. F.","non-dropping-particle":"","parse-names":false,"suffix":""},{"dropping-particle":"","family":"Magaziner","given":"J. S.","non-dropping-particle":"","parse-names":false,"suffix":""}],"container-title":"Osteoporosis International","id":"ITEM-1","issue":"9","issued":{"date-parts":[["2011"]]},"page":"2539-2549","title":"Zoledronic acid results in better health-related quality of life following hip fracture: The HORIZON-Recurrent Fracture Trial","type":"article-journal","volume":"22"},"uris":["http://www.mendeley.com/documents/?uuid=46961322-a685-4b9d-838e-0be04c89ba5c"]}],"mendeley":{"formattedCitation":"&lt;sup&gt;&lt;sup&gt;36&lt;/sup&gt;&lt;/sup&gt;","plainTextFormattedCitation":"36","previouslyFormattedCitation":"&lt;sup&gt;&lt;sup&gt;36&lt;/sup&gt;&lt;/sup&gt;"},"properties":{"noteIndex":0},"schema":"https://github.com/citation-style-language/schema/raw/master/csl-citation.json"}</w:instrText>
      </w:r>
      <w:r w:rsidR="00FE1229">
        <w:rPr>
          <w:rFonts w:ascii="Times New Roman" w:hAnsi="Times New Roman" w:cs="Times New Roman"/>
          <w:sz w:val="24"/>
          <w:szCs w:val="24"/>
          <w:lang w:val="en-US"/>
        </w:rPr>
        <w:fldChar w:fldCharType="separate"/>
      </w:r>
      <w:r w:rsidR="00D858E3" w:rsidRPr="00D858E3">
        <w:rPr>
          <w:rFonts w:ascii="Times New Roman" w:hAnsi="Times New Roman" w:cs="Times New Roman"/>
          <w:noProof/>
          <w:sz w:val="24"/>
          <w:szCs w:val="24"/>
          <w:vertAlign w:val="superscript"/>
          <w:lang w:val="en-US"/>
        </w:rPr>
        <w:t>36</w:t>
      </w:r>
      <w:r w:rsidR="00FE1229">
        <w:rPr>
          <w:rFonts w:ascii="Times New Roman" w:hAnsi="Times New Roman" w:cs="Times New Roman"/>
          <w:sz w:val="24"/>
          <w:szCs w:val="24"/>
          <w:lang w:val="en-US"/>
        </w:rPr>
        <w:fldChar w:fldCharType="end"/>
      </w:r>
    </w:p>
    <w:p w14:paraId="3F7EBE6B" w14:textId="77777777" w:rsidR="00F257EC" w:rsidRPr="007B140B" w:rsidRDefault="00F257EC" w:rsidP="00DC5D95">
      <w:pPr>
        <w:spacing w:after="0" w:line="240" w:lineRule="auto"/>
        <w:rPr>
          <w:rFonts w:ascii="Times New Roman" w:hAnsi="Times New Roman" w:cs="Times New Roman"/>
          <w:sz w:val="24"/>
          <w:szCs w:val="24"/>
          <w:lang w:val="en-US"/>
        </w:rPr>
      </w:pPr>
    </w:p>
    <w:p w14:paraId="2BAE209A" w14:textId="57DF011A" w:rsidR="00DC5D95" w:rsidRPr="007B140B" w:rsidRDefault="00DC5D95" w:rsidP="00674CB9">
      <w:pPr>
        <w:spacing w:after="0" w:line="240" w:lineRule="auto"/>
        <w:ind w:left="360"/>
        <w:rPr>
          <w:rFonts w:ascii="Times New Roman" w:hAnsi="Times New Roman" w:cs="Times New Roman"/>
          <w:sz w:val="24"/>
          <w:szCs w:val="24"/>
          <w:lang w:val="en-US"/>
        </w:rPr>
      </w:pPr>
    </w:p>
    <w:p w14:paraId="33F24DBD" w14:textId="22D5D7CD" w:rsidR="00B93549" w:rsidRPr="007B140B" w:rsidRDefault="00C07434" w:rsidP="00D36611">
      <w:pPr>
        <w:pStyle w:val="Formatmall4"/>
        <w:rPr>
          <w:rFonts w:cs="Times New Roman"/>
          <w:lang w:val="en-US"/>
        </w:rPr>
      </w:pPr>
      <w:bookmarkStart w:id="27" w:name="_Toc99001399"/>
      <w:r w:rsidRPr="007B140B">
        <w:rPr>
          <w:rFonts w:cs="Times New Roman"/>
          <w:lang w:val="en-US"/>
        </w:rPr>
        <w:t>Trial</w:t>
      </w:r>
      <w:r w:rsidR="00E13ABE" w:rsidRPr="007B140B">
        <w:rPr>
          <w:rFonts w:cs="Times New Roman"/>
          <w:lang w:val="en-US"/>
        </w:rPr>
        <w:t xml:space="preserve"> D</w:t>
      </w:r>
      <w:r w:rsidR="00B93549" w:rsidRPr="007B140B">
        <w:rPr>
          <w:rFonts w:cs="Times New Roman"/>
          <w:lang w:val="en-US"/>
        </w:rPr>
        <w:t>esign</w:t>
      </w:r>
      <w:bookmarkEnd w:id="27"/>
    </w:p>
    <w:p w14:paraId="5680B445" w14:textId="3EAFCD9F" w:rsidR="00AA0BC5" w:rsidRPr="0070747E" w:rsidRDefault="00256442" w:rsidP="00927BB5">
      <w:pPr>
        <w:rPr>
          <w:rFonts w:ascii="Times New Roman" w:hAnsi="Times New Roman" w:cs="Times New Roman"/>
          <w:sz w:val="24"/>
          <w:szCs w:val="24"/>
          <w:lang w:val="en-US"/>
        </w:rPr>
      </w:pPr>
      <w:r w:rsidRPr="007B140B">
        <w:rPr>
          <w:rFonts w:ascii="Times New Roman" w:hAnsi="Times New Roman" w:cs="Times New Roman"/>
          <w:sz w:val="24"/>
          <w:szCs w:val="24"/>
          <w:lang w:val="en-US"/>
        </w:rPr>
        <w:t>The study will be</w:t>
      </w:r>
      <w:r w:rsidR="00B93549" w:rsidRPr="007B140B">
        <w:rPr>
          <w:rFonts w:ascii="Times New Roman" w:hAnsi="Times New Roman" w:cs="Times New Roman"/>
          <w:sz w:val="24"/>
          <w:szCs w:val="24"/>
          <w:lang w:val="en-US"/>
        </w:rPr>
        <w:t xml:space="preserve"> a </w:t>
      </w:r>
      <w:r w:rsidR="00396570">
        <w:rPr>
          <w:rFonts w:ascii="Times New Roman" w:hAnsi="Times New Roman" w:cs="Times New Roman"/>
          <w:sz w:val="24"/>
          <w:szCs w:val="24"/>
          <w:lang w:val="en-US"/>
        </w:rPr>
        <w:t>10</w:t>
      </w:r>
      <w:r w:rsidR="0070270F" w:rsidRPr="007B140B">
        <w:rPr>
          <w:rFonts w:ascii="Times New Roman" w:hAnsi="Times New Roman" w:cs="Times New Roman"/>
          <w:sz w:val="24"/>
          <w:szCs w:val="24"/>
          <w:lang w:val="en-US"/>
        </w:rPr>
        <w:t xml:space="preserve">-year, </w:t>
      </w:r>
      <w:r w:rsidR="00B93549" w:rsidRPr="007B140B">
        <w:rPr>
          <w:rFonts w:ascii="Times New Roman" w:hAnsi="Times New Roman" w:cs="Times New Roman"/>
          <w:sz w:val="24"/>
          <w:szCs w:val="24"/>
          <w:lang w:val="en-US"/>
        </w:rPr>
        <w:t xml:space="preserve">phase IV, </w:t>
      </w:r>
      <w:r w:rsidRPr="007B140B">
        <w:rPr>
          <w:rFonts w:ascii="Times New Roman" w:hAnsi="Times New Roman" w:cs="Times New Roman"/>
          <w:sz w:val="24"/>
          <w:szCs w:val="24"/>
          <w:lang w:val="en-US"/>
        </w:rPr>
        <w:t>multi</w:t>
      </w:r>
      <w:r w:rsidR="00EC52DB" w:rsidRPr="007B140B">
        <w:rPr>
          <w:rFonts w:ascii="Times New Roman" w:hAnsi="Times New Roman" w:cs="Times New Roman"/>
          <w:sz w:val="24"/>
          <w:szCs w:val="24"/>
          <w:lang w:val="en-US"/>
        </w:rPr>
        <w:t xml:space="preserve">center, </w:t>
      </w:r>
      <w:r w:rsidR="00C64306" w:rsidRPr="007B140B">
        <w:rPr>
          <w:rFonts w:ascii="Times New Roman" w:hAnsi="Times New Roman" w:cs="Times New Roman"/>
          <w:sz w:val="24"/>
          <w:szCs w:val="24"/>
          <w:lang w:val="en-US"/>
        </w:rPr>
        <w:t>parallel-</w:t>
      </w:r>
      <w:r w:rsidR="00B93549" w:rsidRPr="007B140B">
        <w:rPr>
          <w:rFonts w:ascii="Times New Roman" w:hAnsi="Times New Roman" w:cs="Times New Roman"/>
          <w:sz w:val="24"/>
          <w:szCs w:val="24"/>
          <w:lang w:val="en-US"/>
        </w:rPr>
        <w:t>group, randomized, double-</w:t>
      </w:r>
      <w:r w:rsidR="006B2481" w:rsidRPr="007B140B">
        <w:rPr>
          <w:rFonts w:ascii="Times New Roman" w:hAnsi="Times New Roman" w:cs="Times New Roman"/>
          <w:sz w:val="24"/>
          <w:szCs w:val="24"/>
          <w:lang w:val="en-US"/>
        </w:rPr>
        <w:t>blind, placebo-controlled trial</w:t>
      </w:r>
      <w:r w:rsidR="00B93549" w:rsidRPr="007B140B">
        <w:rPr>
          <w:rFonts w:ascii="Times New Roman" w:hAnsi="Times New Roman" w:cs="Times New Roman"/>
          <w:sz w:val="24"/>
          <w:szCs w:val="24"/>
          <w:lang w:val="en-US"/>
        </w:rPr>
        <w:t xml:space="preserve">. </w:t>
      </w:r>
      <w:r w:rsidR="00396570">
        <w:rPr>
          <w:rFonts w:ascii="Times New Roman" w:hAnsi="Times New Roman" w:cs="Times New Roman"/>
          <w:sz w:val="24"/>
          <w:szCs w:val="24"/>
          <w:lang w:val="en-US"/>
        </w:rPr>
        <w:t>The 10-year fo</w:t>
      </w:r>
      <w:r w:rsidR="00AA0BC5">
        <w:rPr>
          <w:rFonts w:ascii="Times New Roman" w:hAnsi="Times New Roman" w:cs="Times New Roman"/>
          <w:sz w:val="24"/>
          <w:szCs w:val="24"/>
          <w:lang w:val="en-US"/>
        </w:rPr>
        <w:t xml:space="preserve">llow-up </w:t>
      </w:r>
      <w:r w:rsidR="002747B0">
        <w:rPr>
          <w:rFonts w:ascii="Times New Roman" w:hAnsi="Times New Roman" w:cs="Times New Roman"/>
          <w:sz w:val="24"/>
          <w:szCs w:val="24"/>
          <w:lang w:val="en-US"/>
        </w:rPr>
        <w:t xml:space="preserve">period </w:t>
      </w:r>
      <w:r w:rsidR="00AA0BC5">
        <w:rPr>
          <w:rFonts w:ascii="Times New Roman" w:hAnsi="Times New Roman" w:cs="Times New Roman"/>
          <w:sz w:val="24"/>
          <w:szCs w:val="24"/>
          <w:lang w:val="en-US"/>
        </w:rPr>
        <w:t xml:space="preserve">will be divided into a </w:t>
      </w:r>
      <w:r w:rsidR="00287F2F">
        <w:rPr>
          <w:rFonts w:ascii="Times New Roman" w:hAnsi="Times New Roman" w:cs="Times New Roman"/>
          <w:sz w:val="24"/>
          <w:szCs w:val="24"/>
          <w:lang w:val="en-US"/>
        </w:rPr>
        <w:t xml:space="preserve">double-blind </w:t>
      </w:r>
      <w:r w:rsidR="00AA0BC5">
        <w:rPr>
          <w:rFonts w:ascii="Times New Roman" w:hAnsi="Times New Roman" w:cs="Times New Roman"/>
          <w:sz w:val="24"/>
          <w:szCs w:val="24"/>
          <w:lang w:val="en-US"/>
        </w:rPr>
        <w:t xml:space="preserve">Main Phase </w:t>
      </w:r>
      <w:r w:rsidR="00396570">
        <w:rPr>
          <w:rFonts w:ascii="Times New Roman" w:hAnsi="Times New Roman" w:cs="Times New Roman"/>
          <w:sz w:val="24"/>
          <w:szCs w:val="24"/>
          <w:lang w:val="en-US"/>
        </w:rPr>
        <w:t xml:space="preserve">of 4 years, followed by </w:t>
      </w:r>
      <w:r w:rsidR="00AA0BC5">
        <w:rPr>
          <w:rFonts w:ascii="Times New Roman" w:hAnsi="Times New Roman" w:cs="Times New Roman"/>
          <w:sz w:val="24"/>
          <w:szCs w:val="24"/>
          <w:lang w:val="en-US"/>
        </w:rPr>
        <w:t>a</w:t>
      </w:r>
      <w:r w:rsidR="00287F2F">
        <w:rPr>
          <w:rFonts w:ascii="Times New Roman" w:hAnsi="Times New Roman" w:cs="Times New Roman"/>
          <w:sz w:val="24"/>
          <w:szCs w:val="24"/>
          <w:lang w:val="en-US"/>
        </w:rPr>
        <w:t>n open-label</w:t>
      </w:r>
      <w:r w:rsidR="00AA0BC5">
        <w:rPr>
          <w:rFonts w:ascii="Times New Roman" w:hAnsi="Times New Roman" w:cs="Times New Roman"/>
          <w:sz w:val="24"/>
          <w:szCs w:val="24"/>
          <w:lang w:val="en-US"/>
        </w:rPr>
        <w:t xml:space="preserve"> Secondary P</w:t>
      </w:r>
      <w:r w:rsidR="00396570">
        <w:rPr>
          <w:rFonts w:ascii="Times New Roman" w:hAnsi="Times New Roman" w:cs="Times New Roman"/>
          <w:sz w:val="24"/>
          <w:szCs w:val="24"/>
          <w:lang w:val="en-US"/>
        </w:rPr>
        <w:t>hase of 6 years.</w:t>
      </w:r>
      <w:r w:rsidR="00AA0BC5">
        <w:rPr>
          <w:rFonts w:ascii="Times New Roman" w:hAnsi="Times New Roman" w:cs="Times New Roman"/>
          <w:sz w:val="24"/>
          <w:szCs w:val="24"/>
          <w:lang w:val="en-US"/>
        </w:rPr>
        <w:t xml:space="preserve"> During the Main Phase, participants will actively participate in the study by receiving investigational product</w:t>
      </w:r>
      <w:r w:rsidR="00673A7A">
        <w:rPr>
          <w:rFonts w:ascii="Times New Roman" w:hAnsi="Times New Roman" w:cs="Times New Roman"/>
          <w:sz w:val="24"/>
          <w:szCs w:val="24"/>
          <w:lang w:val="en-US"/>
        </w:rPr>
        <w:t>s</w:t>
      </w:r>
      <w:r w:rsidR="00AA0BC5">
        <w:rPr>
          <w:rFonts w:ascii="Times New Roman" w:hAnsi="Times New Roman" w:cs="Times New Roman"/>
          <w:sz w:val="24"/>
          <w:szCs w:val="24"/>
          <w:lang w:val="en-US"/>
        </w:rPr>
        <w:t xml:space="preserve"> and </w:t>
      </w:r>
      <w:r w:rsidR="00287F2F">
        <w:rPr>
          <w:rFonts w:ascii="Times New Roman" w:hAnsi="Times New Roman" w:cs="Times New Roman"/>
          <w:sz w:val="24"/>
          <w:szCs w:val="24"/>
          <w:lang w:val="en-US"/>
        </w:rPr>
        <w:t xml:space="preserve">by </w:t>
      </w:r>
      <w:r w:rsidR="00AA0BC5">
        <w:rPr>
          <w:rFonts w:ascii="Times New Roman" w:hAnsi="Times New Roman" w:cs="Times New Roman"/>
          <w:sz w:val="24"/>
          <w:szCs w:val="24"/>
          <w:lang w:val="en-US"/>
        </w:rPr>
        <w:t>be</w:t>
      </w:r>
      <w:r w:rsidR="00287F2F">
        <w:rPr>
          <w:rFonts w:ascii="Times New Roman" w:hAnsi="Times New Roman" w:cs="Times New Roman"/>
          <w:sz w:val="24"/>
          <w:szCs w:val="24"/>
          <w:lang w:val="en-US"/>
        </w:rPr>
        <w:t>ing</w:t>
      </w:r>
      <w:r w:rsidR="00AA0BC5">
        <w:rPr>
          <w:rFonts w:ascii="Times New Roman" w:hAnsi="Times New Roman" w:cs="Times New Roman"/>
          <w:sz w:val="24"/>
          <w:szCs w:val="24"/>
          <w:lang w:val="en-US"/>
        </w:rPr>
        <w:t xml:space="preserve"> followed-up through </w:t>
      </w:r>
      <w:r w:rsidR="003F027A">
        <w:rPr>
          <w:rFonts w:ascii="Times New Roman" w:hAnsi="Times New Roman" w:cs="Times New Roman"/>
          <w:sz w:val="24"/>
          <w:szCs w:val="24"/>
          <w:lang w:val="en-US"/>
        </w:rPr>
        <w:t xml:space="preserve">a </w:t>
      </w:r>
      <w:r w:rsidR="00AA0BC5">
        <w:rPr>
          <w:rFonts w:ascii="Times New Roman" w:hAnsi="Times New Roman" w:cs="Times New Roman"/>
          <w:sz w:val="24"/>
          <w:szCs w:val="24"/>
          <w:lang w:val="en-US"/>
        </w:rPr>
        <w:t>study contact (in-person visit</w:t>
      </w:r>
      <w:r w:rsidR="003F027A">
        <w:rPr>
          <w:rFonts w:ascii="Times New Roman" w:hAnsi="Times New Roman" w:cs="Times New Roman"/>
          <w:sz w:val="24"/>
          <w:szCs w:val="24"/>
          <w:lang w:val="en-US"/>
        </w:rPr>
        <w:t xml:space="preserve"> at 24 months</w:t>
      </w:r>
      <w:r w:rsidR="00AA0BC5">
        <w:rPr>
          <w:rFonts w:ascii="Times New Roman" w:hAnsi="Times New Roman" w:cs="Times New Roman"/>
          <w:sz w:val="24"/>
          <w:szCs w:val="24"/>
          <w:lang w:val="en-US"/>
        </w:rPr>
        <w:t>)</w:t>
      </w:r>
      <w:r w:rsidR="00396570">
        <w:rPr>
          <w:rFonts w:ascii="Times New Roman" w:hAnsi="Times New Roman" w:cs="Times New Roman"/>
          <w:sz w:val="24"/>
          <w:szCs w:val="24"/>
          <w:lang w:val="en-US"/>
        </w:rPr>
        <w:t xml:space="preserve">. </w:t>
      </w:r>
      <w:r w:rsidR="00EA1840" w:rsidRPr="007B140B">
        <w:rPr>
          <w:rFonts w:ascii="Times New Roman" w:hAnsi="Times New Roman" w:cs="Times New Roman"/>
          <w:sz w:val="24"/>
          <w:szCs w:val="24"/>
          <w:lang w:val="en-US"/>
        </w:rPr>
        <w:t xml:space="preserve">A 4-year duration was selected because </w:t>
      </w:r>
      <w:r w:rsidR="00AC0429">
        <w:rPr>
          <w:rFonts w:ascii="Times New Roman" w:hAnsi="Times New Roman" w:cs="Times New Roman"/>
          <w:sz w:val="24"/>
          <w:szCs w:val="24"/>
          <w:lang w:val="en-US"/>
        </w:rPr>
        <w:t>this</w:t>
      </w:r>
      <w:r w:rsidR="00EA1840" w:rsidRPr="007B140B">
        <w:rPr>
          <w:rFonts w:ascii="Times New Roman" w:hAnsi="Times New Roman" w:cs="Times New Roman"/>
          <w:sz w:val="24"/>
          <w:szCs w:val="24"/>
          <w:lang w:val="en-US"/>
        </w:rPr>
        <w:t xml:space="preserve"> is anticipated to capture the greatest anti-fracture efficacy of 2 infusions of zoledronic acid administered at baseline and at 24 months (see Section 6).</w:t>
      </w:r>
      <w:r w:rsidR="00AA0BC5">
        <w:rPr>
          <w:rFonts w:ascii="Times New Roman" w:hAnsi="Times New Roman" w:cs="Times New Roman"/>
          <w:sz w:val="24"/>
          <w:szCs w:val="24"/>
          <w:lang w:val="en-US"/>
        </w:rPr>
        <w:t xml:space="preserve"> </w:t>
      </w:r>
      <w:r w:rsidR="00AD6A64">
        <w:rPr>
          <w:rFonts w:ascii="Times New Roman" w:hAnsi="Times New Roman" w:cs="Times New Roman"/>
          <w:sz w:val="24"/>
          <w:szCs w:val="24"/>
          <w:lang w:val="en-US"/>
        </w:rPr>
        <w:t>T</w:t>
      </w:r>
      <w:r w:rsidR="00AA0BC5">
        <w:rPr>
          <w:rFonts w:ascii="Times New Roman" w:hAnsi="Times New Roman" w:cs="Times New Roman"/>
          <w:sz w:val="24"/>
          <w:szCs w:val="24"/>
          <w:lang w:val="en-US"/>
        </w:rPr>
        <w:t>he Secondary Phase</w:t>
      </w:r>
      <w:r w:rsidR="00AD6A64">
        <w:rPr>
          <w:rFonts w:ascii="Times New Roman" w:hAnsi="Times New Roman" w:cs="Times New Roman"/>
          <w:sz w:val="24"/>
          <w:szCs w:val="24"/>
          <w:lang w:val="en-US"/>
        </w:rPr>
        <w:t xml:space="preserve"> </w:t>
      </w:r>
      <w:r w:rsidR="00AA0BC5">
        <w:rPr>
          <w:rFonts w:ascii="Times New Roman" w:hAnsi="Times New Roman" w:cs="Times New Roman"/>
          <w:sz w:val="24"/>
          <w:szCs w:val="24"/>
          <w:lang w:val="en-US"/>
        </w:rPr>
        <w:t xml:space="preserve">will be </w:t>
      </w:r>
      <w:r w:rsidR="002148AF">
        <w:rPr>
          <w:rFonts w:ascii="Times New Roman" w:hAnsi="Times New Roman" w:cs="Times New Roman"/>
          <w:sz w:val="24"/>
          <w:szCs w:val="24"/>
          <w:lang w:val="en-US"/>
        </w:rPr>
        <w:t xml:space="preserve">a </w:t>
      </w:r>
      <w:r w:rsidR="00347047">
        <w:rPr>
          <w:rFonts w:ascii="Times New Roman" w:hAnsi="Times New Roman" w:cs="Times New Roman"/>
          <w:sz w:val="24"/>
          <w:szCs w:val="24"/>
          <w:lang w:val="en-US"/>
        </w:rPr>
        <w:t>10-year</w:t>
      </w:r>
      <w:r w:rsidR="00E57F8E">
        <w:rPr>
          <w:rFonts w:ascii="Times New Roman" w:hAnsi="Times New Roman" w:cs="Times New Roman"/>
          <w:sz w:val="24"/>
          <w:szCs w:val="24"/>
          <w:lang w:val="en-US"/>
        </w:rPr>
        <w:t xml:space="preserve"> </w:t>
      </w:r>
      <w:r w:rsidR="00347047">
        <w:rPr>
          <w:rFonts w:ascii="Times New Roman" w:hAnsi="Times New Roman" w:cs="Times New Roman"/>
          <w:sz w:val="24"/>
          <w:szCs w:val="24"/>
          <w:lang w:val="en-US"/>
        </w:rPr>
        <w:t xml:space="preserve">follow-up </w:t>
      </w:r>
      <w:r w:rsidR="00E57F8E">
        <w:rPr>
          <w:rFonts w:ascii="Times New Roman" w:hAnsi="Times New Roman" w:cs="Times New Roman"/>
          <w:sz w:val="24"/>
          <w:szCs w:val="24"/>
          <w:lang w:val="en-US"/>
        </w:rPr>
        <w:t>through registries</w:t>
      </w:r>
      <w:r w:rsidR="00D31CD2">
        <w:rPr>
          <w:rFonts w:ascii="Times New Roman" w:hAnsi="Times New Roman" w:cs="Times New Roman"/>
          <w:sz w:val="24"/>
          <w:szCs w:val="24"/>
          <w:lang w:val="en-US"/>
        </w:rPr>
        <w:t xml:space="preserve"> and medical records</w:t>
      </w:r>
      <w:r w:rsidR="00E57F8E">
        <w:rPr>
          <w:rFonts w:ascii="Times New Roman" w:hAnsi="Times New Roman" w:cs="Times New Roman"/>
          <w:sz w:val="24"/>
          <w:szCs w:val="24"/>
          <w:lang w:val="en-US"/>
        </w:rPr>
        <w:t xml:space="preserve">, </w:t>
      </w:r>
      <w:r w:rsidR="00287F2F">
        <w:rPr>
          <w:rFonts w:ascii="Times New Roman" w:hAnsi="Times New Roman" w:cs="Times New Roman"/>
          <w:sz w:val="24"/>
          <w:szCs w:val="24"/>
          <w:lang w:val="en-US"/>
        </w:rPr>
        <w:t>without study contacts</w:t>
      </w:r>
      <w:r w:rsidR="00AA0BC5">
        <w:rPr>
          <w:rFonts w:ascii="Times New Roman" w:hAnsi="Times New Roman" w:cs="Times New Roman"/>
          <w:sz w:val="24"/>
          <w:szCs w:val="24"/>
          <w:lang w:val="en-US"/>
        </w:rPr>
        <w:t>.</w:t>
      </w:r>
    </w:p>
    <w:p w14:paraId="7D29BEFE" w14:textId="4C042F0C" w:rsidR="00EA1840" w:rsidRDefault="00EA1840" w:rsidP="00927BB5">
      <w:p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The trial will be multicenter so that </w:t>
      </w:r>
      <w:proofErr w:type="gramStart"/>
      <w:r w:rsidRPr="007B140B">
        <w:rPr>
          <w:rFonts w:ascii="Times New Roman" w:hAnsi="Times New Roman" w:cs="Times New Roman"/>
          <w:sz w:val="24"/>
          <w:szCs w:val="24"/>
          <w:lang w:val="en-US"/>
        </w:rPr>
        <w:t>a sufficient number of</w:t>
      </w:r>
      <w:proofErr w:type="gramEnd"/>
      <w:r w:rsidRPr="007B140B">
        <w:rPr>
          <w:rFonts w:ascii="Times New Roman" w:hAnsi="Times New Roman" w:cs="Times New Roman"/>
          <w:sz w:val="24"/>
          <w:szCs w:val="24"/>
          <w:lang w:val="en-US"/>
        </w:rPr>
        <w:t xml:space="preserve"> participants can be recruited. </w:t>
      </w:r>
      <w:r w:rsidR="00927BB5" w:rsidRPr="007B140B">
        <w:rPr>
          <w:rFonts w:ascii="Times New Roman" w:hAnsi="Times New Roman" w:cs="Times New Roman"/>
          <w:sz w:val="24"/>
          <w:szCs w:val="24"/>
          <w:lang w:val="en-US"/>
        </w:rPr>
        <w:t>Study centers</w:t>
      </w:r>
      <w:r w:rsidR="00156D7B" w:rsidRPr="007B140B">
        <w:rPr>
          <w:rFonts w:ascii="Times New Roman" w:hAnsi="Times New Roman" w:cs="Times New Roman"/>
          <w:sz w:val="24"/>
          <w:szCs w:val="24"/>
          <w:lang w:val="en-US"/>
        </w:rPr>
        <w:t xml:space="preserve"> (one per principal investigator)</w:t>
      </w:r>
      <w:r w:rsidR="00927BB5" w:rsidRPr="007B140B">
        <w:rPr>
          <w:rFonts w:ascii="Times New Roman" w:hAnsi="Times New Roman" w:cs="Times New Roman"/>
          <w:sz w:val="24"/>
          <w:szCs w:val="24"/>
          <w:lang w:val="en-US"/>
        </w:rPr>
        <w:t xml:space="preserve"> will </w:t>
      </w:r>
      <w:proofErr w:type="gramStart"/>
      <w:r w:rsidR="00927BB5" w:rsidRPr="007B140B">
        <w:rPr>
          <w:rFonts w:ascii="Times New Roman" w:hAnsi="Times New Roman" w:cs="Times New Roman"/>
          <w:sz w:val="24"/>
          <w:szCs w:val="24"/>
          <w:lang w:val="en-US"/>
        </w:rPr>
        <w:t xml:space="preserve">be located </w:t>
      </w:r>
      <w:r w:rsidR="00800489" w:rsidRPr="007B140B">
        <w:rPr>
          <w:rFonts w:ascii="Times New Roman" w:hAnsi="Times New Roman" w:cs="Times New Roman"/>
          <w:sz w:val="24"/>
          <w:szCs w:val="24"/>
          <w:lang w:val="en-US"/>
        </w:rPr>
        <w:t>in</w:t>
      </w:r>
      <w:proofErr w:type="gramEnd"/>
      <w:r w:rsidR="00800489" w:rsidRPr="007B140B">
        <w:rPr>
          <w:rFonts w:ascii="Times New Roman" w:hAnsi="Times New Roman" w:cs="Times New Roman"/>
          <w:sz w:val="24"/>
          <w:szCs w:val="24"/>
          <w:lang w:val="en-US"/>
        </w:rPr>
        <w:t xml:space="preserve"> </w:t>
      </w:r>
      <w:r w:rsidR="00927BB5" w:rsidRPr="007B140B">
        <w:rPr>
          <w:rFonts w:ascii="Times New Roman" w:hAnsi="Times New Roman" w:cs="Times New Roman"/>
          <w:sz w:val="24"/>
          <w:szCs w:val="24"/>
          <w:lang w:val="en-US"/>
        </w:rPr>
        <w:t>major hospitals in Sweden</w:t>
      </w:r>
      <w:r w:rsidRPr="007B140B">
        <w:rPr>
          <w:rFonts w:ascii="Times New Roman" w:hAnsi="Times New Roman" w:cs="Times New Roman"/>
          <w:sz w:val="24"/>
          <w:szCs w:val="24"/>
          <w:lang w:val="en-US"/>
        </w:rPr>
        <w:t>.</w:t>
      </w:r>
      <w:r w:rsidR="00DE23F4" w:rsidRPr="007B140B">
        <w:rPr>
          <w:rFonts w:ascii="Times New Roman" w:hAnsi="Times New Roman" w:cs="Times New Roman"/>
          <w:sz w:val="24"/>
          <w:szCs w:val="24"/>
          <w:lang w:val="en-US"/>
        </w:rPr>
        <w:t xml:space="preserve"> We anticipate that approximately 10 centers will be needed.</w:t>
      </w:r>
      <w:r w:rsidRPr="007B140B">
        <w:rPr>
          <w:rFonts w:ascii="Times New Roman" w:hAnsi="Times New Roman" w:cs="Times New Roman"/>
          <w:sz w:val="24"/>
          <w:szCs w:val="24"/>
          <w:lang w:val="en-US"/>
        </w:rPr>
        <w:t xml:space="preserve"> </w:t>
      </w:r>
      <w:r w:rsidR="006C3013">
        <w:rPr>
          <w:rFonts w:ascii="Times New Roman" w:hAnsi="Times New Roman" w:cs="Times New Roman"/>
          <w:sz w:val="24"/>
          <w:szCs w:val="24"/>
          <w:lang w:val="en-US"/>
        </w:rPr>
        <w:t xml:space="preserve">The sponsor/coordinating investigator will also set up a Coordinating Center. </w:t>
      </w:r>
      <w:r w:rsidR="005016F3" w:rsidRPr="007B140B">
        <w:rPr>
          <w:rFonts w:ascii="Times New Roman" w:hAnsi="Times New Roman" w:cs="Times New Roman"/>
          <w:sz w:val="24"/>
          <w:szCs w:val="24"/>
          <w:lang w:val="en-US"/>
        </w:rPr>
        <w:t>A</w:t>
      </w:r>
      <w:r w:rsidRPr="007B140B">
        <w:rPr>
          <w:rFonts w:ascii="Times New Roman" w:hAnsi="Times New Roman" w:cs="Times New Roman"/>
          <w:sz w:val="24"/>
          <w:szCs w:val="24"/>
          <w:lang w:val="en-US"/>
        </w:rPr>
        <w:t xml:space="preserve"> </w:t>
      </w:r>
      <w:proofErr w:type="gramStart"/>
      <w:r w:rsidRPr="007B140B">
        <w:rPr>
          <w:rFonts w:ascii="Times New Roman" w:hAnsi="Times New Roman" w:cs="Times New Roman"/>
          <w:sz w:val="24"/>
          <w:szCs w:val="24"/>
          <w:lang w:val="en-US"/>
        </w:rPr>
        <w:t>parallel-group</w:t>
      </w:r>
      <w:proofErr w:type="gramEnd"/>
      <w:r w:rsidRPr="007B140B">
        <w:rPr>
          <w:rFonts w:ascii="Times New Roman" w:hAnsi="Times New Roman" w:cs="Times New Roman"/>
          <w:sz w:val="24"/>
          <w:szCs w:val="24"/>
          <w:lang w:val="en-US"/>
        </w:rPr>
        <w:t xml:space="preserve">, randomized, and double-blind design was selected to </w:t>
      </w:r>
      <w:r w:rsidR="005E7011" w:rsidRPr="007B140B">
        <w:rPr>
          <w:rFonts w:ascii="Times New Roman" w:hAnsi="Times New Roman" w:cs="Times New Roman"/>
          <w:sz w:val="24"/>
          <w:szCs w:val="24"/>
          <w:lang w:val="en-US"/>
        </w:rPr>
        <w:t>enable the study to produce</w:t>
      </w:r>
      <w:r w:rsidRPr="007B140B">
        <w:rPr>
          <w:rFonts w:ascii="Times New Roman" w:hAnsi="Times New Roman" w:cs="Times New Roman"/>
          <w:sz w:val="24"/>
          <w:szCs w:val="24"/>
          <w:lang w:val="en-US"/>
        </w:rPr>
        <w:t xml:space="preserve"> </w:t>
      </w:r>
      <w:r w:rsidR="005016F3" w:rsidRPr="007B140B">
        <w:rPr>
          <w:rFonts w:ascii="Times New Roman" w:hAnsi="Times New Roman" w:cs="Times New Roman"/>
          <w:sz w:val="24"/>
          <w:szCs w:val="24"/>
          <w:lang w:val="en-US"/>
        </w:rPr>
        <w:t>substantial</w:t>
      </w:r>
      <w:r w:rsidRPr="007B140B">
        <w:rPr>
          <w:rFonts w:ascii="Times New Roman" w:hAnsi="Times New Roman" w:cs="Times New Roman"/>
          <w:sz w:val="24"/>
          <w:szCs w:val="24"/>
          <w:lang w:val="en-US"/>
        </w:rPr>
        <w:t xml:space="preserve"> confirmatory evidence of efficacy. The trial will be placebo controlled because there is current</w:t>
      </w:r>
      <w:r w:rsidR="003826B4" w:rsidRPr="007B140B">
        <w:rPr>
          <w:rFonts w:ascii="Times New Roman" w:hAnsi="Times New Roman" w:cs="Times New Roman"/>
          <w:sz w:val="24"/>
          <w:szCs w:val="24"/>
          <w:lang w:val="en-US"/>
        </w:rPr>
        <w:t>ly no standard treatment for</w:t>
      </w:r>
      <w:r w:rsidRPr="007B140B">
        <w:rPr>
          <w:rFonts w:ascii="Times New Roman" w:hAnsi="Times New Roman" w:cs="Times New Roman"/>
          <w:sz w:val="24"/>
          <w:szCs w:val="24"/>
          <w:lang w:val="en-US"/>
        </w:rPr>
        <w:t xml:space="preserve"> fracture patients who do not have a hip or vertebral fracture and who have not undergone bone densitometry. </w:t>
      </w:r>
    </w:p>
    <w:p w14:paraId="22233387" w14:textId="236A0F49" w:rsidR="00405654" w:rsidRDefault="00405654" w:rsidP="00405654">
      <w:p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The study is anticipated to take </w:t>
      </w:r>
      <w:r>
        <w:rPr>
          <w:rFonts w:ascii="Times New Roman" w:hAnsi="Times New Roman" w:cs="Times New Roman"/>
          <w:sz w:val="24"/>
          <w:szCs w:val="24"/>
          <w:lang w:val="en-US"/>
        </w:rPr>
        <w:t>1</w:t>
      </w:r>
      <w:r w:rsidR="009F4F9D">
        <w:rPr>
          <w:rFonts w:ascii="Times New Roman" w:hAnsi="Times New Roman" w:cs="Times New Roman"/>
          <w:sz w:val="24"/>
          <w:szCs w:val="24"/>
          <w:lang w:val="en-US"/>
        </w:rPr>
        <w:t>3</w:t>
      </w:r>
      <w:r w:rsidRPr="007B140B">
        <w:rPr>
          <w:rFonts w:ascii="Times New Roman" w:hAnsi="Times New Roman" w:cs="Times New Roman"/>
          <w:sz w:val="24"/>
          <w:szCs w:val="24"/>
          <w:lang w:val="en-US"/>
        </w:rPr>
        <w:t xml:space="preserve"> years to complete</w:t>
      </w:r>
      <w:r>
        <w:rPr>
          <w:rFonts w:ascii="Times New Roman" w:hAnsi="Times New Roman" w:cs="Times New Roman"/>
          <w:sz w:val="24"/>
          <w:szCs w:val="24"/>
          <w:lang w:val="en-US"/>
        </w:rPr>
        <w:t xml:space="preserve"> (</w:t>
      </w:r>
      <w:r w:rsidRPr="007B140B">
        <w:rPr>
          <w:rFonts w:ascii="Times New Roman" w:hAnsi="Times New Roman" w:cs="Times New Roman"/>
          <w:iCs/>
          <w:color w:val="000000" w:themeColor="text1"/>
          <w:sz w:val="24"/>
          <w:szCs w:val="24"/>
          <w:lang w:val="en-US"/>
        </w:rPr>
        <w:t>202</w:t>
      </w:r>
      <w:r w:rsidR="009F4F9D">
        <w:rPr>
          <w:rFonts w:ascii="Times New Roman" w:hAnsi="Times New Roman" w:cs="Times New Roman"/>
          <w:iCs/>
          <w:color w:val="000000" w:themeColor="text1"/>
          <w:sz w:val="24"/>
          <w:szCs w:val="24"/>
          <w:lang w:val="en-US"/>
        </w:rPr>
        <w:t>2</w:t>
      </w:r>
      <w:r w:rsidRPr="007B140B">
        <w:rPr>
          <w:rFonts w:ascii="Times New Roman" w:hAnsi="Times New Roman" w:cs="Times New Roman"/>
          <w:iCs/>
          <w:color w:val="000000" w:themeColor="text1"/>
          <w:sz w:val="24"/>
          <w:szCs w:val="24"/>
          <w:lang w:val="en-US"/>
        </w:rPr>
        <w:t xml:space="preserve"> </w:t>
      </w:r>
      <w:r>
        <w:rPr>
          <w:rFonts w:ascii="Times New Roman" w:hAnsi="Times New Roman" w:cs="Times New Roman"/>
          <w:iCs/>
          <w:color w:val="000000" w:themeColor="text1"/>
          <w:sz w:val="24"/>
          <w:szCs w:val="24"/>
          <w:lang w:val="en-US"/>
        </w:rPr>
        <w:t>–</w:t>
      </w:r>
      <w:r w:rsidRPr="007B140B">
        <w:rPr>
          <w:rFonts w:ascii="Times New Roman" w:hAnsi="Times New Roman" w:cs="Times New Roman"/>
          <w:iCs/>
          <w:color w:val="000000" w:themeColor="text1"/>
          <w:sz w:val="24"/>
          <w:szCs w:val="24"/>
          <w:lang w:val="en-US"/>
        </w:rPr>
        <w:t xml:space="preserve"> 20</w:t>
      </w:r>
      <w:r>
        <w:rPr>
          <w:rFonts w:ascii="Times New Roman" w:hAnsi="Times New Roman" w:cs="Times New Roman"/>
          <w:iCs/>
          <w:color w:val="000000" w:themeColor="text1"/>
          <w:sz w:val="24"/>
          <w:szCs w:val="24"/>
          <w:lang w:val="en-US"/>
        </w:rPr>
        <w:t>3</w:t>
      </w:r>
      <w:r w:rsidR="009F4F9D">
        <w:rPr>
          <w:rFonts w:ascii="Times New Roman" w:hAnsi="Times New Roman" w:cs="Times New Roman"/>
          <w:iCs/>
          <w:color w:val="000000" w:themeColor="text1"/>
          <w:sz w:val="24"/>
          <w:szCs w:val="24"/>
          <w:lang w:val="en-US"/>
        </w:rPr>
        <w:t>5</w:t>
      </w:r>
      <w:r>
        <w:rPr>
          <w:rFonts w:ascii="Times New Roman" w:hAnsi="Times New Roman" w:cs="Times New Roman"/>
          <w:sz w:val="24"/>
          <w:szCs w:val="24"/>
          <w:lang w:val="en-US"/>
        </w:rPr>
        <w:t>)</w:t>
      </w:r>
      <w:r w:rsidRPr="007B140B">
        <w:rPr>
          <w:rFonts w:ascii="Times New Roman" w:hAnsi="Times New Roman" w:cs="Times New Roman"/>
          <w:sz w:val="24"/>
          <w:szCs w:val="24"/>
          <w:lang w:val="en-US"/>
        </w:rPr>
        <w:t xml:space="preserve">. Participants will be recruited during the first </w:t>
      </w:r>
      <w:r w:rsidR="009F4F9D">
        <w:rPr>
          <w:rFonts w:ascii="Times New Roman" w:hAnsi="Times New Roman" w:cs="Times New Roman"/>
          <w:sz w:val="24"/>
          <w:szCs w:val="24"/>
          <w:lang w:val="en-US"/>
        </w:rPr>
        <w:t>3</w:t>
      </w:r>
      <w:r w:rsidRPr="007B140B">
        <w:rPr>
          <w:rFonts w:ascii="Times New Roman" w:hAnsi="Times New Roman" w:cs="Times New Roman"/>
          <w:sz w:val="24"/>
          <w:szCs w:val="24"/>
          <w:lang w:val="en-US"/>
        </w:rPr>
        <w:t xml:space="preserve"> years. The </w:t>
      </w:r>
      <w:r>
        <w:rPr>
          <w:rFonts w:ascii="Times New Roman" w:hAnsi="Times New Roman" w:cs="Times New Roman"/>
          <w:sz w:val="24"/>
          <w:szCs w:val="24"/>
          <w:lang w:val="en-US"/>
        </w:rPr>
        <w:t xml:space="preserve">following </w:t>
      </w:r>
      <w:r w:rsidRPr="007B140B">
        <w:rPr>
          <w:rFonts w:ascii="Times New Roman" w:hAnsi="Times New Roman" w:cs="Times New Roman"/>
          <w:sz w:val="24"/>
          <w:szCs w:val="24"/>
          <w:lang w:val="en-US"/>
        </w:rPr>
        <w:t xml:space="preserve">4 years will be spent </w:t>
      </w:r>
      <w:r>
        <w:rPr>
          <w:rFonts w:ascii="Times New Roman" w:hAnsi="Times New Roman" w:cs="Times New Roman"/>
          <w:sz w:val="24"/>
          <w:szCs w:val="24"/>
          <w:lang w:val="en-US"/>
        </w:rPr>
        <w:t xml:space="preserve">completing the Main Phase for each participant. The final 6 years will be spent completing the Secondary Phase for each participant. </w:t>
      </w:r>
      <w:r w:rsidRPr="007B140B">
        <w:rPr>
          <w:rFonts w:ascii="Times New Roman" w:hAnsi="Times New Roman" w:cs="Times New Roman"/>
          <w:sz w:val="24"/>
          <w:szCs w:val="24"/>
          <w:lang w:val="en-US"/>
        </w:rPr>
        <w:t>The End of Trial</w:t>
      </w:r>
      <w:r>
        <w:rPr>
          <w:rFonts w:ascii="Times New Roman" w:hAnsi="Times New Roman" w:cs="Times New Roman"/>
          <w:sz w:val="24"/>
          <w:szCs w:val="24"/>
          <w:lang w:val="en-US"/>
        </w:rPr>
        <w:t xml:space="preserve"> is defined as the date when registry data are obtained for the 10-year follow-up (that is, 10 years after the last participant has been recruited)</w:t>
      </w:r>
      <w:r w:rsidRPr="007B140B">
        <w:rPr>
          <w:rFonts w:ascii="Times New Roman" w:hAnsi="Times New Roman" w:cs="Times New Roman"/>
          <w:sz w:val="24"/>
          <w:szCs w:val="24"/>
          <w:lang w:val="en-US"/>
        </w:rPr>
        <w:t>.</w:t>
      </w:r>
    </w:p>
    <w:p w14:paraId="578DC87C" w14:textId="6F00867D" w:rsidR="00405654" w:rsidRDefault="00405654" w:rsidP="00927BB5">
      <w:pPr>
        <w:rPr>
          <w:rFonts w:ascii="Times New Roman" w:hAnsi="Times New Roman" w:cs="Times New Roman"/>
          <w:sz w:val="24"/>
          <w:szCs w:val="24"/>
          <w:lang w:val="en-US"/>
        </w:rPr>
      </w:pPr>
      <w:r>
        <w:rPr>
          <w:rFonts w:ascii="Times New Roman" w:hAnsi="Times New Roman" w:cs="Times New Roman"/>
          <w:sz w:val="24"/>
          <w:szCs w:val="24"/>
          <w:lang w:val="en-US"/>
        </w:rPr>
        <w:t>The initial plan was to start enrolling participants in the first quarter of 2021. This start has been delayed until the second half of 2021. The start may be delayed further if the sponsor considers participant enrollment to be unsafe due to the coronavirus disease 2019 (COVID-19) pandemic, which broke out in 2020 (see Section 17).</w:t>
      </w:r>
    </w:p>
    <w:p w14:paraId="0F94D488" w14:textId="77777777" w:rsidR="00405654" w:rsidRPr="007B140B" w:rsidRDefault="00405654" w:rsidP="00927BB5">
      <w:pPr>
        <w:rPr>
          <w:rFonts w:ascii="Times New Roman" w:hAnsi="Times New Roman" w:cs="Times New Roman"/>
          <w:sz w:val="24"/>
          <w:szCs w:val="24"/>
          <w:lang w:val="en-US"/>
        </w:rPr>
      </w:pPr>
    </w:p>
    <w:p w14:paraId="07E65640" w14:textId="2F268D8A" w:rsidR="00884BA9" w:rsidRPr="007B140B" w:rsidRDefault="00E13ABE" w:rsidP="00D36611">
      <w:pPr>
        <w:pStyle w:val="Formatmall4"/>
        <w:rPr>
          <w:rFonts w:cs="Times New Roman"/>
          <w:lang w:val="en-US"/>
        </w:rPr>
      </w:pPr>
      <w:bookmarkStart w:id="28" w:name="_Toc99001400"/>
      <w:r w:rsidRPr="007B140B">
        <w:rPr>
          <w:rFonts w:cs="Times New Roman"/>
          <w:lang w:val="en-US"/>
        </w:rPr>
        <w:t>Eligibility C</w:t>
      </w:r>
      <w:r w:rsidR="00884BA9" w:rsidRPr="007B140B">
        <w:rPr>
          <w:rFonts w:cs="Times New Roman"/>
          <w:lang w:val="en-US"/>
        </w:rPr>
        <w:t>riteria</w:t>
      </w:r>
      <w:bookmarkEnd w:id="28"/>
    </w:p>
    <w:p w14:paraId="0EEFF7B4" w14:textId="2F26B7D2" w:rsidR="00884BA9" w:rsidRPr="007B140B" w:rsidRDefault="00884BA9" w:rsidP="00D36611">
      <w:pPr>
        <w:pStyle w:val="Formatmall3"/>
        <w:rPr>
          <w:rFonts w:cs="Times New Roman"/>
          <w:lang w:val="en-US"/>
        </w:rPr>
      </w:pPr>
      <w:bookmarkStart w:id="29" w:name="_Toc99001401"/>
      <w:r w:rsidRPr="007B140B">
        <w:rPr>
          <w:rFonts w:cs="Times New Roman"/>
          <w:lang w:val="en-US"/>
        </w:rPr>
        <w:t>Inclusion criteria</w:t>
      </w:r>
      <w:bookmarkEnd w:id="29"/>
    </w:p>
    <w:p w14:paraId="4FE9999B" w14:textId="79D31EA2" w:rsidR="00E77340" w:rsidRPr="007B140B" w:rsidRDefault="00EC52DB" w:rsidP="00E77340">
      <w:p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To be included in the </w:t>
      </w:r>
      <w:r w:rsidR="00301A61" w:rsidRPr="007B140B">
        <w:rPr>
          <w:rFonts w:ascii="Times New Roman" w:hAnsi="Times New Roman" w:cs="Times New Roman"/>
          <w:sz w:val="24"/>
          <w:szCs w:val="24"/>
          <w:lang w:val="en-US"/>
        </w:rPr>
        <w:t>trial</w:t>
      </w:r>
      <w:r w:rsidRPr="007B140B">
        <w:rPr>
          <w:rFonts w:ascii="Times New Roman" w:hAnsi="Times New Roman" w:cs="Times New Roman"/>
          <w:sz w:val="24"/>
          <w:szCs w:val="24"/>
          <w:lang w:val="en-US"/>
        </w:rPr>
        <w:t xml:space="preserve">, </w:t>
      </w:r>
      <w:r w:rsidR="001160CC" w:rsidRPr="007B140B">
        <w:rPr>
          <w:rFonts w:ascii="Times New Roman" w:hAnsi="Times New Roman" w:cs="Times New Roman"/>
          <w:sz w:val="24"/>
          <w:szCs w:val="24"/>
          <w:lang w:val="en-US"/>
        </w:rPr>
        <w:t>patients</w:t>
      </w:r>
      <w:r w:rsidRPr="007B140B">
        <w:rPr>
          <w:rFonts w:ascii="Times New Roman" w:hAnsi="Times New Roman" w:cs="Times New Roman"/>
          <w:sz w:val="24"/>
          <w:szCs w:val="24"/>
          <w:lang w:val="en-US"/>
        </w:rPr>
        <w:t xml:space="preserve"> must meet </w:t>
      </w:r>
      <w:proofErr w:type="gramStart"/>
      <w:r w:rsidR="00601B56" w:rsidRPr="007B140B">
        <w:rPr>
          <w:rFonts w:ascii="Times New Roman" w:hAnsi="Times New Roman" w:cs="Times New Roman"/>
          <w:sz w:val="24"/>
          <w:szCs w:val="24"/>
          <w:lang w:val="en-US"/>
        </w:rPr>
        <w:t>all of</w:t>
      </w:r>
      <w:proofErr w:type="gramEnd"/>
      <w:r w:rsidR="00601B56" w:rsidRPr="007B140B">
        <w:rPr>
          <w:rFonts w:ascii="Times New Roman" w:hAnsi="Times New Roman" w:cs="Times New Roman"/>
          <w:sz w:val="24"/>
          <w:szCs w:val="24"/>
          <w:lang w:val="en-US"/>
        </w:rPr>
        <w:t xml:space="preserve"> </w:t>
      </w:r>
      <w:r w:rsidRPr="007B140B">
        <w:rPr>
          <w:rFonts w:ascii="Times New Roman" w:hAnsi="Times New Roman" w:cs="Times New Roman"/>
          <w:sz w:val="24"/>
          <w:szCs w:val="24"/>
          <w:lang w:val="en-US"/>
        </w:rPr>
        <w:t>the following criteria:</w:t>
      </w:r>
    </w:p>
    <w:p w14:paraId="1A252BE1" w14:textId="5D642430" w:rsidR="00E77340" w:rsidRDefault="00875031" w:rsidP="00363CEE">
      <w:pPr>
        <w:pStyle w:val="Liststycke"/>
        <w:numPr>
          <w:ilvl w:val="0"/>
          <w:numId w:val="6"/>
        </w:numPr>
        <w:rPr>
          <w:rFonts w:ascii="Times New Roman" w:hAnsi="Times New Roman" w:cs="Times New Roman"/>
          <w:sz w:val="24"/>
          <w:szCs w:val="24"/>
          <w:lang w:val="en-US"/>
        </w:rPr>
      </w:pPr>
      <w:r w:rsidRPr="007B140B">
        <w:rPr>
          <w:rFonts w:ascii="Times New Roman" w:hAnsi="Times New Roman" w:cs="Times New Roman"/>
          <w:sz w:val="24"/>
          <w:szCs w:val="24"/>
          <w:lang w:val="en-US"/>
        </w:rPr>
        <w:lastRenderedPageBreak/>
        <w:t>W</w:t>
      </w:r>
      <w:r w:rsidR="006B2481" w:rsidRPr="007B140B">
        <w:rPr>
          <w:rFonts w:ascii="Times New Roman" w:hAnsi="Times New Roman" w:cs="Times New Roman"/>
          <w:sz w:val="24"/>
          <w:szCs w:val="24"/>
          <w:lang w:val="en-US"/>
        </w:rPr>
        <w:t xml:space="preserve">illing and </w:t>
      </w:r>
      <w:r w:rsidR="00EC52DB" w:rsidRPr="007B140B">
        <w:rPr>
          <w:rFonts w:ascii="Times New Roman" w:hAnsi="Times New Roman" w:cs="Times New Roman"/>
          <w:sz w:val="24"/>
          <w:szCs w:val="24"/>
          <w:lang w:val="en-US"/>
        </w:rPr>
        <w:t>able to pr</w:t>
      </w:r>
      <w:r w:rsidR="00E77340" w:rsidRPr="007B140B">
        <w:rPr>
          <w:rFonts w:ascii="Times New Roman" w:hAnsi="Times New Roman" w:cs="Times New Roman"/>
          <w:sz w:val="24"/>
          <w:szCs w:val="24"/>
          <w:lang w:val="en-US"/>
        </w:rPr>
        <w:t>ovide written informed consent</w:t>
      </w:r>
    </w:p>
    <w:p w14:paraId="4C5222B3" w14:textId="2C8052A9" w:rsidR="00EC52DB" w:rsidRPr="007B140B" w:rsidRDefault="00875031" w:rsidP="00AF0CEB">
      <w:pPr>
        <w:pStyle w:val="Liststycke"/>
        <w:numPr>
          <w:ilvl w:val="0"/>
          <w:numId w:val="6"/>
        </w:numPr>
        <w:rPr>
          <w:rFonts w:ascii="Times New Roman" w:hAnsi="Times New Roman" w:cs="Times New Roman"/>
          <w:sz w:val="24"/>
          <w:szCs w:val="24"/>
          <w:lang w:val="en-US"/>
        </w:rPr>
      </w:pPr>
      <w:r w:rsidRPr="007B140B">
        <w:rPr>
          <w:rFonts w:ascii="Times New Roman" w:hAnsi="Times New Roman" w:cs="Times New Roman"/>
          <w:sz w:val="24"/>
          <w:szCs w:val="24"/>
          <w:lang w:val="en-US" w:eastAsia="zh-CN"/>
        </w:rPr>
        <w:t>A</w:t>
      </w:r>
      <w:r w:rsidR="00EC52DB" w:rsidRPr="007B140B">
        <w:rPr>
          <w:rFonts w:ascii="Times New Roman" w:hAnsi="Times New Roman" w:cs="Times New Roman"/>
          <w:sz w:val="24"/>
          <w:szCs w:val="24"/>
          <w:lang w:val="en-US"/>
        </w:rPr>
        <w:t>mbulatory</w:t>
      </w:r>
      <w:r w:rsidR="00C4290E" w:rsidRPr="007B140B">
        <w:rPr>
          <w:rFonts w:ascii="Times New Roman" w:hAnsi="Times New Roman" w:cs="Times New Roman"/>
          <w:sz w:val="24"/>
          <w:szCs w:val="24"/>
          <w:lang w:val="en-US"/>
        </w:rPr>
        <w:t xml:space="preserve"> (</w:t>
      </w:r>
      <w:r w:rsidR="001021A4" w:rsidRPr="007B140B">
        <w:rPr>
          <w:rFonts w:ascii="Times New Roman" w:hAnsi="Times New Roman" w:cs="Times New Roman"/>
          <w:sz w:val="24"/>
          <w:szCs w:val="24"/>
          <w:lang w:val="en-US"/>
        </w:rPr>
        <w:t xml:space="preserve">i.e., </w:t>
      </w:r>
      <w:r w:rsidR="00F72C0F" w:rsidRPr="007B140B">
        <w:rPr>
          <w:rFonts w:ascii="Times New Roman" w:hAnsi="Times New Roman" w:cs="Times New Roman"/>
          <w:sz w:val="24"/>
          <w:szCs w:val="24"/>
          <w:lang w:val="en-US"/>
        </w:rPr>
        <w:t>a</w:t>
      </w:r>
      <w:r w:rsidR="00647CEA" w:rsidRPr="007B140B">
        <w:rPr>
          <w:rFonts w:ascii="Times New Roman" w:hAnsi="Times New Roman" w:cs="Times New Roman"/>
          <w:sz w:val="24"/>
          <w:szCs w:val="24"/>
          <w:lang w:val="en-US"/>
        </w:rPr>
        <w:t>ble to walk without the</w:t>
      </w:r>
      <w:r w:rsidR="00F72C0F" w:rsidRPr="007B140B">
        <w:rPr>
          <w:rFonts w:ascii="Times New Roman" w:hAnsi="Times New Roman" w:cs="Times New Roman"/>
          <w:sz w:val="24"/>
          <w:szCs w:val="24"/>
          <w:lang w:val="en-US"/>
        </w:rPr>
        <w:t xml:space="preserve"> assistance of another person; c</w:t>
      </w:r>
      <w:r w:rsidR="00647CEA" w:rsidRPr="007B140B">
        <w:rPr>
          <w:rFonts w:ascii="Times New Roman" w:hAnsi="Times New Roman" w:cs="Times New Roman"/>
          <w:sz w:val="24"/>
          <w:szCs w:val="24"/>
          <w:lang w:val="en-US"/>
        </w:rPr>
        <w:t xml:space="preserve">anes, walkers, and other </w:t>
      </w:r>
      <w:r w:rsidR="00F72C0F" w:rsidRPr="007B140B">
        <w:rPr>
          <w:rFonts w:ascii="Times New Roman" w:hAnsi="Times New Roman" w:cs="Times New Roman"/>
          <w:sz w:val="24"/>
          <w:szCs w:val="24"/>
          <w:lang w:val="en-US"/>
        </w:rPr>
        <w:t>assistive devices are permitted</w:t>
      </w:r>
      <w:r w:rsidR="00647CEA" w:rsidRPr="007B140B">
        <w:rPr>
          <w:rFonts w:ascii="Times New Roman" w:hAnsi="Times New Roman" w:cs="Times New Roman"/>
          <w:sz w:val="24"/>
          <w:szCs w:val="24"/>
          <w:lang w:val="en-US"/>
        </w:rPr>
        <w:t>)</w:t>
      </w:r>
    </w:p>
    <w:p w14:paraId="5F7D0E94" w14:textId="3F1FDF98" w:rsidR="00E77340" w:rsidRPr="007B140B" w:rsidRDefault="00875031" w:rsidP="00363CEE">
      <w:pPr>
        <w:pStyle w:val="Liststycke"/>
        <w:numPr>
          <w:ilvl w:val="0"/>
          <w:numId w:val="6"/>
        </w:numPr>
        <w:rPr>
          <w:rFonts w:ascii="Times New Roman" w:hAnsi="Times New Roman" w:cs="Times New Roman"/>
          <w:sz w:val="24"/>
          <w:szCs w:val="24"/>
          <w:lang w:val="en-US"/>
        </w:rPr>
      </w:pPr>
      <w:r w:rsidRPr="007B140B">
        <w:rPr>
          <w:rFonts w:ascii="Times New Roman" w:hAnsi="Times New Roman" w:cs="Times New Roman"/>
          <w:sz w:val="24"/>
          <w:szCs w:val="24"/>
          <w:lang w:val="en-US" w:eastAsia="zh-CN"/>
        </w:rPr>
        <w:t>C</w:t>
      </w:r>
      <w:r w:rsidR="00FE2269" w:rsidRPr="007B140B">
        <w:rPr>
          <w:rFonts w:ascii="Times New Roman" w:hAnsi="Times New Roman" w:cs="Times New Roman"/>
          <w:sz w:val="24"/>
          <w:szCs w:val="24"/>
          <w:lang w:val="en-US" w:eastAsia="zh-CN"/>
        </w:rPr>
        <w:t xml:space="preserve">ommunity </w:t>
      </w:r>
      <w:r w:rsidR="00F72C0F" w:rsidRPr="007B140B">
        <w:rPr>
          <w:rFonts w:ascii="Times New Roman" w:hAnsi="Times New Roman" w:cs="Times New Roman"/>
          <w:sz w:val="24"/>
          <w:szCs w:val="24"/>
          <w:lang w:val="en-US" w:eastAsia="zh-CN"/>
        </w:rPr>
        <w:t>dwelling</w:t>
      </w:r>
      <w:r w:rsidR="001021A4" w:rsidRPr="007B140B">
        <w:rPr>
          <w:rFonts w:ascii="Times New Roman" w:hAnsi="Times New Roman" w:cs="Times New Roman"/>
          <w:sz w:val="24"/>
          <w:szCs w:val="24"/>
          <w:lang w:val="en-US" w:eastAsia="zh-CN"/>
        </w:rPr>
        <w:t xml:space="preserve"> (i.e., living in </w:t>
      </w:r>
      <w:r w:rsidR="005371C1" w:rsidRPr="007B140B">
        <w:rPr>
          <w:rFonts w:ascii="Times New Roman" w:hAnsi="Times New Roman" w:cs="Times New Roman"/>
          <w:sz w:val="24"/>
          <w:szCs w:val="24"/>
          <w:lang w:val="en-US" w:eastAsia="zh-CN"/>
        </w:rPr>
        <w:t>own</w:t>
      </w:r>
      <w:r w:rsidR="001021A4" w:rsidRPr="007B140B">
        <w:rPr>
          <w:rFonts w:ascii="Times New Roman" w:hAnsi="Times New Roman" w:cs="Times New Roman"/>
          <w:sz w:val="24"/>
          <w:szCs w:val="24"/>
          <w:lang w:val="en-US" w:eastAsia="zh-CN"/>
        </w:rPr>
        <w:t xml:space="preserve"> home</w:t>
      </w:r>
      <w:r w:rsidR="005371C1" w:rsidRPr="007B140B">
        <w:rPr>
          <w:rFonts w:ascii="Times New Roman" w:hAnsi="Times New Roman" w:cs="Times New Roman"/>
          <w:sz w:val="24"/>
          <w:szCs w:val="24"/>
          <w:lang w:val="en-US" w:eastAsia="zh-CN"/>
        </w:rPr>
        <w:t xml:space="preserve"> or with </w:t>
      </w:r>
      <w:r w:rsidR="009F2608" w:rsidRPr="007B140B">
        <w:rPr>
          <w:rFonts w:ascii="Times New Roman" w:hAnsi="Times New Roman" w:cs="Times New Roman"/>
          <w:sz w:val="24"/>
          <w:szCs w:val="24"/>
          <w:lang w:val="en-US" w:eastAsia="zh-CN"/>
        </w:rPr>
        <w:t xml:space="preserve">friends </w:t>
      </w:r>
      <w:r w:rsidR="009F2608">
        <w:rPr>
          <w:rFonts w:ascii="Times New Roman" w:hAnsi="Times New Roman" w:cs="Times New Roman"/>
          <w:sz w:val="24"/>
          <w:szCs w:val="24"/>
          <w:lang w:val="en-US" w:eastAsia="zh-CN"/>
        </w:rPr>
        <w:t xml:space="preserve">or </w:t>
      </w:r>
      <w:r w:rsidR="00FD194F" w:rsidRPr="007B140B">
        <w:rPr>
          <w:rFonts w:ascii="Times New Roman" w:hAnsi="Times New Roman" w:cs="Times New Roman"/>
          <w:sz w:val="24"/>
          <w:szCs w:val="24"/>
          <w:lang w:val="en-US" w:eastAsia="zh-CN"/>
        </w:rPr>
        <w:t>relatives</w:t>
      </w:r>
      <w:r w:rsidR="001021A4" w:rsidRPr="007B140B">
        <w:rPr>
          <w:rFonts w:ascii="Times New Roman" w:hAnsi="Times New Roman" w:cs="Times New Roman"/>
          <w:sz w:val="24"/>
          <w:szCs w:val="24"/>
          <w:lang w:val="en-US" w:eastAsia="zh-CN"/>
        </w:rPr>
        <w:t>)</w:t>
      </w:r>
    </w:p>
    <w:p w14:paraId="74B4A839" w14:textId="5CF573FB" w:rsidR="005F2DD6" w:rsidRDefault="00875031" w:rsidP="00363CEE">
      <w:pPr>
        <w:pStyle w:val="Liststycke"/>
        <w:numPr>
          <w:ilvl w:val="0"/>
          <w:numId w:val="6"/>
        </w:numPr>
        <w:rPr>
          <w:rFonts w:ascii="Times New Roman" w:hAnsi="Times New Roman" w:cs="Times New Roman"/>
          <w:sz w:val="24"/>
          <w:szCs w:val="24"/>
          <w:lang w:val="en-US"/>
        </w:rPr>
      </w:pPr>
      <w:r w:rsidRPr="007B140B">
        <w:rPr>
          <w:rFonts w:ascii="Times New Roman" w:hAnsi="Times New Roman" w:cs="Times New Roman"/>
          <w:sz w:val="24"/>
          <w:szCs w:val="24"/>
          <w:lang w:val="en-US" w:eastAsia="zh-CN"/>
        </w:rPr>
        <w:t>S</w:t>
      </w:r>
      <w:r w:rsidR="00922719" w:rsidRPr="007B140B">
        <w:rPr>
          <w:rFonts w:ascii="Times New Roman" w:hAnsi="Times New Roman" w:cs="Times New Roman"/>
          <w:sz w:val="24"/>
          <w:szCs w:val="24"/>
          <w:lang w:val="en-US" w:eastAsia="zh-CN"/>
        </w:rPr>
        <w:t>ustained a</w:t>
      </w:r>
      <w:r w:rsidR="00EC52DB" w:rsidRPr="007B140B">
        <w:rPr>
          <w:rFonts w:ascii="Times New Roman" w:hAnsi="Times New Roman" w:cs="Times New Roman"/>
          <w:sz w:val="24"/>
          <w:szCs w:val="24"/>
          <w:lang w:val="en-US" w:eastAsia="zh-CN"/>
        </w:rPr>
        <w:t xml:space="preserve"> </w:t>
      </w:r>
      <w:r w:rsidR="00EC52DB" w:rsidRPr="007B140B">
        <w:rPr>
          <w:rFonts w:ascii="Times New Roman" w:hAnsi="Times New Roman" w:cs="Times New Roman"/>
          <w:sz w:val="24"/>
          <w:szCs w:val="24"/>
          <w:lang w:val="en-US"/>
        </w:rPr>
        <w:t xml:space="preserve">non-hip, non-vertebral fragility fracture in the past </w:t>
      </w:r>
      <w:r w:rsidR="0013730A" w:rsidRPr="007B140B">
        <w:rPr>
          <w:rFonts w:ascii="Times New Roman" w:hAnsi="Times New Roman" w:cs="Times New Roman"/>
          <w:sz w:val="24"/>
          <w:szCs w:val="24"/>
          <w:lang w:val="en-US"/>
        </w:rPr>
        <w:t>2</w:t>
      </w:r>
      <w:r w:rsidR="00EC52DB" w:rsidRPr="007B140B">
        <w:rPr>
          <w:rFonts w:ascii="Times New Roman" w:hAnsi="Times New Roman" w:cs="Times New Roman"/>
          <w:sz w:val="24"/>
          <w:szCs w:val="24"/>
          <w:lang w:val="en-US"/>
        </w:rPr>
        <w:t xml:space="preserve"> years</w:t>
      </w:r>
    </w:p>
    <w:p w14:paraId="4F6F39C0" w14:textId="2260D295" w:rsidR="00323797" w:rsidRPr="00066B77" w:rsidRDefault="00323797">
      <w:pPr>
        <w:pStyle w:val="Liststycke"/>
        <w:numPr>
          <w:ilvl w:val="0"/>
          <w:numId w:val="6"/>
        </w:numPr>
        <w:rPr>
          <w:rFonts w:ascii="Times New Roman" w:hAnsi="Times New Roman" w:cs="Times New Roman"/>
          <w:sz w:val="24"/>
          <w:szCs w:val="24"/>
          <w:lang w:val="en-US"/>
        </w:rPr>
      </w:pPr>
      <w:r w:rsidRPr="007B140B">
        <w:rPr>
          <w:rFonts w:ascii="Times New Roman" w:hAnsi="Times New Roman" w:cs="Times New Roman"/>
          <w:sz w:val="24"/>
          <w:szCs w:val="24"/>
          <w:lang w:val="en-US" w:eastAsia="zh-CN"/>
        </w:rPr>
        <w:t xml:space="preserve">Age ≥65 years </w:t>
      </w:r>
      <w:r>
        <w:rPr>
          <w:rFonts w:ascii="Times New Roman" w:hAnsi="Times New Roman" w:cs="Times New Roman"/>
          <w:sz w:val="24"/>
          <w:szCs w:val="24"/>
          <w:lang w:val="en-US" w:eastAsia="zh-CN"/>
        </w:rPr>
        <w:t>at the time of fracture</w:t>
      </w:r>
    </w:p>
    <w:p w14:paraId="38A537B9" w14:textId="77777777" w:rsidR="005F2DD6" w:rsidRPr="007B140B" w:rsidRDefault="005F2DD6" w:rsidP="005F2DD6">
      <w:pPr>
        <w:pStyle w:val="Liststycke"/>
        <w:ind w:left="360"/>
        <w:rPr>
          <w:rFonts w:ascii="Times New Roman" w:hAnsi="Times New Roman" w:cs="Times New Roman"/>
          <w:sz w:val="24"/>
          <w:szCs w:val="24"/>
          <w:lang w:val="en-US"/>
        </w:rPr>
      </w:pPr>
    </w:p>
    <w:p w14:paraId="7D6200C8" w14:textId="7220BF47" w:rsidR="001A5F50" w:rsidRPr="00A342D8" w:rsidRDefault="005F2DD6" w:rsidP="00A342D8">
      <w:pPr>
        <w:rPr>
          <w:rFonts w:ascii="Times New Roman" w:hAnsi="Times New Roman" w:cs="Times New Roman"/>
          <w:sz w:val="24"/>
          <w:szCs w:val="24"/>
          <w:lang w:val="en-US"/>
        </w:rPr>
      </w:pPr>
      <w:r w:rsidRPr="007B140B">
        <w:rPr>
          <w:rFonts w:ascii="Times New Roman" w:hAnsi="Times New Roman" w:cs="Times New Roman"/>
          <w:sz w:val="24"/>
          <w:szCs w:val="24"/>
          <w:lang w:val="en-US"/>
        </w:rPr>
        <w:t>Fragility fractures are defined as fractures occurring after a fall from standing height or less.</w:t>
      </w:r>
      <w:r w:rsidR="006078CC" w:rsidRPr="007B140B">
        <w:rPr>
          <w:rFonts w:ascii="Times New Roman" w:hAnsi="Times New Roman" w:cs="Times New Roman"/>
          <w:sz w:val="24"/>
          <w:szCs w:val="24"/>
          <w:lang w:val="en-US"/>
        </w:rPr>
        <w:fldChar w:fldCharType="begin" w:fldLock="1"/>
      </w:r>
      <w:r w:rsidR="00424E99" w:rsidRPr="007B140B">
        <w:rPr>
          <w:rFonts w:ascii="Times New Roman" w:hAnsi="Times New Roman" w:cs="Times New Roman"/>
          <w:sz w:val="24"/>
          <w:szCs w:val="24"/>
          <w:lang w:val="en-US"/>
        </w:rPr>
        <w:instrText>ADDIN CSL_CITATION {"citationItems":[{"id":"ITEM-1","itemData":{"DOI":"10.1007/s11657-013-0136-1","ISBN":"1862-3514 (Electronic)","ISSN":"18623522","PMID":"24113837","abstract":"UNLABELLED: This report describes the epidemiology, burden, and treatment of osteoporosis in the 27 countries of the European Union (EU27).\\n\\nINTRODUCTION: Osteoporosis is characterized by reduced bone mass and disruption of bone architecture, resulting in increased risk of fragility fractures which represent the main clinical consequence of the disease. Fragility fractures are associated with substantial pain and suffering, disability and even death for affected patients and substantial costs to society. The aim of this report was to characterize the burden of osteoporosis in the EU27 in 2010 and beyond.\\n\\nMETHODS: The literature on fracture incidence and costs of fractures in the EU27 was reviewed and incorporated into a model estimating the clinical and economic burden of osteoporotic fractures in 2010.\\n\\nRESULTS: Twenty-two million women and 5.5 million men were estimated to have osteoporosis; and 3.5 million new fragility fractures were sustained, comprising 610,000 hip fractures, 520,000 vertebral fractures, 560,000 forearm fractures and 1,800,000 other fractures (i.e. fractures of the pelvis, rib, humerus, tibia, fibula, clavicle, scapula, sternum and other femoral fractures). The economic burden of incident and prior fragility fractures was estimated at &lt;euro&gt; 37 billion. Incident fractures represented 66 % of this cost, long-term fracture care 29 % and pharmacological prevention 5 %. Previous and incident fractures also accounted for 1,180,000 quality-adjusted life years lost during 2010. The costs are expected to increase by 25 % in 2025. The majority of individuals who have sustained an osteoporosis-related fracture or who are at high risk of fracture are untreated and the number of patients on treatment is declining.\\n\\nCONCLUSIONS: In spite of the high social and economic cost of osteoporosis, a substantial treatment gap and projected increase of the economic burden driven by the aging populations, the use of pharmacological interventions to prevent fractures has decreased in recent years, suggesting that a change in healthcare policy is warranted.","author":[{"dropping-particle":"","family":"Hernlund","given":"E.","non-dropping-particle":"","parse-names":false,"suffix":""},{"dropping-particle":"","family":"Svedbom","given":"A.","non-dropping-particle":"","parse-names":false,"suffix":""},{"dropping-particle":"","family":"Ivergård","given":"M.","non-dropping-particle":"","parse-names":false,"suffix":""},{"dropping-particle":"","family":"Compston","given":"J.","non-dropping-particle":"","parse-names":false,"suffix":""},{"dropping-particle":"","family":"Cooper","given":"C.","non-dropping-particle":"","parse-names":false,"suffix":""},{"dropping-particle":"","family":"Stenmark","given":"J.","non-dropping-particle":"","parse-names":false,"suffix":""},{"dropping-particle":"V.","family":"McCloskey","given":"E.","non-dropping-particle":"","parse-names":false,"suffix":""},{"dropping-particle":"","family":"Jönsson","given":"B.","non-dropping-particle":"","parse-names":false,"suffix":""},{"dropping-particle":"","family":"Kanis","given":"J. A.","non-dropping-particle":"","parse-names":false,"suffix":""}],"container-title":"Archives of Osteoporosis","id":"ITEM-1","issued":{"date-parts":[["2013"]]},"page":"136","title":"Osteoporosis in the European Union: medical management, epidemiology and economic burden: a report prepared in collaboration with the International Osteoporosis Foundation (IOF) and the European Federation of Pharmaceutical Industry Associations (EFPIA)","type":"article-journal","volume":"8"},"uris":["http://www.mendeley.com/documents/?uuid=06163511-c547-4bb9-8bce-8df6b029298d"]}],"mendeley":{"formattedCitation":"&lt;sup&gt;&lt;sup&gt;10&lt;/sup&gt;&lt;/sup&gt;","plainTextFormattedCitation":"10","previouslyFormattedCitation":"&lt;sup&gt;&lt;sup&gt;10&lt;/sup&gt;&lt;/sup&gt;"},"properties":{"noteIndex":0},"schema":"https://github.com/citation-style-language/schema/raw/master/csl-citation.json"}</w:instrText>
      </w:r>
      <w:r w:rsidR="006078CC" w:rsidRPr="007B140B">
        <w:rPr>
          <w:rFonts w:ascii="Times New Roman" w:hAnsi="Times New Roman" w:cs="Times New Roman"/>
          <w:sz w:val="24"/>
          <w:szCs w:val="24"/>
          <w:lang w:val="en-US"/>
        </w:rPr>
        <w:fldChar w:fldCharType="separate"/>
      </w:r>
      <w:r w:rsidR="0078211F" w:rsidRPr="007B140B">
        <w:rPr>
          <w:rFonts w:ascii="Times New Roman" w:hAnsi="Times New Roman" w:cs="Times New Roman"/>
          <w:noProof/>
          <w:sz w:val="24"/>
          <w:szCs w:val="24"/>
          <w:vertAlign w:val="superscript"/>
          <w:lang w:val="en-US"/>
        </w:rPr>
        <w:t>10</w:t>
      </w:r>
      <w:r w:rsidR="006078CC" w:rsidRPr="007B140B">
        <w:rPr>
          <w:rFonts w:ascii="Times New Roman" w:hAnsi="Times New Roman" w:cs="Times New Roman"/>
          <w:sz w:val="24"/>
          <w:szCs w:val="24"/>
          <w:lang w:val="en-US"/>
        </w:rPr>
        <w:fldChar w:fldCharType="end"/>
      </w:r>
      <w:r w:rsidR="00CF46B6" w:rsidRPr="007B140B">
        <w:rPr>
          <w:rFonts w:ascii="Times New Roman" w:hAnsi="Times New Roman" w:cs="Times New Roman"/>
          <w:sz w:val="24"/>
          <w:szCs w:val="24"/>
          <w:lang w:val="en-US"/>
        </w:rPr>
        <w:t xml:space="preserve"> </w:t>
      </w:r>
      <w:r w:rsidR="003A27F5">
        <w:rPr>
          <w:rFonts w:ascii="Times New Roman" w:hAnsi="Times New Roman" w:cs="Times New Roman"/>
          <w:sz w:val="24"/>
          <w:szCs w:val="24"/>
          <w:lang w:val="en-US"/>
        </w:rPr>
        <w:t xml:space="preserve">In particular, these falls include the following </w:t>
      </w:r>
      <w:r w:rsidR="003A27F5" w:rsidRPr="007B140B">
        <w:rPr>
          <w:rFonts w:ascii="Times New Roman" w:hAnsi="Times New Roman" w:cs="Times New Roman"/>
          <w:sz w:val="24"/>
          <w:szCs w:val="24"/>
          <w:lang w:val="en-US"/>
        </w:rPr>
        <w:t>International Classification of Diseases, 10</w:t>
      </w:r>
      <w:r w:rsidR="003A27F5" w:rsidRPr="007B140B">
        <w:rPr>
          <w:rFonts w:ascii="Times New Roman" w:hAnsi="Times New Roman" w:cs="Times New Roman"/>
          <w:sz w:val="24"/>
          <w:szCs w:val="24"/>
          <w:vertAlign w:val="superscript"/>
          <w:lang w:val="en-US"/>
        </w:rPr>
        <w:t>th</w:t>
      </w:r>
      <w:r w:rsidR="003A27F5">
        <w:rPr>
          <w:rFonts w:ascii="Times New Roman" w:hAnsi="Times New Roman" w:cs="Times New Roman"/>
          <w:sz w:val="24"/>
          <w:szCs w:val="24"/>
          <w:lang w:val="en-US"/>
        </w:rPr>
        <w:t xml:space="preserve"> Revision,</w:t>
      </w:r>
      <w:r w:rsidR="00893F25">
        <w:rPr>
          <w:rFonts w:ascii="Times New Roman" w:hAnsi="Times New Roman" w:cs="Times New Roman"/>
          <w:sz w:val="24"/>
          <w:szCs w:val="24"/>
          <w:lang w:val="en-US"/>
        </w:rPr>
        <w:t xml:space="preserve"> Swedish Version</w:t>
      </w:r>
      <w:r w:rsidR="00155FB0">
        <w:rPr>
          <w:rFonts w:ascii="Times New Roman" w:hAnsi="Times New Roman" w:cs="Times New Roman"/>
          <w:sz w:val="24"/>
          <w:szCs w:val="24"/>
          <w:lang w:val="en-US"/>
        </w:rPr>
        <w:t>,</w:t>
      </w:r>
      <w:r w:rsidR="003A27F5">
        <w:rPr>
          <w:rFonts w:ascii="Times New Roman" w:hAnsi="Times New Roman" w:cs="Times New Roman"/>
          <w:sz w:val="24"/>
          <w:szCs w:val="24"/>
          <w:lang w:val="en-US"/>
        </w:rPr>
        <w:t xml:space="preserve"> (ICD-10</w:t>
      </w:r>
      <w:r w:rsidR="00893F25">
        <w:rPr>
          <w:rFonts w:ascii="Times New Roman" w:hAnsi="Times New Roman" w:cs="Times New Roman"/>
          <w:sz w:val="24"/>
          <w:szCs w:val="24"/>
          <w:lang w:val="en-US"/>
        </w:rPr>
        <w:t>-SE</w:t>
      </w:r>
      <w:r w:rsidR="003A27F5">
        <w:rPr>
          <w:rFonts w:ascii="Times New Roman" w:hAnsi="Times New Roman" w:cs="Times New Roman"/>
          <w:sz w:val="24"/>
          <w:szCs w:val="24"/>
          <w:lang w:val="en-US"/>
        </w:rPr>
        <w:t>) codes:</w:t>
      </w:r>
    </w:p>
    <w:p w14:paraId="1C6D8251" w14:textId="6C7FB818" w:rsidR="001A5F50" w:rsidRPr="00A342D8" w:rsidRDefault="001A5F50" w:rsidP="00066B77">
      <w:pPr>
        <w:pStyle w:val="Liststycke"/>
        <w:numPr>
          <w:ilvl w:val="0"/>
          <w:numId w:val="36"/>
        </w:numPr>
        <w:rPr>
          <w:rFonts w:ascii="Times New Roman" w:hAnsi="Times New Roman" w:cs="Times New Roman"/>
          <w:sz w:val="24"/>
          <w:szCs w:val="24"/>
          <w:lang w:val="en-US"/>
        </w:rPr>
      </w:pPr>
      <w:r w:rsidRPr="00A342D8">
        <w:rPr>
          <w:rFonts w:ascii="Times New Roman" w:hAnsi="Times New Roman" w:cs="Times New Roman"/>
          <w:sz w:val="24"/>
          <w:szCs w:val="24"/>
          <w:lang w:val="en-US"/>
        </w:rPr>
        <w:t>Fall on same level involving ice and snow</w:t>
      </w:r>
      <w:r>
        <w:rPr>
          <w:rFonts w:ascii="Times New Roman" w:hAnsi="Times New Roman" w:cs="Times New Roman"/>
          <w:sz w:val="24"/>
          <w:szCs w:val="24"/>
          <w:lang w:val="en-US"/>
        </w:rPr>
        <w:t xml:space="preserve"> (W00)</w:t>
      </w:r>
    </w:p>
    <w:p w14:paraId="11EB6C5D" w14:textId="552DFB28" w:rsidR="001A5F50" w:rsidRDefault="001A5F50" w:rsidP="00066B77">
      <w:pPr>
        <w:pStyle w:val="Liststycke"/>
        <w:numPr>
          <w:ilvl w:val="0"/>
          <w:numId w:val="36"/>
        </w:numPr>
        <w:rPr>
          <w:rFonts w:ascii="Times New Roman" w:hAnsi="Times New Roman" w:cs="Times New Roman"/>
          <w:sz w:val="24"/>
          <w:szCs w:val="24"/>
          <w:lang w:val="en-US"/>
        </w:rPr>
      </w:pPr>
      <w:r w:rsidRPr="001A5F50">
        <w:rPr>
          <w:rFonts w:ascii="Times New Roman" w:hAnsi="Times New Roman" w:cs="Times New Roman"/>
          <w:sz w:val="24"/>
          <w:szCs w:val="24"/>
          <w:lang w:val="en-US"/>
        </w:rPr>
        <w:t>Fall on same level from slipping, tripping and stumbling</w:t>
      </w:r>
      <w:r>
        <w:rPr>
          <w:rFonts w:ascii="Times New Roman" w:hAnsi="Times New Roman" w:cs="Times New Roman"/>
          <w:sz w:val="24"/>
          <w:szCs w:val="24"/>
          <w:lang w:val="en-US"/>
        </w:rPr>
        <w:t xml:space="preserve"> (W01)</w:t>
      </w:r>
    </w:p>
    <w:p w14:paraId="6009147B" w14:textId="31F0BD86" w:rsidR="001A5F50" w:rsidRDefault="001A5F50" w:rsidP="00066B77">
      <w:pPr>
        <w:pStyle w:val="Liststycke"/>
        <w:numPr>
          <w:ilvl w:val="0"/>
          <w:numId w:val="36"/>
        </w:numPr>
        <w:rPr>
          <w:rFonts w:ascii="Times New Roman" w:hAnsi="Times New Roman" w:cs="Times New Roman"/>
          <w:sz w:val="24"/>
          <w:szCs w:val="24"/>
          <w:lang w:val="en-US"/>
        </w:rPr>
      </w:pPr>
      <w:r w:rsidRPr="001A5F50">
        <w:rPr>
          <w:rFonts w:ascii="Times New Roman" w:hAnsi="Times New Roman" w:cs="Times New Roman"/>
          <w:sz w:val="24"/>
          <w:szCs w:val="24"/>
          <w:lang w:val="en-US"/>
        </w:rPr>
        <w:t>Other fall on same level due to collision with, or pushing by, another person</w:t>
      </w:r>
      <w:r>
        <w:rPr>
          <w:rFonts w:ascii="Times New Roman" w:hAnsi="Times New Roman" w:cs="Times New Roman"/>
          <w:sz w:val="24"/>
          <w:szCs w:val="24"/>
          <w:lang w:val="en-US"/>
        </w:rPr>
        <w:t xml:space="preserve"> (W03)</w:t>
      </w:r>
    </w:p>
    <w:p w14:paraId="7BA38263" w14:textId="3BA612B5" w:rsidR="001A5F50" w:rsidRDefault="001A5F50" w:rsidP="00066B77">
      <w:pPr>
        <w:pStyle w:val="Liststycke"/>
        <w:numPr>
          <w:ilvl w:val="0"/>
          <w:numId w:val="36"/>
        </w:numPr>
        <w:rPr>
          <w:rFonts w:ascii="Times New Roman" w:hAnsi="Times New Roman" w:cs="Times New Roman"/>
          <w:sz w:val="24"/>
          <w:szCs w:val="24"/>
          <w:lang w:val="en-US"/>
        </w:rPr>
      </w:pPr>
      <w:r w:rsidRPr="001A5F50">
        <w:rPr>
          <w:rFonts w:ascii="Times New Roman" w:hAnsi="Times New Roman" w:cs="Times New Roman"/>
          <w:sz w:val="24"/>
          <w:szCs w:val="24"/>
          <w:lang w:val="en-US"/>
        </w:rPr>
        <w:t>Fall while being carried or supported by other persons</w:t>
      </w:r>
      <w:r>
        <w:rPr>
          <w:rFonts w:ascii="Times New Roman" w:hAnsi="Times New Roman" w:cs="Times New Roman"/>
          <w:sz w:val="24"/>
          <w:szCs w:val="24"/>
          <w:lang w:val="en-US"/>
        </w:rPr>
        <w:t xml:space="preserve"> (W04)</w:t>
      </w:r>
    </w:p>
    <w:p w14:paraId="7354C97C" w14:textId="4BF79694" w:rsidR="001A5F50" w:rsidRPr="00A342D8" w:rsidRDefault="001A5F50" w:rsidP="00066B77">
      <w:pPr>
        <w:pStyle w:val="Liststycke"/>
        <w:numPr>
          <w:ilvl w:val="0"/>
          <w:numId w:val="36"/>
        </w:numPr>
        <w:rPr>
          <w:rFonts w:ascii="Times New Roman" w:hAnsi="Times New Roman" w:cs="Times New Roman"/>
          <w:sz w:val="24"/>
          <w:szCs w:val="24"/>
          <w:lang w:val="en-US"/>
        </w:rPr>
      </w:pPr>
      <w:r w:rsidRPr="001A5F50">
        <w:rPr>
          <w:rFonts w:ascii="Times New Roman" w:hAnsi="Times New Roman" w:cs="Times New Roman"/>
          <w:sz w:val="24"/>
          <w:szCs w:val="24"/>
          <w:lang w:val="en-US"/>
        </w:rPr>
        <w:t>Other fall on same level</w:t>
      </w:r>
      <w:r>
        <w:rPr>
          <w:rFonts w:ascii="Times New Roman" w:hAnsi="Times New Roman" w:cs="Times New Roman"/>
          <w:sz w:val="24"/>
          <w:szCs w:val="24"/>
          <w:lang w:val="en-US"/>
        </w:rPr>
        <w:t xml:space="preserve"> (W18)</w:t>
      </w:r>
    </w:p>
    <w:p w14:paraId="2364D3BA" w14:textId="41CF03BA" w:rsidR="00734652" w:rsidRPr="007B140B" w:rsidRDefault="00FF2FD1" w:rsidP="00FF2FD1">
      <w:p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If the </w:t>
      </w:r>
      <w:r w:rsidR="009B6E99">
        <w:rPr>
          <w:rFonts w:ascii="Times New Roman" w:hAnsi="Times New Roman" w:cs="Times New Roman"/>
          <w:sz w:val="24"/>
          <w:szCs w:val="24"/>
          <w:lang w:val="en-US"/>
        </w:rPr>
        <w:t>type of</w:t>
      </w:r>
      <w:r w:rsidRPr="007B140B">
        <w:rPr>
          <w:rFonts w:ascii="Times New Roman" w:hAnsi="Times New Roman" w:cs="Times New Roman"/>
          <w:sz w:val="24"/>
          <w:szCs w:val="24"/>
          <w:lang w:val="en-US"/>
        </w:rPr>
        <w:t xml:space="preserve"> fall is unknown, it will be </w:t>
      </w:r>
      <w:r w:rsidR="001C47B0" w:rsidRPr="007B140B">
        <w:rPr>
          <w:rFonts w:ascii="Times New Roman" w:hAnsi="Times New Roman" w:cs="Times New Roman"/>
          <w:sz w:val="24"/>
          <w:szCs w:val="24"/>
          <w:lang w:val="en-US"/>
        </w:rPr>
        <w:t xml:space="preserve">assumed </w:t>
      </w:r>
      <w:r w:rsidR="00BA2CD0" w:rsidRPr="007B140B">
        <w:rPr>
          <w:rFonts w:ascii="Times New Roman" w:hAnsi="Times New Roman" w:cs="Times New Roman"/>
          <w:i/>
          <w:sz w:val="24"/>
          <w:szCs w:val="24"/>
          <w:lang w:val="en-US"/>
        </w:rPr>
        <w:t>not</w:t>
      </w:r>
      <w:r w:rsidR="00BA2CD0" w:rsidRPr="007B140B">
        <w:rPr>
          <w:rFonts w:ascii="Times New Roman" w:hAnsi="Times New Roman" w:cs="Times New Roman"/>
          <w:sz w:val="24"/>
          <w:szCs w:val="24"/>
          <w:lang w:val="en-US"/>
        </w:rPr>
        <w:t xml:space="preserve"> </w:t>
      </w:r>
      <w:r w:rsidR="001C47B0" w:rsidRPr="007B140B">
        <w:rPr>
          <w:rFonts w:ascii="Times New Roman" w:hAnsi="Times New Roman" w:cs="Times New Roman"/>
          <w:sz w:val="24"/>
          <w:szCs w:val="24"/>
          <w:lang w:val="en-US"/>
        </w:rPr>
        <w:t>to have occurred after a fall from standing height or less</w:t>
      </w:r>
      <w:r w:rsidRPr="007B140B">
        <w:rPr>
          <w:rFonts w:ascii="Times New Roman" w:hAnsi="Times New Roman" w:cs="Times New Roman"/>
          <w:sz w:val="24"/>
          <w:szCs w:val="24"/>
          <w:lang w:val="en-US"/>
        </w:rPr>
        <w:t>.</w:t>
      </w:r>
    </w:p>
    <w:p w14:paraId="0AC13225" w14:textId="28EB7ACF" w:rsidR="007E488F" w:rsidRDefault="005F2DD6" w:rsidP="005F2DD6">
      <w:p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Non-hip, non-vertebral </w:t>
      </w:r>
      <w:r w:rsidR="00922719" w:rsidRPr="007B140B">
        <w:rPr>
          <w:rFonts w:ascii="Times New Roman" w:hAnsi="Times New Roman" w:cs="Times New Roman"/>
          <w:sz w:val="24"/>
          <w:szCs w:val="24"/>
          <w:lang w:val="en-US"/>
        </w:rPr>
        <w:t>fractures</w:t>
      </w:r>
      <w:r w:rsidR="00C64306" w:rsidRPr="007B140B">
        <w:rPr>
          <w:rFonts w:ascii="Times New Roman" w:hAnsi="Times New Roman" w:cs="Times New Roman"/>
          <w:sz w:val="24"/>
          <w:szCs w:val="24"/>
          <w:lang w:val="en-US"/>
        </w:rPr>
        <w:t xml:space="preserve"> </w:t>
      </w:r>
      <w:r w:rsidR="00FF2FD1" w:rsidRPr="007B140B">
        <w:rPr>
          <w:rFonts w:ascii="Times New Roman" w:hAnsi="Times New Roman" w:cs="Times New Roman"/>
          <w:sz w:val="24"/>
          <w:szCs w:val="24"/>
          <w:lang w:val="en-US"/>
        </w:rPr>
        <w:t xml:space="preserve">will </w:t>
      </w:r>
      <w:r w:rsidRPr="007B140B">
        <w:rPr>
          <w:rFonts w:ascii="Times New Roman" w:hAnsi="Times New Roman" w:cs="Times New Roman"/>
          <w:sz w:val="24"/>
          <w:szCs w:val="24"/>
          <w:lang w:val="en-US"/>
        </w:rPr>
        <w:t xml:space="preserve">include </w:t>
      </w:r>
      <w:r w:rsidR="007E488F">
        <w:rPr>
          <w:rFonts w:ascii="Times New Roman" w:hAnsi="Times New Roman" w:cs="Times New Roman"/>
          <w:sz w:val="24"/>
          <w:szCs w:val="24"/>
          <w:lang w:val="en-US"/>
        </w:rPr>
        <w:t xml:space="preserve">all </w:t>
      </w:r>
      <w:r w:rsidRPr="007B140B">
        <w:rPr>
          <w:rFonts w:ascii="Times New Roman" w:hAnsi="Times New Roman" w:cs="Times New Roman"/>
          <w:sz w:val="24"/>
          <w:szCs w:val="24"/>
          <w:lang w:val="en-US"/>
        </w:rPr>
        <w:t>fractures</w:t>
      </w:r>
      <w:r w:rsidR="007E488F">
        <w:rPr>
          <w:rFonts w:ascii="Times New Roman" w:hAnsi="Times New Roman" w:cs="Times New Roman"/>
          <w:sz w:val="24"/>
          <w:szCs w:val="24"/>
          <w:lang w:val="en-US"/>
        </w:rPr>
        <w:t xml:space="preserve"> other than </w:t>
      </w:r>
      <w:r w:rsidRPr="007B140B">
        <w:rPr>
          <w:rFonts w:ascii="Times New Roman" w:hAnsi="Times New Roman" w:cs="Times New Roman"/>
          <w:sz w:val="24"/>
          <w:szCs w:val="24"/>
          <w:lang w:val="en-US"/>
        </w:rPr>
        <w:t xml:space="preserve">of the face, skull, hands, </w:t>
      </w:r>
      <w:r w:rsidR="008D662B" w:rsidRPr="007B140B">
        <w:rPr>
          <w:rFonts w:ascii="Times New Roman" w:hAnsi="Times New Roman" w:cs="Times New Roman"/>
          <w:sz w:val="24"/>
          <w:szCs w:val="24"/>
          <w:lang w:val="en-US"/>
        </w:rPr>
        <w:t>and feet</w:t>
      </w:r>
      <w:r w:rsidR="007E488F">
        <w:rPr>
          <w:rFonts w:ascii="Times New Roman" w:hAnsi="Times New Roman" w:cs="Times New Roman"/>
          <w:sz w:val="24"/>
          <w:szCs w:val="24"/>
          <w:lang w:val="en-US"/>
        </w:rPr>
        <w:t>, as</w:t>
      </w:r>
      <w:r w:rsidR="00DD1A9C" w:rsidRPr="007B140B">
        <w:rPr>
          <w:rFonts w:ascii="Times New Roman" w:hAnsi="Times New Roman" w:cs="Times New Roman"/>
          <w:sz w:val="24"/>
          <w:szCs w:val="24"/>
          <w:lang w:val="en-US"/>
        </w:rPr>
        <w:t xml:space="preserve"> these are </w:t>
      </w:r>
      <w:r w:rsidR="007E488F" w:rsidRPr="007B140B">
        <w:rPr>
          <w:rFonts w:ascii="Times New Roman" w:hAnsi="Times New Roman" w:cs="Times New Roman"/>
          <w:sz w:val="24"/>
          <w:szCs w:val="24"/>
          <w:lang w:val="en-US"/>
        </w:rPr>
        <w:t xml:space="preserve">not </w:t>
      </w:r>
      <w:r w:rsidR="007A7525" w:rsidRPr="007B140B">
        <w:rPr>
          <w:rFonts w:ascii="Times New Roman" w:hAnsi="Times New Roman" w:cs="Times New Roman"/>
          <w:sz w:val="24"/>
          <w:szCs w:val="24"/>
          <w:lang w:val="en-US"/>
        </w:rPr>
        <w:t xml:space="preserve">generally </w:t>
      </w:r>
      <w:r w:rsidR="00DD1A9C" w:rsidRPr="007B140B">
        <w:rPr>
          <w:rFonts w:ascii="Times New Roman" w:hAnsi="Times New Roman" w:cs="Times New Roman"/>
          <w:sz w:val="24"/>
          <w:szCs w:val="24"/>
          <w:lang w:val="en-US"/>
        </w:rPr>
        <w:t>considered osteoporotic</w:t>
      </w:r>
      <w:r w:rsidRPr="007B140B">
        <w:rPr>
          <w:rFonts w:ascii="Times New Roman" w:hAnsi="Times New Roman" w:cs="Times New Roman"/>
          <w:sz w:val="24"/>
          <w:szCs w:val="24"/>
          <w:lang w:val="en-US"/>
        </w:rPr>
        <w:t>.</w:t>
      </w:r>
      <w:r w:rsidR="00D212DB" w:rsidRPr="007B140B">
        <w:rPr>
          <w:rFonts w:ascii="Times New Roman" w:hAnsi="Times New Roman" w:cs="Times New Roman"/>
          <w:sz w:val="24"/>
          <w:szCs w:val="24"/>
          <w:lang w:val="en-US"/>
        </w:rPr>
        <w:fldChar w:fldCharType="begin" w:fldLock="1"/>
      </w:r>
      <w:r w:rsidR="00424E99" w:rsidRPr="007B140B">
        <w:rPr>
          <w:rFonts w:ascii="Times New Roman" w:hAnsi="Times New Roman" w:cs="Times New Roman"/>
          <w:sz w:val="24"/>
          <w:szCs w:val="24"/>
          <w:lang w:val="en-US"/>
        </w:rPr>
        <w:instrText>ADDIN CSL_CITATION {"citationItems":[{"id":"ITEM-1","itemData":{"DOI":"10.1007/s11657-013-0136-1","ISBN":"1862-3514 (Electronic)","ISSN":"18623522","PMID":"24113837","abstract":"UNLABELLED: This report describes the epidemiology, burden, and treatment of osteoporosis in the 27 countries of the European Union (EU27).\\n\\nINTRODUCTION: Osteoporosis is characterized by reduced bone mass and disruption of bone architecture, resulting in increased risk of fragility fractures which represent the main clinical consequence of the disease. Fragility fractures are associated with substantial pain and suffering, disability and even death for affected patients and substantial costs to society. The aim of this report was to characterize the burden of osteoporosis in the EU27 in 2010 and beyond.\\n\\nMETHODS: The literature on fracture incidence and costs of fractures in the EU27 was reviewed and incorporated into a model estimating the clinical and economic burden of osteoporotic fractures in 2010.\\n\\nRESULTS: Twenty-two million women and 5.5 million men were estimated to have osteoporosis; and 3.5 million new fragility fractures were sustained, comprising 610,000 hip fractures, 520,000 vertebral fractures, 560,000 forearm fractures and 1,800,000 other fractures (i.e. fractures of the pelvis, rib, humerus, tibia, fibula, clavicle, scapula, sternum and other femoral fractures). The economic burden of incident and prior fragility fractures was estimated at &lt;euro&gt; 37 billion. Incident fractures represented 66 % of this cost, long-term fracture care 29 % and pharmacological prevention 5 %. Previous and incident fractures also accounted for 1,180,000 quality-adjusted life years lost during 2010. The costs are expected to increase by 25 % in 2025. The majority of individuals who have sustained an osteoporosis-related fracture or who are at high risk of fracture are untreated and the number of patients on treatment is declining.\\n\\nCONCLUSIONS: In spite of the high social and economic cost of osteoporosis, a substantial treatment gap and projected increase of the economic burden driven by the aging populations, the use of pharmacological interventions to prevent fractures has decreased in recent years, suggesting that a change in healthcare policy is warranted.","author":[{"dropping-particle":"","family":"Hernlund","given":"E.","non-dropping-particle":"","parse-names":false,"suffix":""},{"dropping-particle":"","family":"Svedbom","given":"A.","non-dropping-particle":"","parse-names":false,"suffix":""},{"dropping-particle":"","family":"Ivergård","given":"M.","non-dropping-particle":"","parse-names":false,"suffix":""},{"dropping-particle":"","family":"Compston","given":"J.","non-dropping-particle":"","parse-names":false,"suffix":""},{"dropping-particle":"","family":"Cooper","given":"C.","non-dropping-particle":"","parse-names":false,"suffix":""},{"dropping-particle":"","family":"Stenmark","given":"J.","non-dropping-particle":"","parse-names":false,"suffix":""},{"dropping-particle":"V.","family":"McCloskey","given":"E.","non-dropping-particle":"","parse-names":false,"suffix":""},{"dropping-particle":"","family":"Jönsson","given":"B.","non-dropping-particle":"","parse-names":false,"suffix":""},{"dropping-particle":"","family":"Kanis","given":"J. A.","non-dropping-particle":"","parse-names":false,"suffix":""}],"container-title":"Archives of Osteoporosis","id":"ITEM-1","issued":{"date-parts":[["2013"]]},"page":"136","title":"Osteoporosis in the European Union: medical management, epidemiology and economic burden: a report prepared in collaboration with the International Osteoporosis Foundation (IOF) and the European Federation of Pharmaceutical Industry Associations (EFPIA)","type":"article-journal","volume":"8"},"uris":["http://www.mendeley.com/documents/?uuid=06163511-c547-4bb9-8bce-8df6b029298d"]}],"mendeley":{"formattedCitation":"&lt;sup&gt;&lt;sup&gt;10&lt;/sup&gt;&lt;/sup&gt;","plainTextFormattedCitation":"10","previouslyFormattedCitation":"&lt;sup&gt;&lt;sup&gt;10&lt;/sup&gt;&lt;/sup&gt;"},"properties":{"noteIndex":0},"schema":"https://github.com/citation-style-language/schema/raw/master/csl-citation.json"}</w:instrText>
      </w:r>
      <w:r w:rsidR="00D212DB" w:rsidRPr="007B140B">
        <w:rPr>
          <w:rFonts w:ascii="Times New Roman" w:hAnsi="Times New Roman" w:cs="Times New Roman"/>
          <w:sz w:val="24"/>
          <w:szCs w:val="24"/>
          <w:lang w:val="en-US"/>
        </w:rPr>
        <w:fldChar w:fldCharType="separate"/>
      </w:r>
      <w:r w:rsidR="0078211F" w:rsidRPr="007B140B">
        <w:rPr>
          <w:rFonts w:ascii="Times New Roman" w:hAnsi="Times New Roman" w:cs="Times New Roman"/>
          <w:noProof/>
          <w:sz w:val="24"/>
          <w:szCs w:val="24"/>
          <w:vertAlign w:val="superscript"/>
          <w:lang w:val="en-US"/>
        </w:rPr>
        <w:t>10</w:t>
      </w:r>
      <w:r w:rsidR="00D212DB" w:rsidRPr="007B140B">
        <w:rPr>
          <w:rFonts w:ascii="Times New Roman" w:hAnsi="Times New Roman" w:cs="Times New Roman"/>
          <w:sz w:val="24"/>
          <w:szCs w:val="24"/>
          <w:lang w:val="en-US"/>
        </w:rPr>
        <w:fldChar w:fldCharType="end"/>
      </w:r>
      <w:r w:rsidR="007E488F">
        <w:rPr>
          <w:rFonts w:ascii="Times New Roman" w:hAnsi="Times New Roman" w:cs="Times New Roman"/>
          <w:sz w:val="24"/>
          <w:szCs w:val="24"/>
          <w:lang w:val="en-US"/>
        </w:rPr>
        <w:t xml:space="preserve"> In particular, the following fractures will be included (ICD-10-SE):</w:t>
      </w:r>
    </w:p>
    <w:p w14:paraId="79219918" w14:textId="6BFE6544" w:rsidR="007E488F" w:rsidRDefault="007E488F" w:rsidP="00066B77">
      <w:pPr>
        <w:pStyle w:val="Liststycke"/>
        <w:numPr>
          <w:ilvl w:val="0"/>
          <w:numId w:val="37"/>
        </w:numPr>
        <w:rPr>
          <w:rFonts w:ascii="Times New Roman" w:hAnsi="Times New Roman" w:cs="Times New Roman"/>
          <w:sz w:val="24"/>
          <w:szCs w:val="24"/>
          <w:lang w:val="en-US"/>
        </w:rPr>
      </w:pPr>
      <w:r w:rsidRPr="007E488F">
        <w:rPr>
          <w:rFonts w:ascii="Times New Roman" w:hAnsi="Times New Roman" w:cs="Times New Roman"/>
          <w:sz w:val="24"/>
          <w:szCs w:val="24"/>
          <w:lang w:val="en-US"/>
        </w:rPr>
        <w:t xml:space="preserve">Ribs/sternum/bony thorax </w:t>
      </w:r>
      <w:r>
        <w:rPr>
          <w:rFonts w:ascii="Times New Roman" w:hAnsi="Times New Roman" w:cs="Times New Roman"/>
          <w:sz w:val="24"/>
          <w:szCs w:val="24"/>
          <w:lang w:val="en-US"/>
        </w:rPr>
        <w:t>(</w:t>
      </w:r>
      <w:r w:rsidRPr="007E488F">
        <w:rPr>
          <w:rFonts w:ascii="Times New Roman" w:hAnsi="Times New Roman" w:cs="Times New Roman"/>
          <w:sz w:val="24"/>
          <w:szCs w:val="24"/>
          <w:lang w:val="en-US"/>
        </w:rPr>
        <w:t>S22.2-S22.8</w:t>
      </w:r>
      <w:r w:rsidR="00C808B5">
        <w:rPr>
          <w:rFonts w:ascii="Times New Roman" w:hAnsi="Times New Roman" w:cs="Times New Roman"/>
          <w:sz w:val="24"/>
          <w:szCs w:val="24"/>
          <w:lang w:val="en-US"/>
        </w:rPr>
        <w:t>)</w:t>
      </w:r>
      <w:r w:rsidRPr="007E488F">
        <w:rPr>
          <w:rFonts w:ascii="Times New Roman" w:hAnsi="Times New Roman" w:cs="Times New Roman"/>
          <w:sz w:val="24"/>
          <w:szCs w:val="24"/>
          <w:lang w:val="en-US"/>
        </w:rPr>
        <w:t xml:space="preserve"> </w:t>
      </w:r>
    </w:p>
    <w:p w14:paraId="7A4385BC" w14:textId="77777777" w:rsidR="007E488F" w:rsidRDefault="007E488F" w:rsidP="00066B77">
      <w:pPr>
        <w:pStyle w:val="Liststycke"/>
        <w:numPr>
          <w:ilvl w:val="0"/>
          <w:numId w:val="37"/>
        </w:numPr>
        <w:rPr>
          <w:rFonts w:ascii="Times New Roman" w:hAnsi="Times New Roman" w:cs="Times New Roman"/>
          <w:sz w:val="24"/>
          <w:szCs w:val="24"/>
          <w:lang w:val="en-US"/>
        </w:rPr>
      </w:pPr>
      <w:r>
        <w:rPr>
          <w:rFonts w:ascii="Times New Roman" w:hAnsi="Times New Roman" w:cs="Times New Roman"/>
          <w:sz w:val="24"/>
          <w:szCs w:val="24"/>
          <w:lang w:val="en-US"/>
        </w:rPr>
        <w:t>Pelvis (</w:t>
      </w:r>
      <w:r w:rsidRPr="007E488F">
        <w:rPr>
          <w:rFonts w:ascii="Times New Roman" w:hAnsi="Times New Roman" w:cs="Times New Roman"/>
          <w:sz w:val="24"/>
          <w:szCs w:val="24"/>
          <w:lang w:val="en-US"/>
        </w:rPr>
        <w:t>S32.1-S32.5</w:t>
      </w:r>
      <w:r>
        <w:rPr>
          <w:rFonts w:ascii="Times New Roman" w:hAnsi="Times New Roman" w:cs="Times New Roman"/>
          <w:sz w:val="24"/>
          <w:szCs w:val="24"/>
          <w:lang w:val="en-US"/>
        </w:rPr>
        <w:t>)</w:t>
      </w:r>
    </w:p>
    <w:p w14:paraId="61B88C15" w14:textId="577505EC" w:rsidR="00A00E86" w:rsidRDefault="00511724" w:rsidP="00066B77">
      <w:pPr>
        <w:pStyle w:val="Liststycke"/>
        <w:numPr>
          <w:ilvl w:val="0"/>
          <w:numId w:val="37"/>
        </w:numPr>
        <w:rPr>
          <w:rFonts w:ascii="Times New Roman" w:hAnsi="Times New Roman" w:cs="Times New Roman"/>
          <w:sz w:val="24"/>
          <w:szCs w:val="24"/>
          <w:lang w:val="en-US"/>
        </w:rPr>
      </w:pPr>
      <w:r>
        <w:rPr>
          <w:rFonts w:ascii="Times New Roman" w:hAnsi="Times New Roman" w:cs="Times New Roman"/>
          <w:sz w:val="24"/>
          <w:szCs w:val="24"/>
          <w:lang w:val="en-US"/>
        </w:rPr>
        <w:t>Shoulder/u</w:t>
      </w:r>
      <w:r w:rsidR="007E488F">
        <w:rPr>
          <w:rFonts w:ascii="Times New Roman" w:hAnsi="Times New Roman" w:cs="Times New Roman"/>
          <w:sz w:val="24"/>
          <w:szCs w:val="24"/>
          <w:lang w:val="en-US"/>
        </w:rPr>
        <w:t>pper arm</w:t>
      </w:r>
      <w:r w:rsidR="00A00E86">
        <w:rPr>
          <w:rFonts w:ascii="Times New Roman" w:hAnsi="Times New Roman" w:cs="Times New Roman"/>
          <w:sz w:val="24"/>
          <w:szCs w:val="24"/>
          <w:lang w:val="en-US"/>
        </w:rPr>
        <w:t xml:space="preserve"> </w:t>
      </w:r>
      <w:r w:rsidR="007E488F">
        <w:rPr>
          <w:rFonts w:ascii="Times New Roman" w:hAnsi="Times New Roman" w:cs="Times New Roman"/>
          <w:sz w:val="24"/>
          <w:szCs w:val="24"/>
          <w:lang w:val="en-US"/>
        </w:rPr>
        <w:t>(</w:t>
      </w:r>
      <w:r w:rsidR="007E488F" w:rsidRPr="007E488F">
        <w:rPr>
          <w:rFonts w:ascii="Times New Roman" w:hAnsi="Times New Roman" w:cs="Times New Roman"/>
          <w:sz w:val="24"/>
          <w:szCs w:val="24"/>
          <w:lang w:val="en-US"/>
        </w:rPr>
        <w:t>S42</w:t>
      </w:r>
      <w:r w:rsidR="007E488F">
        <w:rPr>
          <w:rFonts w:ascii="Times New Roman" w:hAnsi="Times New Roman" w:cs="Times New Roman"/>
          <w:sz w:val="24"/>
          <w:szCs w:val="24"/>
          <w:lang w:val="en-US"/>
        </w:rPr>
        <w:t>)</w:t>
      </w:r>
    </w:p>
    <w:p w14:paraId="002ADA6A" w14:textId="77777777" w:rsidR="00A00E86" w:rsidRDefault="00A00E86" w:rsidP="00066B77">
      <w:pPr>
        <w:pStyle w:val="Liststycke"/>
        <w:numPr>
          <w:ilvl w:val="0"/>
          <w:numId w:val="37"/>
        </w:numPr>
        <w:rPr>
          <w:rFonts w:ascii="Times New Roman" w:hAnsi="Times New Roman" w:cs="Times New Roman"/>
          <w:sz w:val="24"/>
          <w:szCs w:val="24"/>
          <w:lang w:val="en-US"/>
        </w:rPr>
      </w:pPr>
      <w:r>
        <w:rPr>
          <w:rFonts w:ascii="Times New Roman" w:hAnsi="Times New Roman" w:cs="Times New Roman"/>
          <w:sz w:val="24"/>
          <w:szCs w:val="24"/>
          <w:lang w:val="en-US"/>
        </w:rPr>
        <w:t>Forearm (</w:t>
      </w:r>
      <w:r w:rsidR="007E488F" w:rsidRPr="007E488F">
        <w:rPr>
          <w:rFonts w:ascii="Times New Roman" w:hAnsi="Times New Roman" w:cs="Times New Roman"/>
          <w:sz w:val="24"/>
          <w:szCs w:val="24"/>
          <w:lang w:val="en-US"/>
        </w:rPr>
        <w:t>S52</w:t>
      </w:r>
      <w:r>
        <w:rPr>
          <w:rFonts w:ascii="Times New Roman" w:hAnsi="Times New Roman" w:cs="Times New Roman"/>
          <w:sz w:val="24"/>
          <w:szCs w:val="24"/>
          <w:lang w:val="en-US"/>
        </w:rPr>
        <w:t>)</w:t>
      </w:r>
    </w:p>
    <w:p w14:paraId="3D3DEBA5" w14:textId="77777777" w:rsidR="00A00E86" w:rsidRDefault="00A00E86" w:rsidP="00066B77">
      <w:pPr>
        <w:pStyle w:val="Liststycke"/>
        <w:numPr>
          <w:ilvl w:val="0"/>
          <w:numId w:val="37"/>
        </w:numPr>
        <w:rPr>
          <w:rFonts w:ascii="Times New Roman" w:hAnsi="Times New Roman" w:cs="Times New Roman"/>
          <w:sz w:val="24"/>
          <w:szCs w:val="24"/>
          <w:lang w:val="en-US"/>
        </w:rPr>
      </w:pPr>
      <w:r>
        <w:rPr>
          <w:rFonts w:ascii="Times New Roman" w:hAnsi="Times New Roman" w:cs="Times New Roman"/>
          <w:sz w:val="24"/>
          <w:szCs w:val="24"/>
          <w:lang w:val="en-US"/>
        </w:rPr>
        <w:t>Femur, excluding hip (</w:t>
      </w:r>
      <w:r w:rsidR="007E488F" w:rsidRPr="007E488F">
        <w:rPr>
          <w:rFonts w:ascii="Times New Roman" w:hAnsi="Times New Roman" w:cs="Times New Roman"/>
          <w:sz w:val="24"/>
          <w:szCs w:val="24"/>
          <w:lang w:val="en-US"/>
        </w:rPr>
        <w:t>S72.3-S72.4</w:t>
      </w:r>
      <w:r>
        <w:rPr>
          <w:rFonts w:ascii="Times New Roman" w:hAnsi="Times New Roman" w:cs="Times New Roman"/>
          <w:sz w:val="24"/>
          <w:szCs w:val="24"/>
          <w:lang w:val="en-US"/>
        </w:rPr>
        <w:t>)</w:t>
      </w:r>
    </w:p>
    <w:p w14:paraId="1841043C" w14:textId="3A592C7F" w:rsidR="007E488F" w:rsidRPr="007E488F" w:rsidRDefault="00A00E86" w:rsidP="00066B77">
      <w:pPr>
        <w:pStyle w:val="Liststycke"/>
        <w:numPr>
          <w:ilvl w:val="0"/>
          <w:numId w:val="37"/>
        </w:numPr>
        <w:rPr>
          <w:rFonts w:ascii="Times New Roman" w:hAnsi="Times New Roman" w:cs="Times New Roman"/>
          <w:sz w:val="24"/>
          <w:szCs w:val="24"/>
          <w:lang w:val="en-US"/>
        </w:rPr>
      </w:pPr>
      <w:r>
        <w:rPr>
          <w:rFonts w:ascii="Times New Roman" w:hAnsi="Times New Roman" w:cs="Times New Roman"/>
          <w:sz w:val="24"/>
          <w:szCs w:val="24"/>
          <w:lang w:val="en-US"/>
        </w:rPr>
        <w:t>Lower leg (</w:t>
      </w:r>
      <w:r w:rsidR="007E488F" w:rsidRPr="007E488F">
        <w:rPr>
          <w:rFonts w:ascii="Times New Roman" w:hAnsi="Times New Roman" w:cs="Times New Roman"/>
          <w:sz w:val="24"/>
          <w:szCs w:val="24"/>
          <w:lang w:val="en-US"/>
        </w:rPr>
        <w:t>S82)</w:t>
      </w:r>
    </w:p>
    <w:p w14:paraId="7E636179" w14:textId="4AD4F8B9" w:rsidR="00301A61" w:rsidRPr="007B140B" w:rsidRDefault="008D662B" w:rsidP="005F2DD6">
      <w:p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The limit of no more than </w:t>
      </w:r>
      <w:r w:rsidR="00322E48" w:rsidRPr="007B140B">
        <w:rPr>
          <w:rFonts w:ascii="Times New Roman" w:hAnsi="Times New Roman" w:cs="Times New Roman"/>
          <w:sz w:val="24"/>
          <w:szCs w:val="24"/>
          <w:lang w:val="en-US"/>
        </w:rPr>
        <w:t>2</w:t>
      </w:r>
      <w:r w:rsidRPr="007B140B">
        <w:rPr>
          <w:rFonts w:ascii="Times New Roman" w:hAnsi="Times New Roman" w:cs="Times New Roman"/>
          <w:sz w:val="24"/>
          <w:szCs w:val="24"/>
          <w:lang w:val="en-US"/>
        </w:rPr>
        <w:t xml:space="preserve"> years since </w:t>
      </w:r>
      <w:r w:rsidR="00D9712F">
        <w:rPr>
          <w:rFonts w:ascii="Times New Roman" w:hAnsi="Times New Roman" w:cs="Times New Roman"/>
          <w:sz w:val="24"/>
          <w:szCs w:val="24"/>
          <w:lang w:val="en-US"/>
        </w:rPr>
        <w:t xml:space="preserve">the </w:t>
      </w:r>
      <w:r w:rsidR="00024656" w:rsidRPr="007B140B">
        <w:rPr>
          <w:rFonts w:ascii="Times New Roman" w:hAnsi="Times New Roman" w:cs="Times New Roman"/>
          <w:sz w:val="24"/>
          <w:szCs w:val="24"/>
          <w:lang w:val="en-US"/>
        </w:rPr>
        <w:t xml:space="preserve">fracture is based on </w:t>
      </w:r>
      <w:r w:rsidRPr="007B140B">
        <w:rPr>
          <w:rFonts w:ascii="Times New Roman" w:hAnsi="Times New Roman" w:cs="Times New Roman"/>
          <w:sz w:val="24"/>
          <w:szCs w:val="24"/>
          <w:lang w:val="en-US"/>
        </w:rPr>
        <w:t xml:space="preserve">two considerations. </w:t>
      </w:r>
      <w:r w:rsidR="00D9712F">
        <w:rPr>
          <w:rFonts w:ascii="Times New Roman" w:hAnsi="Times New Roman" w:cs="Times New Roman"/>
          <w:sz w:val="24"/>
          <w:szCs w:val="24"/>
          <w:lang w:val="en-US"/>
        </w:rPr>
        <w:t>F</w:t>
      </w:r>
      <w:r w:rsidRPr="007B140B">
        <w:rPr>
          <w:rFonts w:ascii="Times New Roman" w:hAnsi="Times New Roman" w:cs="Times New Roman"/>
          <w:sz w:val="24"/>
          <w:szCs w:val="24"/>
          <w:lang w:val="en-US"/>
        </w:rPr>
        <w:t>irst</w:t>
      </w:r>
      <w:r w:rsidR="00D9712F">
        <w:rPr>
          <w:rFonts w:ascii="Times New Roman" w:hAnsi="Times New Roman" w:cs="Times New Roman"/>
          <w:sz w:val="24"/>
          <w:szCs w:val="24"/>
          <w:lang w:val="en-US"/>
        </w:rPr>
        <w:t>,</w:t>
      </w:r>
      <w:r w:rsidRPr="007B140B">
        <w:rPr>
          <w:rFonts w:ascii="Times New Roman" w:hAnsi="Times New Roman" w:cs="Times New Roman"/>
          <w:sz w:val="24"/>
          <w:szCs w:val="24"/>
          <w:lang w:val="en-US"/>
        </w:rPr>
        <w:t xml:space="preserve"> the risk of sustaining a new fracture is highest soon after the initial fracture</w:t>
      </w:r>
      <w:r w:rsidR="005E7C83" w:rsidRPr="007B140B">
        <w:rPr>
          <w:rFonts w:ascii="Times New Roman" w:hAnsi="Times New Roman" w:cs="Times New Roman"/>
          <w:sz w:val="24"/>
          <w:szCs w:val="24"/>
          <w:lang w:val="en-US"/>
        </w:rPr>
        <w:t>.</w:t>
      </w:r>
      <w:r w:rsidR="00D212DB" w:rsidRPr="007B140B">
        <w:rPr>
          <w:rFonts w:ascii="Times New Roman" w:hAnsi="Times New Roman" w:cs="Times New Roman"/>
          <w:sz w:val="24"/>
          <w:szCs w:val="24"/>
          <w:lang w:val="en-US"/>
        </w:rPr>
        <w:fldChar w:fldCharType="begin" w:fldLock="1"/>
      </w:r>
      <w:r w:rsidR="00B04D41">
        <w:rPr>
          <w:rFonts w:ascii="Times New Roman" w:hAnsi="Times New Roman" w:cs="Times New Roman"/>
          <w:sz w:val="24"/>
          <w:szCs w:val="24"/>
          <w:lang w:val="en-US"/>
        </w:rPr>
        <w:instrText>ADDIN CSL_CITATION {"citationItems":[{"id":"ITEM-1","itemData":{"DOI":"10.1001/jama.297.4.387","ISBN":"1538-3598","ISSN":"0098-7484","PMID":"17244835","abstract":"CONTEXT: There are few published long-term data on absolute risk of subsequent fracture (refracture) following initial low-trauma fracture in women and fewer in men. OBJECTIVE: To examine long-term risk of subsequent fracture following initial osteoporotic fracture in men and women. DESIGN, SETTING, AND PARTICIPANTS: Prospective cohort study (Dubbo Osteoporosis Epidemiology Study) in Australia of 2245 community-dwelling women and 1760 men aged 60 years or older followed up for 16 years from July 1989 through April 2005. MAIN OUTCOME MEASURE: Incidence of first (initial) fracture and incidence of subsequent fracture according to sex, age group, and time since first fracture. Relative risk was determined by comparing risk of subsequent fracture with risk of initial fracture. RESULTS: There were 905 women and 337 men with an initial fracture, of whom 253 women and 71 men experienced a subsequent fracture. Relative risk (RR) of subsequent fracture in women was 1.95 (95% confidence interval [CI], 1.70-2.25) and in men was 3.47 (95% CI, 2.68-4.48). As a result, absolute risk of subsequent fracture was similar in women and men and at least as great as the initial fracture risk for a woman 10 years older. Thus, women and men aged 60 to 69 years had absolute refracture rates of 36/1000 person-years (95% CI, 26-48/1000) and 37/1000 person-years (95% CI, 23-59/1000), respectively. The increase in absolute fracture risk remained for up to 10 years, by which time 40% to 60% of surviving women and men experienced a subsequent fracture. All fracture locations apart from rib (men) and ankle (women) resulted in increased subsequent fracture risk, with highest RRs following hip (RR, 9.97; 95% CI, 1.38-71.98) and clinical vertebral (RR, 15.12; 95% CI, 6.06-37.69) fractures in younger men. In multivariate analyses, femoral neck bone mineral density, age, and smoking were predictors of subsequent fracture in women and femoral neck bone mineral density, physical activity, and calcium intake were predictors in men. CONCLUSION: After an initial low-trauma fracture, absolute risk of subsequent fracture was similar for men and women. This increased risk occurred for virtually all clinical fractures and persisted for up to 10 years.","author":[{"dropping-particle":"","family":"Center","given":"Jacqueline R","non-dropping-particle":"","parse-names":false,"suffix":""},{"dropping-particle":"","family":"Bliuc","given":"Dana","non-dropping-particle":"","parse-names":false,"suffix":""},{"dropping-particle":"V","family":"Nguyen","given":"Tuan","non-dropping-particle":"","parse-names":false,"suffix":""},{"dropping-particle":"","family":"Eisman","given":"John A","non-dropping-particle":"","parse-names":false,"suffix":""}],"container-title":"JAMA","id":"ITEM-1","issued":{"date-parts":[["2007"]]},"page":"387-394","title":"Risk of subsequent fracture after low-trauma fracture in men and women.","type":"article-journal","volume":"297"},"uris":["http://www.mendeley.com/documents/?uuid=6e0bb7be-e390-40d4-bc4f-31ff34a1e1e8"]},{"id":"ITEM-2","itemData":{"DOI":"10.1016/j.maturitas.2010.09.002","ISBN":"1873-4111 (Electronic)\\r0378-5122 (Linking)","ISSN":"03785122","PMID":"20926211","abstract":"A history of fractures is a well recognised risk factor for a new clinical fracture. However, this subsequent fracture risk is not constant, but fluctuates over time, with the greatest increase in the years immediately after the initial fracture, followed by a gradual waning of risk toward the population risk. The clustering of fractures occurred regardless of age, gender and initial fracture location. It is therefore likely that fracture risk models, which take into account this fluctuation of fracture risk over time, will be more relevant in predicting an individual's subsequent fracture risk. Regardless of the cause of this clustering, these studies all strongly support the need for early action after an initial fracture to reduce the preventable risk of subsequent fractures with medical interventions that have been shown to immediately decrease the risk of fractures. ?? 2010 Elsevier Ireland Ltd. All rights reserved.","author":[{"dropping-particle":"","family":"Geel","given":"T A M C","non-dropping-particle":"van","parse-names":false,"suffix":""},{"dropping-particle":"","family":"Helden","given":"S","non-dropping-particle":"van","parse-names":false,"suffix":""},{"dropping-particle":"","family":"Geusens","given":"Piet P.","non-dropping-particle":"","parse-names":false,"suffix":""},{"dropping-particle":"","family":"Winkens","given":"B","non-dropping-particle":"","parse-names":false,"suffix":""},{"dropping-particle":"","family":"Dinant","given":"Geert Jan","non-dropping-particle":"","parse-names":false,"suffix":""}],"container-title":"Annals of the Rheumatic Diseases","id":"ITEM-2","issued":{"date-parts":[["2009"]]},"page":"99-102","title":"Clinical subsequent fractures cluster in time after first fractures","type":"article-journal","volume":"68"},"uris":["http://www.mendeley.com/documents/?uuid=98888e9f-7289-4b6c-a5e0-09366cf4b10e"]}],"mendeley":{"formattedCitation":"&lt;sup&gt;&lt;sup&gt;37&lt;/sup&gt;,&lt;sup&gt;38&lt;/sup&gt;&lt;/sup&gt;","plainTextFormattedCitation":"37,38","previouslyFormattedCitation":"&lt;sup&gt;&lt;sup&gt;37&lt;/sup&gt;,&lt;sup&gt;38&lt;/sup&gt;&lt;/sup&gt;"},"properties":{"noteIndex":0},"schema":"https://github.com/citation-style-language/schema/raw/master/csl-citation.json"}</w:instrText>
      </w:r>
      <w:r w:rsidR="00D212DB" w:rsidRPr="007B140B">
        <w:rPr>
          <w:rFonts w:ascii="Times New Roman" w:hAnsi="Times New Roman" w:cs="Times New Roman"/>
          <w:sz w:val="24"/>
          <w:szCs w:val="24"/>
          <w:lang w:val="en-US"/>
        </w:rPr>
        <w:fldChar w:fldCharType="separate"/>
      </w:r>
      <w:r w:rsidR="00D858E3" w:rsidRPr="00D858E3">
        <w:rPr>
          <w:rFonts w:ascii="Times New Roman" w:hAnsi="Times New Roman" w:cs="Times New Roman"/>
          <w:noProof/>
          <w:sz w:val="24"/>
          <w:szCs w:val="24"/>
          <w:vertAlign w:val="superscript"/>
          <w:lang w:val="en-US"/>
        </w:rPr>
        <w:t>37,38</w:t>
      </w:r>
      <w:r w:rsidR="00D212DB" w:rsidRPr="007B140B">
        <w:rPr>
          <w:rFonts w:ascii="Times New Roman" w:hAnsi="Times New Roman" w:cs="Times New Roman"/>
          <w:sz w:val="24"/>
          <w:szCs w:val="24"/>
          <w:lang w:val="en-US"/>
        </w:rPr>
        <w:fldChar w:fldCharType="end"/>
      </w:r>
      <w:r w:rsidR="00D212DB" w:rsidRPr="007B140B">
        <w:rPr>
          <w:rFonts w:ascii="Times New Roman" w:hAnsi="Times New Roman" w:cs="Times New Roman"/>
          <w:sz w:val="24"/>
          <w:szCs w:val="24"/>
          <w:lang w:val="en-US"/>
        </w:rPr>
        <w:t xml:space="preserve"> </w:t>
      </w:r>
      <w:r w:rsidRPr="007B140B">
        <w:rPr>
          <w:rFonts w:ascii="Times New Roman" w:hAnsi="Times New Roman" w:cs="Times New Roman"/>
          <w:sz w:val="24"/>
          <w:szCs w:val="24"/>
          <w:lang w:val="en-US"/>
        </w:rPr>
        <w:t xml:space="preserve"> </w:t>
      </w:r>
      <w:r w:rsidR="00D9712F">
        <w:rPr>
          <w:rFonts w:ascii="Times New Roman" w:hAnsi="Times New Roman" w:cs="Times New Roman"/>
          <w:sz w:val="24"/>
          <w:szCs w:val="24"/>
          <w:lang w:val="en-US"/>
        </w:rPr>
        <w:t>Therefore</w:t>
      </w:r>
      <w:r w:rsidR="005E7C83" w:rsidRPr="007B140B">
        <w:rPr>
          <w:rFonts w:ascii="Times New Roman" w:hAnsi="Times New Roman" w:cs="Times New Roman"/>
          <w:sz w:val="24"/>
          <w:szCs w:val="24"/>
          <w:lang w:val="en-US"/>
        </w:rPr>
        <w:t>,</w:t>
      </w:r>
      <w:r w:rsidR="00E7380C" w:rsidRPr="007B140B">
        <w:rPr>
          <w:rFonts w:ascii="Times New Roman" w:hAnsi="Times New Roman" w:cs="Times New Roman"/>
          <w:sz w:val="24"/>
          <w:szCs w:val="24"/>
          <w:lang w:val="en-US"/>
        </w:rPr>
        <w:t xml:space="preserve"> we expect </w:t>
      </w:r>
      <w:r w:rsidRPr="007B140B">
        <w:rPr>
          <w:rFonts w:ascii="Times New Roman" w:hAnsi="Times New Roman" w:cs="Times New Roman"/>
          <w:sz w:val="24"/>
          <w:szCs w:val="24"/>
          <w:lang w:val="en-US"/>
        </w:rPr>
        <w:t xml:space="preserve">zoledronic acid </w:t>
      </w:r>
      <w:r w:rsidR="00E7380C" w:rsidRPr="007B140B">
        <w:rPr>
          <w:rFonts w:ascii="Times New Roman" w:hAnsi="Times New Roman" w:cs="Times New Roman"/>
          <w:sz w:val="24"/>
          <w:szCs w:val="24"/>
          <w:lang w:val="en-US"/>
        </w:rPr>
        <w:t>to have t</w:t>
      </w:r>
      <w:r w:rsidRPr="007B140B">
        <w:rPr>
          <w:rFonts w:ascii="Times New Roman" w:hAnsi="Times New Roman" w:cs="Times New Roman"/>
          <w:sz w:val="24"/>
          <w:szCs w:val="24"/>
          <w:lang w:val="en-US"/>
        </w:rPr>
        <w:t xml:space="preserve">he greatest </w:t>
      </w:r>
      <w:r w:rsidR="00EA1D6A" w:rsidRPr="007B140B">
        <w:rPr>
          <w:rFonts w:ascii="Times New Roman" w:hAnsi="Times New Roman" w:cs="Times New Roman"/>
          <w:sz w:val="24"/>
          <w:szCs w:val="24"/>
          <w:lang w:val="en-US"/>
        </w:rPr>
        <w:t>effect</w:t>
      </w:r>
      <w:r w:rsidRPr="007B140B">
        <w:rPr>
          <w:rFonts w:ascii="Times New Roman" w:hAnsi="Times New Roman" w:cs="Times New Roman"/>
          <w:sz w:val="24"/>
          <w:szCs w:val="24"/>
          <w:lang w:val="en-US"/>
        </w:rPr>
        <w:t xml:space="preserve"> </w:t>
      </w:r>
      <w:r w:rsidR="00E7380C" w:rsidRPr="007B140B">
        <w:rPr>
          <w:rFonts w:ascii="Times New Roman" w:hAnsi="Times New Roman" w:cs="Times New Roman"/>
          <w:sz w:val="24"/>
          <w:szCs w:val="24"/>
          <w:lang w:val="en-US"/>
        </w:rPr>
        <w:t xml:space="preserve">if it is administered </w:t>
      </w:r>
      <w:r w:rsidR="00301A61" w:rsidRPr="007B140B">
        <w:rPr>
          <w:rFonts w:ascii="Times New Roman" w:hAnsi="Times New Roman" w:cs="Times New Roman"/>
          <w:sz w:val="24"/>
          <w:szCs w:val="24"/>
          <w:lang w:val="en-US"/>
        </w:rPr>
        <w:t xml:space="preserve">as </w:t>
      </w:r>
      <w:r w:rsidR="00E7380C" w:rsidRPr="007B140B">
        <w:rPr>
          <w:rFonts w:ascii="Times New Roman" w:hAnsi="Times New Roman" w:cs="Times New Roman"/>
          <w:sz w:val="24"/>
          <w:szCs w:val="24"/>
          <w:lang w:val="en-US"/>
        </w:rPr>
        <w:t xml:space="preserve">soon </w:t>
      </w:r>
      <w:r w:rsidR="00301A61" w:rsidRPr="007B140B">
        <w:rPr>
          <w:rFonts w:ascii="Times New Roman" w:hAnsi="Times New Roman" w:cs="Times New Roman"/>
          <w:sz w:val="24"/>
          <w:szCs w:val="24"/>
          <w:lang w:val="en-US"/>
        </w:rPr>
        <w:t>as possible.</w:t>
      </w:r>
      <w:r w:rsidRPr="007B140B">
        <w:rPr>
          <w:rFonts w:ascii="Times New Roman" w:hAnsi="Times New Roman" w:cs="Times New Roman"/>
          <w:sz w:val="24"/>
          <w:szCs w:val="24"/>
          <w:lang w:val="en-US"/>
        </w:rPr>
        <w:t xml:space="preserve"> However, setting a short </w:t>
      </w:r>
      <w:r w:rsidR="0089465E">
        <w:rPr>
          <w:rFonts w:ascii="Times New Roman" w:hAnsi="Times New Roman" w:cs="Times New Roman"/>
          <w:sz w:val="24"/>
          <w:szCs w:val="24"/>
          <w:lang w:val="en-US"/>
        </w:rPr>
        <w:t xml:space="preserve">time </w:t>
      </w:r>
      <w:r w:rsidRPr="007B140B">
        <w:rPr>
          <w:rFonts w:ascii="Times New Roman" w:hAnsi="Times New Roman" w:cs="Times New Roman"/>
          <w:sz w:val="24"/>
          <w:szCs w:val="24"/>
          <w:lang w:val="en-US"/>
        </w:rPr>
        <w:t xml:space="preserve">limit would reduce the number of potentially eligible </w:t>
      </w:r>
      <w:r w:rsidR="00A00972" w:rsidRPr="007B140B">
        <w:rPr>
          <w:rFonts w:ascii="Times New Roman" w:hAnsi="Times New Roman" w:cs="Times New Roman"/>
          <w:sz w:val="24"/>
          <w:szCs w:val="24"/>
          <w:lang w:val="en-US"/>
        </w:rPr>
        <w:t xml:space="preserve">participants, making </w:t>
      </w:r>
      <w:r w:rsidR="00105110" w:rsidRPr="007B140B">
        <w:rPr>
          <w:rFonts w:ascii="Times New Roman" w:hAnsi="Times New Roman" w:cs="Times New Roman"/>
          <w:sz w:val="24"/>
          <w:szCs w:val="24"/>
          <w:lang w:val="en-US"/>
        </w:rPr>
        <w:t>the trial</w:t>
      </w:r>
      <w:r w:rsidR="00155FB0" w:rsidRPr="00155FB0">
        <w:rPr>
          <w:rFonts w:ascii="Times New Roman" w:hAnsi="Times New Roman" w:cs="Times New Roman"/>
          <w:sz w:val="24"/>
          <w:szCs w:val="24"/>
          <w:lang w:val="en-US"/>
        </w:rPr>
        <w:t xml:space="preserve"> </w:t>
      </w:r>
      <w:r w:rsidR="00155FB0" w:rsidRPr="007B140B">
        <w:rPr>
          <w:rFonts w:ascii="Times New Roman" w:hAnsi="Times New Roman" w:cs="Times New Roman"/>
          <w:sz w:val="24"/>
          <w:szCs w:val="24"/>
          <w:lang w:val="en-US"/>
        </w:rPr>
        <w:t>more difficult to carry out</w:t>
      </w:r>
      <w:r w:rsidRPr="007B140B">
        <w:rPr>
          <w:rFonts w:ascii="Times New Roman" w:hAnsi="Times New Roman" w:cs="Times New Roman"/>
          <w:sz w:val="24"/>
          <w:szCs w:val="24"/>
          <w:lang w:val="en-US"/>
        </w:rPr>
        <w:t xml:space="preserve">. Therefore, </w:t>
      </w:r>
      <w:r w:rsidR="006039DF">
        <w:rPr>
          <w:rFonts w:ascii="Times New Roman" w:hAnsi="Times New Roman" w:cs="Times New Roman"/>
          <w:sz w:val="24"/>
          <w:szCs w:val="24"/>
          <w:lang w:val="en-US"/>
        </w:rPr>
        <w:t xml:space="preserve">the second consideration is that </w:t>
      </w:r>
      <w:r w:rsidRPr="007B140B">
        <w:rPr>
          <w:rFonts w:ascii="Times New Roman" w:hAnsi="Times New Roman" w:cs="Times New Roman"/>
          <w:sz w:val="24"/>
          <w:szCs w:val="24"/>
          <w:lang w:val="en-US"/>
        </w:rPr>
        <w:t xml:space="preserve">the time limit </w:t>
      </w:r>
      <w:r w:rsidR="000A2260" w:rsidRPr="007B140B">
        <w:rPr>
          <w:rFonts w:ascii="Times New Roman" w:hAnsi="Times New Roman" w:cs="Times New Roman"/>
          <w:sz w:val="24"/>
          <w:szCs w:val="24"/>
          <w:lang w:val="en-US"/>
        </w:rPr>
        <w:t xml:space="preserve">should not be set </w:t>
      </w:r>
      <w:r w:rsidR="003B2EF4" w:rsidRPr="007B140B">
        <w:rPr>
          <w:rFonts w:ascii="Times New Roman" w:hAnsi="Times New Roman" w:cs="Times New Roman"/>
          <w:sz w:val="24"/>
          <w:szCs w:val="24"/>
          <w:lang w:val="en-US"/>
        </w:rPr>
        <w:t>too</w:t>
      </w:r>
      <w:r w:rsidR="00E7380C" w:rsidRPr="007B140B">
        <w:rPr>
          <w:rFonts w:ascii="Times New Roman" w:hAnsi="Times New Roman" w:cs="Times New Roman"/>
          <w:sz w:val="24"/>
          <w:szCs w:val="24"/>
          <w:lang w:val="en-US"/>
        </w:rPr>
        <w:t xml:space="preserve"> short</w:t>
      </w:r>
      <w:r w:rsidR="009F0BF4" w:rsidRPr="007B140B">
        <w:rPr>
          <w:rFonts w:ascii="Times New Roman" w:hAnsi="Times New Roman" w:cs="Times New Roman"/>
          <w:sz w:val="24"/>
          <w:szCs w:val="24"/>
          <w:lang w:val="en-US"/>
        </w:rPr>
        <w:t xml:space="preserve"> for pragmatic reasons</w:t>
      </w:r>
      <w:r w:rsidRPr="007B140B">
        <w:rPr>
          <w:rFonts w:ascii="Times New Roman" w:hAnsi="Times New Roman" w:cs="Times New Roman"/>
          <w:sz w:val="24"/>
          <w:szCs w:val="24"/>
          <w:lang w:val="en-US"/>
        </w:rPr>
        <w:t>.</w:t>
      </w:r>
      <w:r w:rsidR="00AF10F3" w:rsidRPr="007B140B">
        <w:rPr>
          <w:rFonts w:ascii="Times New Roman" w:hAnsi="Times New Roman" w:cs="Times New Roman"/>
          <w:sz w:val="24"/>
          <w:szCs w:val="24"/>
          <w:lang w:val="en-US"/>
        </w:rPr>
        <w:t xml:space="preserve"> </w:t>
      </w:r>
    </w:p>
    <w:p w14:paraId="36B692B9" w14:textId="36AB16A1" w:rsidR="008D662B" w:rsidRPr="007B140B" w:rsidRDefault="00B24914" w:rsidP="005F2DD6">
      <w:p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A minimum duration </w:t>
      </w:r>
      <w:r w:rsidR="00633C64" w:rsidRPr="007B140B">
        <w:rPr>
          <w:rFonts w:ascii="Times New Roman" w:hAnsi="Times New Roman" w:cs="Times New Roman"/>
          <w:sz w:val="24"/>
          <w:szCs w:val="24"/>
          <w:lang w:val="en-US"/>
        </w:rPr>
        <w:t>between</w:t>
      </w:r>
      <w:r w:rsidRPr="007B140B">
        <w:rPr>
          <w:rFonts w:ascii="Times New Roman" w:hAnsi="Times New Roman" w:cs="Times New Roman"/>
          <w:sz w:val="24"/>
          <w:szCs w:val="24"/>
          <w:lang w:val="en-US"/>
        </w:rPr>
        <w:t xml:space="preserve"> time </w:t>
      </w:r>
      <w:r w:rsidR="00633C64" w:rsidRPr="007B140B">
        <w:rPr>
          <w:rFonts w:ascii="Times New Roman" w:hAnsi="Times New Roman" w:cs="Times New Roman"/>
          <w:sz w:val="24"/>
          <w:szCs w:val="24"/>
          <w:lang w:val="en-US"/>
        </w:rPr>
        <w:t>of</w:t>
      </w:r>
      <w:r w:rsidR="00AF10F3" w:rsidRPr="007B140B">
        <w:rPr>
          <w:rFonts w:ascii="Times New Roman" w:hAnsi="Times New Roman" w:cs="Times New Roman"/>
          <w:sz w:val="24"/>
          <w:szCs w:val="24"/>
          <w:lang w:val="en-US"/>
        </w:rPr>
        <w:t xml:space="preserve"> </w:t>
      </w:r>
      <w:r w:rsidR="00525063" w:rsidRPr="007B140B">
        <w:rPr>
          <w:rFonts w:ascii="Times New Roman" w:hAnsi="Times New Roman" w:cs="Times New Roman"/>
          <w:sz w:val="24"/>
          <w:szCs w:val="24"/>
          <w:lang w:val="en-US"/>
        </w:rPr>
        <w:t xml:space="preserve">fracture </w:t>
      </w:r>
      <w:r w:rsidR="00633C64" w:rsidRPr="007B140B">
        <w:rPr>
          <w:rFonts w:ascii="Times New Roman" w:hAnsi="Times New Roman" w:cs="Times New Roman"/>
          <w:sz w:val="24"/>
          <w:szCs w:val="24"/>
          <w:lang w:val="en-US"/>
        </w:rPr>
        <w:t>and</w:t>
      </w:r>
      <w:r w:rsidR="00AF10F3" w:rsidRPr="007B140B">
        <w:rPr>
          <w:rFonts w:ascii="Times New Roman" w:hAnsi="Times New Roman" w:cs="Times New Roman"/>
          <w:sz w:val="24"/>
          <w:szCs w:val="24"/>
          <w:lang w:val="en-US"/>
        </w:rPr>
        <w:t xml:space="preserve"> </w:t>
      </w:r>
      <w:r w:rsidR="00633C64" w:rsidRPr="007B140B">
        <w:rPr>
          <w:rFonts w:ascii="Times New Roman" w:hAnsi="Times New Roman" w:cs="Times New Roman"/>
          <w:sz w:val="24"/>
          <w:szCs w:val="24"/>
          <w:lang w:val="en-US"/>
        </w:rPr>
        <w:t xml:space="preserve">time of recruitment </w:t>
      </w:r>
      <w:r w:rsidR="00AF10F3" w:rsidRPr="007B140B">
        <w:rPr>
          <w:rFonts w:ascii="Times New Roman" w:hAnsi="Times New Roman" w:cs="Times New Roman"/>
          <w:sz w:val="24"/>
          <w:szCs w:val="24"/>
          <w:lang w:val="en-US"/>
        </w:rPr>
        <w:t xml:space="preserve">has </w:t>
      </w:r>
      <w:r w:rsidR="00633C64" w:rsidRPr="007B140B">
        <w:rPr>
          <w:rFonts w:ascii="Times New Roman" w:hAnsi="Times New Roman" w:cs="Times New Roman"/>
          <w:sz w:val="24"/>
          <w:szCs w:val="24"/>
          <w:lang w:val="en-US"/>
        </w:rPr>
        <w:t xml:space="preserve">not </w:t>
      </w:r>
      <w:r w:rsidR="00AF10F3" w:rsidRPr="007B140B">
        <w:rPr>
          <w:rFonts w:ascii="Times New Roman" w:hAnsi="Times New Roman" w:cs="Times New Roman"/>
          <w:sz w:val="24"/>
          <w:szCs w:val="24"/>
          <w:lang w:val="en-US"/>
        </w:rPr>
        <w:t xml:space="preserve">been set, because </w:t>
      </w:r>
      <w:r w:rsidR="00633C64" w:rsidRPr="007B140B">
        <w:rPr>
          <w:rFonts w:ascii="Times New Roman" w:hAnsi="Times New Roman" w:cs="Times New Roman"/>
          <w:sz w:val="24"/>
          <w:szCs w:val="24"/>
          <w:lang w:val="en-US"/>
        </w:rPr>
        <w:t>no</w:t>
      </w:r>
      <w:r w:rsidR="003B0C91" w:rsidRPr="007B140B">
        <w:rPr>
          <w:rFonts w:ascii="Times New Roman" w:hAnsi="Times New Roman" w:cs="Times New Roman"/>
          <w:sz w:val="24"/>
          <w:szCs w:val="24"/>
          <w:lang w:val="en-US"/>
        </w:rPr>
        <w:t xml:space="preserve"> </w:t>
      </w:r>
      <w:r w:rsidR="00AF10F3" w:rsidRPr="007B140B">
        <w:rPr>
          <w:rFonts w:ascii="Times New Roman" w:hAnsi="Times New Roman" w:cs="Times New Roman"/>
          <w:sz w:val="24"/>
          <w:szCs w:val="24"/>
          <w:lang w:val="en-US"/>
        </w:rPr>
        <w:t>d</w:t>
      </w:r>
      <w:r w:rsidR="003B0C91" w:rsidRPr="007B140B">
        <w:rPr>
          <w:rFonts w:ascii="Times New Roman" w:hAnsi="Times New Roman" w:cs="Times New Roman"/>
          <w:sz w:val="24"/>
          <w:szCs w:val="24"/>
          <w:lang w:val="en-US"/>
        </w:rPr>
        <w:t>elay</w:t>
      </w:r>
      <w:r w:rsidR="00AF10F3" w:rsidRPr="007B140B">
        <w:rPr>
          <w:rFonts w:ascii="Times New Roman" w:hAnsi="Times New Roman" w:cs="Times New Roman"/>
          <w:sz w:val="24"/>
          <w:szCs w:val="24"/>
          <w:lang w:val="en-US"/>
        </w:rPr>
        <w:t xml:space="preserve"> in fracture healing</w:t>
      </w:r>
      <w:r w:rsidR="003B0C91" w:rsidRPr="007B140B">
        <w:rPr>
          <w:rFonts w:ascii="Times New Roman" w:hAnsi="Times New Roman" w:cs="Times New Roman"/>
          <w:sz w:val="24"/>
          <w:szCs w:val="24"/>
          <w:lang w:val="en-US"/>
        </w:rPr>
        <w:t xml:space="preserve"> was observed in a phase II</w:t>
      </w:r>
      <w:r w:rsidR="00633C64" w:rsidRPr="007B140B">
        <w:rPr>
          <w:rFonts w:ascii="Times New Roman" w:hAnsi="Times New Roman" w:cs="Times New Roman"/>
          <w:sz w:val="24"/>
          <w:szCs w:val="24"/>
          <w:lang w:val="en-US"/>
        </w:rPr>
        <w:t>I trial of zoledronic acid in</w:t>
      </w:r>
      <w:r w:rsidR="003B0C91" w:rsidRPr="007B140B">
        <w:rPr>
          <w:rFonts w:ascii="Times New Roman" w:hAnsi="Times New Roman" w:cs="Times New Roman"/>
          <w:sz w:val="24"/>
          <w:szCs w:val="24"/>
          <w:lang w:val="en-US"/>
        </w:rPr>
        <w:t xml:space="preserve"> hip fracture</w:t>
      </w:r>
      <w:r w:rsidR="00633C64" w:rsidRPr="007B140B">
        <w:rPr>
          <w:rFonts w:ascii="Times New Roman" w:hAnsi="Times New Roman" w:cs="Times New Roman"/>
          <w:sz w:val="24"/>
          <w:szCs w:val="24"/>
          <w:lang w:val="en-US"/>
        </w:rPr>
        <w:t xml:space="preserve"> patients</w:t>
      </w:r>
      <w:r w:rsidR="00525063" w:rsidRPr="007B140B">
        <w:rPr>
          <w:rFonts w:ascii="Times New Roman" w:hAnsi="Times New Roman" w:cs="Times New Roman"/>
          <w:sz w:val="24"/>
          <w:szCs w:val="24"/>
          <w:lang w:val="en-US"/>
        </w:rPr>
        <w:t>.</w:t>
      </w:r>
      <w:r w:rsidR="006C5B8C" w:rsidRPr="007B140B">
        <w:rPr>
          <w:rFonts w:ascii="Times New Roman" w:hAnsi="Times New Roman" w:cs="Times New Roman"/>
          <w:sz w:val="24"/>
          <w:szCs w:val="24"/>
          <w:lang w:val="en-US"/>
        </w:rPr>
        <w:fldChar w:fldCharType="begin" w:fldLock="1"/>
      </w:r>
      <w:r w:rsidR="00D2485C">
        <w:rPr>
          <w:rFonts w:ascii="Times New Roman" w:hAnsi="Times New Roman" w:cs="Times New Roman"/>
          <w:sz w:val="24"/>
          <w:szCs w:val="24"/>
          <w:lang w:val="en-US"/>
        </w:rPr>
        <w:instrText>ADDIN CSL_CITATION {"citationItems":[{"id":"ITEM-1","itemData":{"DOI":"10.1056/NEJMoa074941","author":[{"dropping-particle":"","family":"Lyles","given":"Kenneth W.","non-dropping-particle":"","parse-names":false,"suffix":""},{"dropping-particle":"","family":"Colón-Emeric","given":"Cathleen S.","non-dropping-particle":"","parse-names":false,"suffix":""},{"dropping-particle":"","family":"Magaziner","given":"Jay S.","non-dropping-particle":"","parse-names":false,"suffix":""},{"dropping-particle":"","family":"Adachi","given":"Jonathan D.","non-dropping-particle":"","parse-names":false,"suffix":""},{"dropping-particle":"","family":"Pieper","given":"Carl F.","non-dropping-particle":"","parse-names":false,"suffix":""},{"dropping-particle":"","family":"Mautalen","given":"Carlos","non-dropping-particle":"","parse-names":false,"suffix":""},{"dropping-particle":"","family":"Hyldstrup","given":"Lars","non-dropping-particle":"","parse-names":false,"suffix":""},{"dropping-particle":"","family":"Recknor","given":"Chris","non-dropping-particle":"","parse-names":false,"suffix":""},{"dropping-particle":"","family":"Nordsletten","given":"Lars","non-dropping-particle":"","parse-names":false,"suffix":""},{"dropping-particle":"","family":"Moore","given":"Kathy A.","non-dropping-particle":"","parse-names":false,"suffix":""},{"dropping-particle":"","family":"Lavecchia","given":"Catherine","non-dropping-particle":"","parse-names":false,"suffix":""},{"dropping-particle":"","family":"Zhang","given":"Jie","non-dropping-particle":"","parse-names":false,"suffix":""},{"dropping-particle":"","family":"Mesenbrink","given":"Peter","non-dropping-particle":"","parse-names":false,"suffix":""},{"dropping-particle":"","family":"Hodgson","given":"Patricia K.","non-dropping-particle":"","parse-names":false,"suffix":""},{"dropping-particle":"","family":"Abrams","given":"Ken","non-dropping-particle":"","parse-names":false,"suffix":""},{"dropping-particle":"","family":"Orloff","given":"John J.","non-dropping-particle":"","parse-names":false,"suffix":""},{"dropping-particle":"","family":"Horowitz","given":"Zebulun","non-dropping-particle":"","parse-names":false,"suffix":""},{"dropping-particle":"","family":"Eriksen","given":"Erik Fink","non-dropping-particle":"","parse-names":false,"suffix":""},{"dropping-particle":"","family":"Boonen","given":"Steven","non-dropping-particle":"","parse-names":false,"suffix":""}],"container-title":"New England Journal of Medicine","id":"ITEM-1","issue":"18","issued":{"date-parts":[["2007"]]},"page":"1799-1809","title":"Zoledronic acid and clinical fractures and mortality after hip fracture","type":"article-journal","volume":"357"},"uris":["http://www.mendeley.com/documents/?uuid=fdc4eb3b-a387-4743-a233-680ae590c2cf"]}],"mendeley":{"formattedCitation":"&lt;sup&gt;&lt;sup&gt;20&lt;/sup&gt;&lt;/sup&gt;","plainTextFormattedCitation":"20","previouslyFormattedCitation":"&lt;sup&gt;&lt;sup&gt;20&lt;/sup&gt;&lt;/sup&gt;"},"properties":{"noteIndex":0},"schema":"https://github.com/citation-style-language/schema/raw/master/csl-citation.json"}</w:instrText>
      </w:r>
      <w:r w:rsidR="006C5B8C" w:rsidRPr="007B140B">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20</w:t>
      </w:r>
      <w:r w:rsidR="006C5B8C" w:rsidRPr="007B140B">
        <w:rPr>
          <w:rFonts w:ascii="Times New Roman" w:hAnsi="Times New Roman" w:cs="Times New Roman"/>
          <w:sz w:val="24"/>
          <w:szCs w:val="24"/>
          <w:lang w:val="en-US"/>
        </w:rPr>
        <w:fldChar w:fldCharType="end"/>
      </w:r>
      <w:r w:rsidR="00961BF2" w:rsidRPr="007B140B">
        <w:rPr>
          <w:rFonts w:ascii="Times New Roman" w:hAnsi="Times New Roman" w:cs="Times New Roman"/>
          <w:sz w:val="24"/>
          <w:szCs w:val="24"/>
          <w:lang w:val="en-US"/>
        </w:rPr>
        <w:t xml:space="preserve"> </w:t>
      </w:r>
    </w:p>
    <w:p w14:paraId="3A4631A2" w14:textId="77777777" w:rsidR="00DC23CF" w:rsidRPr="007B140B" w:rsidRDefault="00DC23CF" w:rsidP="00273AA9">
      <w:pPr>
        <w:rPr>
          <w:rFonts w:ascii="Times New Roman" w:hAnsi="Times New Roman" w:cs="Times New Roman"/>
          <w:sz w:val="24"/>
          <w:szCs w:val="24"/>
          <w:lang w:val="en-US"/>
        </w:rPr>
      </w:pPr>
    </w:p>
    <w:p w14:paraId="73B398A8" w14:textId="6A907010" w:rsidR="00884BA9" w:rsidRPr="007B140B" w:rsidRDefault="00884BA9" w:rsidP="00D36611">
      <w:pPr>
        <w:pStyle w:val="Formatmall3"/>
        <w:rPr>
          <w:rFonts w:cs="Times New Roman"/>
          <w:lang w:val="en-US"/>
        </w:rPr>
      </w:pPr>
      <w:bookmarkStart w:id="30" w:name="_Toc99001402"/>
      <w:r w:rsidRPr="007B140B">
        <w:rPr>
          <w:rFonts w:cs="Times New Roman"/>
          <w:lang w:val="en-US"/>
        </w:rPr>
        <w:lastRenderedPageBreak/>
        <w:t>Exclusion criteria</w:t>
      </w:r>
      <w:bookmarkEnd w:id="30"/>
    </w:p>
    <w:p w14:paraId="2E5AFC17" w14:textId="2176379C" w:rsidR="00EC52DB" w:rsidRPr="007B140B" w:rsidRDefault="00301A61" w:rsidP="00EC52DB">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Patients</w:t>
      </w:r>
      <w:r w:rsidR="00EC52DB" w:rsidRPr="007B140B">
        <w:rPr>
          <w:rFonts w:ascii="Times New Roman" w:hAnsi="Times New Roman" w:cs="Times New Roman"/>
          <w:sz w:val="24"/>
          <w:szCs w:val="24"/>
          <w:lang w:val="en-US"/>
        </w:rPr>
        <w:t xml:space="preserve"> will </w:t>
      </w:r>
      <w:r w:rsidR="00B62095" w:rsidRPr="007B140B">
        <w:rPr>
          <w:rFonts w:ascii="Times New Roman" w:hAnsi="Times New Roman" w:cs="Times New Roman"/>
          <w:sz w:val="24"/>
          <w:szCs w:val="24"/>
          <w:lang w:val="en-US"/>
        </w:rPr>
        <w:t>be excluded</w:t>
      </w:r>
      <w:r w:rsidR="00EC52DB" w:rsidRPr="007B140B">
        <w:rPr>
          <w:rFonts w:ascii="Times New Roman" w:hAnsi="Times New Roman" w:cs="Times New Roman"/>
          <w:sz w:val="24"/>
          <w:szCs w:val="24"/>
          <w:lang w:val="en-US"/>
        </w:rPr>
        <w:t xml:space="preserve"> </w:t>
      </w:r>
      <w:r w:rsidR="00B62095" w:rsidRPr="007B140B">
        <w:rPr>
          <w:rFonts w:ascii="Times New Roman" w:hAnsi="Times New Roman" w:cs="Times New Roman"/>
          <w:sz w:val="24"/>
          <w:szCs w:val="24"/>
          <w:lang w:val="en-US"/>
        </w:rPr>
        <w:t xml:space="preserve">from </w:t>
      </w:r>
      <w:r w:rsidR="00EC52DB" w:rsidRPr="007B140B">
        <w:rPr>
          <w:rFonts w:ascii="Times New Roman" w:hAnsi="Times New Roman" w:cs="Times New Roman"/>
          <w:sz w:val="24"/>
          <w:szCs w:val="24"/>
          <w:lang w:val="en-US"/>
        </w:rPr>
        <w:t xml:space="preserve">the </w:t>
      </w:r>
      <w:r w:rsidRPr="007B140B">
        <w:rPr>
          <w:rFonts w:ascii="Times New Roman" w:hAnsi="Times New Roman" w:cs="Times New Roman"/>
          <w:sz w:val="24"/>
          <w:szCs w:val="24"/>
          <w:lang w:val="en-US"/>
        </w:rPr>
        <w:t>trial</w:t>
      </w:r>
      <w:r w:rsidR="00EC52DB" w:rsidRPr="007B140B">
        <w:rPr>
          <w:rFonts w:ascii="Times New Roman" w:hAnsi="Times New Roman" w:cs="Times New Roman"/>
          <w:sz w:val="24"/>
          <w:szCs w:val="24"/>
          <w:lang w:val="en-US"/>
        </w:rPr>
        <w:t xml:space="preserve"> if they meet any one of the following criteria:</w:t>
      </w:r>
    </w:p>
    <w:p w14:paraId="7385C815" w14:textId="77777777" w:rsidR="00EC52DB" w:rsidRPr="007B140B" w:rsidRDefault="00EC52DB" w:rsidP="00EC52DB">
      <w:pPr>
        <w:spacing w:after="0" w:line="240" w:lineRule="auto"/>
        <w:rPr>
          <w:rFonts w:ascii="Times New Roman" w:hAnsi="Times New Roman" w:cs="Times New Roman"/>
          <w:sz w:val="24"/>
          <w:szCs w:val="24"/>
          <w:lang w:val="en-US"/>
        </w:rPr>
      </w:pPr>
    </w:p>
    <w:p w14:paraId="5ABC7D6A" w14:textId="2DB98EE7" w:rsidR="00C36729" w:rsidRPr="007B140B" w:rsidRDefault="00C36729" w:rsidP="00363CEE">
      <w:pPr>
        <w:pStyle w:val="Liststycke"/>
        <w:numPr>
          <w:ilvl w:val="0"/>
          <w:numId w:val="7"/>
        </w:numPr>
        <w:autoSpaceDE w:val="0"/>
        <w:autoSpaceDN w:val="0"/>
        <w:adjustRightInd w:val="0"/>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History of hip </w:t>
      </w:r>
      <w:r w:rsidR="00CD7016" w:rsidRPr="007B140B">
        <w:rPr>
          <w:rFonts w:ascii="Times New Roman" w:hAnsi="Times New Roman" w:cs="Times New Roman"/>
          <w:sz w:val="24"/>
          <w:szCs w:val="24"/>
          <w:lang w:val="en-US"/>
        </w:rPr>
        <w:t xml:space="preserve">fracture </w:t>
      </w:r>
      <w:r w:rsidRPr="007B140B">
        <w:rPr>
          <w:rFonts w:ascii="Times New Roman" w:hAnsi="Times New Roman" w:cs="Times New Roman"/>
          <w:sz w:val="24"/>
          <w:szCs w:val="24"/>
          <w:lang w:val="en-US"/>
        </w:rPr>
        <w:t>or vertebral</w:t>
      </w:r>
      <w:r w:rsidR="009D71F5" w:rsidRPr="007B140B">
        <w:rPr>
          <w:rFonts w:ascii="Times New Roman" w:hAnsi="Times New Roman" w:cs="Times New Roman"/>
          <w:sz w:val="24"/>
          <w:szCs w:val="24"/>
          <w:lang w:val="en-US"/>
        </w:rPr>
        <w:t xml:space="preserve"> </w:t>
      </w:r>
      <w:r w:rsidR="008C542E" w:rsidRPr="007B140B">
        <w:rPr>
          <w:rFonts w:ascii="Times New Roman" w:hAnsi="Times New Roman" w:cs="Times New Roman"/>
          <w:sz w:val="24"/>
          <w:szCs w:val="24"/>
          <w:lang w:val="en-US"/>
        </w:rPr>
        <w:t>compression</w:t>
      </w:r>
      <w:r w:rsidRPr="007B140B">
        <w:rPr>
          <w:rFonts w:ascii="Times New Roman" w:hAnsi="Times New Roman" w:cs="Times New Roman"/>
          <w:sz w:val="24"/>
          <w:szCs w:val="24"/>
          <w:lang w:val="en-US"/>
        </w:rPr>
        <w:t xml:space="preserve"> fracture</w:t>
      </w:r>
    </w:p>
    <w:p w14:paraId="6E4192D8" w14:textId="7C9382FB" w:rsidR="00E236D5" w:rsidRPr="007B140B" w:rsidRDefault="00E236D5" w:rsidP="00E236D5">
      <w:pPr>
        <w:pStyle w:val="Liststycke"/>
        <w:numPr>
          <w:ilvl w:val="0"/>
          <w:numId w:val="7"/>
        </w:numPr>
        <w:autoSpaceDE w:val="0"/>
        <w:autoSpaceDN w:val="0"/>
        <w:adjustRightInd w:val="0"/>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Undergone bone density scanni</w:t>
      </w:r>
      <w:r w:rsidR="00F72C0F" w:rsidRPr="007B140B">
        <w:rPr>
          <w:rFonts w:ascii="Times New Roman" w:hAnsi="Times New Roman" w:cs="Times New Roman"/>
          <w:sz w:val="24"/>
          <w:szCs w:val="24"/>
          <w:lang w:val="en-US"/>
        </w:rPr>
        <w:t>ng since the fragility fracture</w:t>
      </w:r>
    </w:p>
    <w:p w14:paraId="6E59C3A3" w14:textId="28E4932F" w:rsidR="00EC52DB" w:rsidRPr="007B140B" w:rsidRDefault="00715C37" w:rsidP="00363CEE">
      <w:pPr>
        <w:pStyle w:val="Liststycke"/>
        <w:numPr>
          <w:ilvl w:val="0"/>
          <w:numId w:val="7"/>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Severe renal impairment (e</w:t>
      </w:r>
      <w:r w:rsidR="00EC52DB" w:rsidRPr="007B140B">
        <w:rPr>
          <w:rFonts w:ascii="Times New Roman" w:hAnsi="Times New Roman" w:cs="Times New Roman"/>
          <w:sz w:val="24"/>
          <w:szCs w:val="24"/>
          <w:lang w:val="en-US"/>
        </w:rPr>
        <w:t>stimated glomerular filtration rate</w:t>
      </w:r>
      <w:r w:rsidR="00CF29F0" w:rsidRPr="007B140B">
        <w:rPr>
          <w:rFonts w:ascii="Times New Roman" w:hAnsi="Times New Roman" w:cs="Times New Roman"/>
          <w:sz w:val="24"/>
          <w:szCs w:val="24"/>
          <w:lang w:val="en-US"/>
        </w:rPr>
        <w:t xml:space="preserve"> of</w:t>
      </w:r>
      <w:r w:rsidR="00EC52DB" w:rsidRPr="007B140B">
        <w:rPr>
          <w:rFonts w:ascii="Times New Roman" w:hAnsi="Times New Roman" w:cs="Times New Roman"/>
          <w:sz w:val="24"/>
          <w:szCs w:val="24"/>
          <w:lang w:val="en-US"/>
        </w:rPr>
        <w:t xml:space="preserve"> </w:t>
      </w:r>
      <w:r w:rsidR="00623762" w:rsidRPr="007B140B">
        <w:rPr>
          <w:rFonts w:ascii="Times New Roman" w:hAnsi="Times New Roman" w:cs="Times New Roman"/>
          <w:sz w:val="24"/>
          <w:szCs w:val="24"/>
          <w:lang w:val="en-US"/>
        </w:rPr>
        <w:t>&lt;</w:t>
      </w:r>
      <w:r w:rsidR="00EC52DB" w:rsidRPr="007B140B">
        <w:rPr>
          <w:rFonts w:ascii="Times New Roman" w:hAnsi="Times New Roman" w:cs="Times New Roman"/>
          <w:sz w:val="24"/>
          <w:szCs w:val="24"/>
          <w:lang w:val="en-US"/>
        </w:rPr>
        <w:t>3</w:t>
      </w:r>
      <w:r w:rsidR="00322E48" w:rsidRPr="007B140B">
        <w:rPr>
          <w:rFonts w:ascii="Times New Roman" w:hAnsi="Times New Roman" w:cs="Times New Roman"/>
          <w:sz w:val="24"/>
          <w:szCs w:val="24"/>
          <w:lang w:val="en-US"/>
        </w:rPr>
        <w:t>5</w:t>
      </w:r>
      <w:r w:rsidR="00EC52DB" w:rsidRPr="007B140B">
        <w:rPr>
          <w:rFonts w:ascii="Times New Roman" w:hAnsi="Times New Roman" w:cs="Times New Roman"/>
          <w:sz w:val="24"/>
          <w:szCs w:val="24"/>
          <w:lang w:val="en-US"/>
        </w:rPr>
        <w:t xml:space="preserve"> ml per minute per 1.73 m</w:t>
      </w:r>
      <w:r w:rsidR="00EC52DB" w:rsidRPr="007B140B">
        <w:rPr>
          <w:rFonts w:ascii="Times New Roman" w:hAnsi="Times New Roman" w:cs="Times New Roman"/>
          <w:sz w:val="24"/>
          <w:szCs w:val="24"/>
          <w:vertAlign w:val="superscript"/>
          <w:lang w:val="en-US"/>
        </w:rPr>
        <w:t>2</w:t>
      </w:r>
      <w:r w:rsidR="00F72C0F" w:rsidRPr="007B140B">
        <w:rPr>
          <w:rFonts w:ascii="Times New Roman" w:hAnsi="Times New Roman" w:cs="Times New Roman"/>
          <w:sz w:val="24"/>
          <w:szCs w:val="24"/>
          <w:lang w:val="en-US"/>
        </w:rPr>
        <w:t xml:space="preserve"> of body surface area</w:t>
      </w:r>
      <w:r>
        <w:rPr>
          <w:rFonts w:ascii="Times New Roman" w:hAnsi="Times New Roman" w:cs="Times New Roman"/>
          <w:sz w:val="24"/>
          <w:szCs w:val="24"/>
          <w:lang w:val="en-US"/>
        </w:rPr>
        <w:t>)</w:t>
      </w:r>
    </w:p>
    <w:p w14:paraId="04B347B8" w14:textId="2FF37A93" w:rsidR="00EC52DB" w:rsidRPr="007B140B" w:rsidRDefault="002D3153" w:rsidP="00363CEE">
      <w:pPr>
        <w:pStyle w:val="Liststycke"/>
        <w:numPr>
          <w:ilvl w:val="0"/>
          <w:numId w:val="7"/>
        </w:numPr>
        <w:autoSpaceDE w:val="0"/>
        <w:autoSpaceDN w:val="0"/>
        <w:adjustRightInd w:val="0"/>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R</w:t>
      </w:r>
      <w:r w:rsidR="00623762" w:rsidRPr="007B140B">
        <w:rPr>
          <w:rFonts w:ascii="Times New Roman" w:hAnsi="Times New Roman" w:cs="Times New Roman"/>
          <w:sz w:val="24"/>
          <w:szCs w:val="24"/>
          <w:lang w:val="en-US"/>
        </w:rPr>
        <w:t>emaining life expectancy</w:t>
      </w:r>
      <w:r w:rsidR="00D61C7D" w:rsidRPr="007B140B">
        <w:rPr>
          <w:rFonts w:ascii="Times New Roman" w:hAnsi="Times New Roman" w:cs="Times New Roman"/>
          <w:sz w:val="24"/>
          <w:szCs w:val="24"/>
          <w:lang w:val="en-US"/>
        </w:rPr>
        <w:t xml:space="preserve"> of </w:t>
      </w:r>
      <w:r w:rsidR="00623762" w:rsidRPr="007B140B">
        <w:rPr>
          <w:rFonts w:ascii="Times New Roman" w:hAnsi="Times New Roman" w:cs="Times New Roman"/>
          <w:sz w:val="24"/>
          <w:szCs w:val="24"/>
          <w:lang w:val="en-US"/>
        </w:rPr>
        <w:t>&lt;</w:t>
      </w:r>
      <w:r w:rsidR="00D61C7D" w:rsidRPr="007B140B">
        <w:rPr>
          <w:rFonts w:ascii="Times New Roman" w:hAnsi="Times New Roman" w:cs="Times New Roman"/>
          <w:sz w:val="24"/>
          <w:szCs w:val="24"/>
          <w:lang w:val="en-US"/>
        </w:rPr>
        <w:t>1 year</w:t>
      </w:r>
      <w:r w:rsidR="00623762" w:rsidRPr="007B140B">
        <w:rPr>
          <w:rFonts w:ascii="Times New Roman" w:hAnsi="Times New Roman" w:cs="Times New Roman"/>
          <w:sz w:val="24"/>
          <w:szCs w:val="24"/>
          <w:lang w:val="en-US"/>
        </w:rPr>
        <w:t xml:space="preserve">, </w:t>
      </w:r>
      <w:proofErr w:type="gramStart"/>
      <w:r w:rsidR="00623762" w:rsidRPr="007B140B">
        <w:rPr>
          <w:rFonts w:ascii="Times New Roman" w:hAnsi="Times New Roman" w:cs="Times New Roman"/>
          <w:sz w:val="24"/>
          <w:szCs w:val="24"/>
          <w:lang w:val="en-US"/>
        </w:rPr>
        <w:t>according</w:t>
      </w:r>
      <w:proofErr w:type="gramEnd"/>
      <w:r w:rsidR="00623762" w:rsidRPr="007B140B">
        <w:rPr>
          <w:rFonts w:ascii="Times New Roman" w:hAnsi="Times New Roman" w:cs="Times New Roman"/>
          <w:sz w:val="24"/>
          <w:szCs w:val="24"/>
          <w:lang w:val="en-US"/>
        </w:rPr>
        <w:t xml:space="preserve"> the </w:t>
      </w:r>
      <w:r w:rsidR="009A64C1" w:rsidRPr="007B140B">
        <w:rPr>
          <w:rFonts w:ascii="Times New Roman" w:hAnsi="Times New Roman" w:cs="Times New Roman"/>
          <w:sz w:val="24"/>
          <w:szCs w:val="24"/>
          <w:lang w:val="en-US"/>
        </w:rPr>
        <w:t>investigator’s</w:t>
      </w:r>
      <w:r w:rsidR="00623762" w:rsidRPr="007B140B">
        <w:rPr>
          <w:rFonts w:ascii="Times New Roman" w:hAnsi="Times New Roman" w:cs="Times New Roman"/>
          <w:sz w:val="24"/>
          <w:szCs w:val="24"/>
          <w:lang w:val="en-US"/>
        </w:rPr>
        <w:t xml:space="preserve"> judgement</w:t>
      </w:r>
    </w:p>
    <w:p w14:paraId="6CD308ED" w14:textId="3C9EDAC1" w:rsidR="00EC52DB" w:rsidRPr="007B140B" w:rsidRDefault="00285089" w:rsidP="00363CEE">
      <w:pPr>
        <w:pStyle w:val="Liststycke"/>
        <w:numPr>
          <w:ilvl w:val="0"/>
          <w:numId w:val="7"/>
        </w:numPr>
        <w:autoSpaceDE w:val="0"/>
        <w:autoSpaceDN w:val="0"/>
        <w:adjustRightInd w:val="0"/>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Hyp</w:t>
      </w:r>
      <w:r w:rsidR="00C076D6">
        <w:rPr>
          <w:rFonts w:ascii="Times New Roman" w:hAnsi="Times New Roman" w:cs="Times New Roman"/>
          <w:sz w:val="24"/>
          <w:szCs w:val="24"/>
          <w:lang w:val="en-US"/>
        </w:rPr>
        <w:t>ocalcemia/hyper</w:t>
      </w:r>
      <w:r w:rsidRPr="007B140B">
        <w:rPr>
          <w:rFonts w:ascii="Times New Roman" w:hAnsi="Times New Roman" w:cs="Times New Roman"/>
          <w:sz w:val="24"/>
          <w:szCs w:val="24"/>
          <w:lang w:val="en-US"/>
        </w:rPr>
        <w:t>calcemia (</w:t>
      </w:r>
      <w:r w:rsidR="005B592B">
        <w:rPr>
          <w:rFonts w:ascii="Times New Roman" w:hAnsi="Times New Roman" w:cs="Times New Roman"/>
          <w:sz w:val="24"/>
          <w:szCs w:val="24"/>
          <w:lang w:val="en-US"/>
        </w:rPr>
        <w:t>plasma calcium &lt;2.15 or &gt;2.50</w:t>
      </w:r>
      <w:r w:rsidRPr="007B140B">
        <w:rPr>
          <w:rFonts w:ascii="Times New Roman" w:hAnsi="Times New Roman" w:cs="Times New Roman"/>
          <w:sz w:val="24"/>
          <w:szCs w:val="24"/>
          <w:lang w:val="en-US"/>
        </w:rPr>
        <w:t xml:space="preserve"> mmol/L)</w:t>
      </w:r>
    </w:p>
    <w:p w14:paraId="43EA9F36" w14:textId="4EAA332D" w:rsidR="00AF48BC" w:rsidRPr="007B140B" w:rsidRDefault="00AF48BC" w:rsidP="00363CEE">
      <w:pPr>
        <w:pStyle w:val="Liststycke"/>
        <w:numPr>
          <w:ilvl w:val="0"/>
          <w:numId w:val="7"/>
        </w:numPr>
        <w:autoSpaceDE w:val="0"/>
        <w:autoSpaceDN w:val="0"/>
        <w:adjustRightInd w:val="0"/>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Sarcoidosis (contraindication for vitamin D)</w:t>
      </w:r>
    </w:p>
    <w:p w14:paraId="090D4B50" w14:textId="2B913242" w:rsidR="00EC52DB" w:rsidRPr="007B140B" w:rsidRDefault="00322E48" w:rsidP="00363CEE">
      <w:pPr>
        <w:pStyle w:val="Liststycke"/>
        <w:numPr>
          <w:ilvl w:val="0"/>
          <w:numId w:val="7"/>
        </w:numPr>
        <w:autoSpaceDE w:val="0"/>
        <w:autoSpaceDN w:val="0"/>
        <w:adjustRightInd w:val="0"/>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Previous u</w:t>
      </w:r>
      <w:r w:rsidR="00EC52DB" w:rsidRPr="007B140B">
        <w:rPr>
          <w:rFonts w:ascii="Times New Roman" w:hAnsi="Times New Roman" w:cs="Times New Roman"/>
          <w:sz w:val="24"/>
          <w:szCs w:val="24"/>
          <w:lang w:val="en-US"/>
        </w:rPr>
        <w:t xml:space="preserve">se of </w:t>
      </w:r>
      <w:r w:rsidR="00767CB3" w:rsidRPr="007B140B">
        <w:rPr>
          <w:rFonts w:ascii="Times New Roman" w:hAnsi="Times New Roman" w:cs="Times New Roman"/>
          <w:sz w:val="24"/>
          <w:szCs w:val="24"/>
          <w:lang w:val="en-US"/>
        </w:rPr>
        <w:t>bone-protective</w:t>
      </w:r>
      <w:r w:rsidR="00552A93" w:rsidRPr="007B140B">
        <w:rPr>
          <w:rFonts w:ascii="Times New Roman" w:hAnsi="Times New Roman" w:cs="Times New Roman"/>
          <w:sz w:val="24"/>
          <w:szCs w:val="24"/>
          <w:lang w:val="en-US"/>
        </w:rPr>
        <w:t xml:space="preserve"> </w:t>
      </w:r>
      <w:r w:rsidR="00D61C7D" w:rsidRPr="007B140B">
        <w:rPr>
          <w:rFonts w:ascii="Times New Roman" w:hAnsi="Times New Roman" w:cs="Times New Roman"/>
          <w:sz w:val="24"/>
          <w:szCs w:val="24"/>
          <w:lang w:val="en-US"/>
        </w:rPr>
        <w:t>drug</w:t>
      </w:r>
      <w:r w:rsidR="00F14579" w:rsidRPr="007B140B">
        <w:rPr>
          <w:rFonts w:ascii="Times New Roman" w:hAnsi="Times New Roman" w:cs="Times New Roman"/>
          <w:sz w:val="24"/>
          <w:szCs w:val="24"/>
          <w:lang w:val="en-US"/>
        </w:rPr>
        <w:t xml:space="preserve"> (e.g.</w:t>
      </w:r>
      <w:r w:rsidR="005C1E70" w:rsidRPr="007B140B">
        <w:rPr>
          <w:rFonts w:ascii="Times New Roman" w:hAnsi="Times New Roman" w:cs="Times New Roman"/>
          <w:sz w:val="24"/>
          <w:szCs w:val="24"/>
          <w:lang w:val="en-US"/>
        </w:rPr>
        <w:t>,</w:t>
      </w:r>
      <w:r w:rsidR="00F14579" w:rsidRPr="007B140B">
        <w:rPr>
          <w:rFonts w:ascii="Times New Roman" w:hAnsi="Times New Roman" w:cs="Times New Roman"/>
          <w:sz w:val="24"/>
          <w:szCs w:val="24"/>
          <w:lang w:val="en-US"/>
        </w:rPr>
        <w:t xml:space="preserve"> </w:t>
      </w:r>
      <w:r w:rsidR="009A64C1" w:rsidRPr="007B140B">
        <w:rPr>
          <w:rFonts w:ascii="Times New Roman" w:hAnsi="Times New Roman" w:cs="Times New Roman"/>
          <w:sz w:val="24"/>
          <w:szCs w:val="24"/>
          <w:lang w:val="en-US"/>
        </w:rPr>
        <w:t xml:space="preserve">bisphosphonate, </w:t>
      </w:r>
      <w:r w:rsidRPr="007B140B">
        <w:rPr>
          <w:rFonts w:ascii="Times New Roman" w:hAnsi="Times New Roman" w:cs="Times New Roman"/>
          <w:sz w:val="24"/>
          <w:szCs w:val="24"/>
          <w:lang w:val="en-US"/>
        </w:rPr>
        <w:t>teriparatide</w:t>
      </w:r>
      <w:r w:rsidR="00F14579" w:rsidRPr="007B140B">
        <w:rPr>
          <w:rFonts w:ascii="Times New Roman" w:hAnsi="Times New Roman" w:cs="Times New Roman"/>
          <w:sz w:val="24"/>
          <w:szCs w:val="24"/>
          <w:lang w:val="en-US"/>
        </w:rPr>
        <w:t xml:space="preserve">, </w:t>
      </w:r>
      <w:r w:rsidR="00DE3C34" w:rsidRPr="007B140B">
        <w:rPr>
          <w:rFonts w:ascii="Times New Roman" w:hAnsi="Times New Roman" w:cs="Times New Roman"/>
          <w:sz w:val="24"/>
          <w:szCs w:val="24"/>
          <w:lang w:val="en-US"/>
        </w:rPr>
        <w:t xml:space="preserve">denosumab, </w:t>
      </w:r>
      <w:r w:rsidR="001A0FB7" w:rsidRPr="007B140B">
        <w:rPr>
          <w:rFonts w:ascii="Times New Roman" w:hAnsi="Times New Roman" w:cs="Times New Roman"/>
          <w:sz w:val="24"/>
          <w:szCs w:val="24"/>
          <w:lang w:val="en-US"/>
        </w:rPr>
        <w:t>raloxifen</w:t>
      </w:r>
      <w:r w:rsidR="003B0C91" w:rsidRPr="007B140B">
        <w:rPr>
          <w:rFonts w:ascii="Times New Roman" w:hAnsi="Times New Roman" w:cs="Times New Roman"/>
          <w:sz w:val="24"/>
          <w:szCs w:val="24"/>
          <w:lang w:val="en-US"/>
        </w:rPr>
        <w:t>e</w:t>
      </w:r>
      <w:r w:rsidR="00F14579" w:rsidRPr="007B140B">
        <w:rPr>
          <w:rFonts w:ascii="Times New Roman" w:hAnsi="Times New Roman" w:cs="Times New Roman"/>
          <w:sz w:val="24"/>
          <w:szCs w:val="24"/>
          <w:lang w:val="en-US"/>
        </w:rPr>
        <w:t xml:space="preserve">, </w:t>
      </w:r>
      <w:r w:rsidR="00FB32FB" w:rsidRPr="007B140B">
        <w:rPr>
          <w:rFonts w:ascii="Times New Roman" w:hAnsi="Times New Roman" w:cs="Times New Roman"/>
          <w:sz w:val="24"/>
          <w:szCs w:val="24"/>
          <w:lang w:val="en-US"/>
        </w:rPr>
        <w:t xml:space="preserve">or </w:t>
      </w:r>
      <w:r w:rsidR="00F14579" w:rsidRPr="007B140B">
        <w:rPr>
          <w:rFonts w:ascii="Times New Roman" w:hAnsi="Times New Roman" w:cs="Times New Roman"/>
          <w:sz w:val="24"/>
          <w:szCs w:val="24"/>
          <w:lang w:val="en-US"/>
        </w:rPr>
        <w:t>strontium ranelate</w:t>
      </w:r>
      <w:r w:rsidR="009A26D2" w:rsidRPr="007B140B">
        <w:rPr>
          <w:rFonts w:ascii="Times New Roman" w:hAnsi="Times New Roman" w:cs="Times New Roman"/>
          <w:sz w:val="24"/>
          <w:szCs w:val="24"/>
          <w:lang w:val="en-US"/>
        </w:rPr>
        <w:t>;</w:t>
      </w:r>
      <w:r w:rsidR="009001F3" w:rsidRPr="007B140B">
        <w:rPr>
          <w:rFonts w:ascii="Times New Roman" w:hAnsi="Times New Roman" w:cs="Times New Roman"/>
          <w:sz w:val="24"/>
          <w:szCs w:val="24"/>
          <w:lang w:val="en-US"/>
        </w:rPr>
        <w:t xml:space="preserve"> </w:t>
      </w:r>
      <w:r w:rsidR="009A26D2" w:rsidRPr="007B140B">
        <w:rPr>
          <w:rFonts w:ascii="Times New Roman" w:hAnsi="Times New Roman" w:cs="Times New Roman"/>
          <w:sz w:val="24"/>
          <w:szCs w:val="24"/>
          <w:lang w:val="en-US"/>
        </w:rPr>
        <w:t>c</w:t>
      </w:r>
      <w:r w:rsidR="00FB32FB" w:rsidRPr="007B140B">
        <w:rPr>
          <w:rFonts w:ascii="Times New Roman" w:hAnsi="Times New Roman" w:cs="Times New Roman"/>
          <w:sz w:val="24"/>
          <w:szCs w:val="24"/>
          <w:lang w:val="en-US"/>
        </w:rPr>
        <w:t>alcium and vitamin D are acceptable</w:t>
      </w:r>
      <w:r w:rsidR="00F14579" w:rsidRPr="007B140B">
        <w:rPr>
          <w:rFonts w:ascii="Times New Roman" w:hAnsi="Times New Roman" w:cs="Times New Roman"/>
          <w:sz w:val="24"/>
          <w:szCs w:val="24"/>
          <w:lang w:val="en-US"/>
        </w:rPr>
        <w:t>)</w:t>
      </w:r>
    </w:p>
    <w:p w14:paraId="1CBA27A9" w14:textId="1CF308AD" w:rsidR="00CF29F0" w:rsidRDefault="00CF29F0" w:rsidP="00363CEE">
      <w:pPr>
        <w:pStyle w:val="Liststycke"/>
        <w:numPr>
          <w:ilvl w:val="0"/>
          <w:numId w:val="7"/>
        </w:numPr>
        <w:autoSpaceDE w:val="0"/>
        <w:autoSpaceDN w:val="0"/>
        <w:adjustRightInd w:val="0"/>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Use of </w:t>
      </w:r>
      <w:r w:rsidR="00CB2202" w:rsidRPr="007B140B">
        <w:rPr>
          <w:rFonts w:ascii="Times New Roman" w:hAnsi="Times New Roman" w:cs="Times New Roman"/>
          <w:sz w:val="24"/>
          <w:szCs w:val="24"/>
          <w:lang w:val="en-US"/>
        </w:rPr>
        <w:t>systemic glucocorticoids at a dose of ≥5 mg (prednisolone or equivalent)</w:t>
      </w:r>
      <w:r w:rsidR="00F72C0F" w:rsidRPr="007B140B">
        <w:rPr>
          <w:rFonts w:ascii="Times New Roman" w:hAnsi="Times New Roman" w:cs="Times New Roman"/>
          <w:sz w:val="24"/>
          <w:szCs w:val="24"/>
          <w:lang w:val="en-US"/>
        </w:rPr>
        <w:t xml:space="preserve"> for ≥3 months in the past year</w:t>
      </w:r>
    </w:p>
    <w:p w14:paraId="32A090F1" w14:textId="6205A503" w:rsidR="00DC0E18" w:rsidRPr="007B140B" w:rsidRDefault="00DC0E18" w:rsidP="00363CEE">
      <w:pPr>
        <w:pStyle w:val="Liststycke"/>
        <w:numPr>
          <w:ilvl w:val="0"/>
          <w:numId w:val="7"/>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Malabsorption of calcium and/or vitamin D (</w:t>
      </w:r>
      <w:r w:rsidR="00DC12D1">
        <w:rPr>
          <w:rFonts w:ascii="Times New Roman" w:hAnsi="Times New Roman" w:cs="Times New Roman"/>
          <w:sz w:val="24"/>
          <w:szCs w:val="24"/>
          <w:lang w:val="en-US"/>
        </w:rPr>
        <w:t xml:space="preserve">e.g., </w:t>
      </w:r>
      <w:r>
        <w:rPr>
          <w:rFonts w:ascii="Times New Roman" w:hAnsi="Times New Roman" w:cs="Times New Roman"/>
          <w:sz w:val="24"/>
          <w:szCs w:val="24"/>
          <w:lang w:val="en-US"/>
        </w:rPr>
        <w:t>due to gastric bypass)</w:t>
      </w:r>
    </w:p>
    <w:p w14:paraId="73C5589D" w14:textId="630D46B9" w:rsidR="00E236D5" w:rsidRPr="007B140B" w:rsidRDefault="003F3704" w:rsidP="00E236D5">
      <w:pPr>
        <w:pStyle w:val="Liststycke"/>
        <w:numPr>
          <w:ilvl w:val="0"/>
          <w:numId w:val="7"/>
        </w:numPr>
        <w:autoSpaceDE w:val="0"/>
        <w:autoSpaceDN w:val="0"/>
        <w:adjustRightInd w:val="0"/>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Other medication or m</w:t>
      </w:r>
      <w:r w:rsidR="00442BB8" w:rsidRPr="007B140B">
        <w:rPr>
          <w:rFonts w:ascii="Times New Roman" w:hAnsi="Times New Roman" w:cs="Times New Roman"/>
          <w:sz w:val="24"/>
          <w:szCs w:val="24"/>
          <w:lang w:val="en-US"/>
        </w:rPr>
        <w:t xml:space="preserve">edical condition </w:t>
      </w:r>
      <w:r w:rsidRPr="007B140B">
        <w:rPr>
          <w:rFonts w:ascii="Times New Roman" w:hAnsi="Times New Roman" w:cs="Times New Roman"/>
          <w:sz w:val="24"/>
          <w:szCs w:val="24"/>
          <w:lang w:val="en-US"/>
        </w:rPr>
        <w:t>for which bone-protective</w:t>
      </w:r>
      <w:r w:rsidR="00442BB8" w:rsidRPr="007B140B">
        <w:rPr>
          <w:rFonts w:ascii="Times New Roman" w:hAnsi="Times New Roman" w:cs="Times New Roman"/>
          <w:sz w:val="24"/>
          <w:szCs w:val="24"/>
          <w:lang w:val="en-US"/>
        </w:rPr>
        <w:t xml:space="preserve"> therapy is i</w:t>
      </w:r>
      <w:r w:rsidR="00D47633" w:rsidRPr="007B140B">
        <w:rPr>
          <w:rFonts w:ascii="Times New Roman" w:hAnsi="Times New Roman" w:cs="Times New Roman"/>
          <w:sz w:val="24"/>
          <w:szCs w:val="24"/>
          <w:lang w:val="en-US"/>
        </w:rPr>
        <w:t>ndicated (e.g., bone metastases or</w:t>
      </w:r>
      <w:r w:rsidR="00442BB8" w:rsidRPr="007B140B">
        <w:rPr>
          <w:rFonts w:ascii="Times New Roman" w:hAnsi="Times New Roman" w:cs="Times New Roman"/>
          <w:sz w:val="24"/>
          <w:szCs w:val="24"/>
          <w:lang w:val="en-US"/>
        </w:rPr>
        <w:t xml:space="preserve"> </w:t>
      </w:r>
      <w:r w:rsidR="003E4208">
        <w:rPr>
          <w:rFonts w:ascii="Times New Roman" w:hAnsi="Times New Roman" w:cs="Times New Roman"/>
          <w:sz w:val="24"/>
          <w:szCs w:val="24"/>
          <w:lang w:val="en-US"/>
        </w:rPr>
        <w:t xml:space="preserve">use of </w:t>
      </w:r>
      <w:r w:rsidRPr="007B140B">
        <w:rPr>
          <w:rFonts w:ascii="Times New Roman" w:hAnsi="Times New Roman" w:cs="Times New Roman"/>
          <w:sz w:val="24"/>
          <w:szCs w:val="24"/>
          <w:lang w:val="en-US"/>
        </w:rPr>
        <w:t>aromatase inhibitor; osteoporosis is permitted</w:t>
      </w:r>
      <w:r w:rsidR="00442BB8" w:rsidRPr="007B140B">
        <w:rPr>
          <w:rFonts w:ascii="Times New Roman" w:hAnsi="Times New Roman" w:cs="Times New Roman"/>
          <w:sz w:val="24"/>
          <w:szCs w:val="24"/>
          <w:lang w:val="en-US"/>
        </w:rPr>
        <w:t>)</w:t>
      </w:r>
    </w:p>
    <w:p w14:paraId="2291F9CA" w14:textId="24EA5FEF" w:rsidR="006D430D" w:rsidRPr="007B140B" w:rsidRDefault="006D430D" w:rsidP="006D430D">
      <w:pPr>
        <w:autoSpaceDE w:val="0"/>
        <w:autoSpaceDN w:val="0"/>
        <w:adjustRightInd w:val="0"/>
        <w:spacing w:after="0" w:line="240" w:lineRule="auto"/>
        <w:rPr>
          <w:rFonts w:ascii="Times New Roman" w:hAnsi="Times New Roman" w:cs="Times New Roman"/>
          <w:sz w:val="24"/>
          <w:szCs w:val="24"/>
          <w:lang w:val="en-US"/>
        </w:rPr>
      </w:pPr>
    </w:p>
    <w:p w14:paraId="4E6F23FF" w14:textId="4C2CC818" w:rsidR="006D430D" w:rsidRPr="007B140B" w:rsidRDefault="006D430D" w:rsidP="006D430D">
      <w:pPr>
        <w:autoSpaceDE w:val="0"/>
        <w:autoSpaceDN w:val="0"/>
        <w:adjustRightInd w:val="0"/>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Patients with a hip or vertebral fracture will be excluded because these patients </w:t>
      </w:r>
      <w:r w:rsidR="005C1E70" w:rsidRPr="007B140B">
        <w:rPr>
          <w:rFonts w:ascii="Times New Roman" w:hAnsi="Times New Roman" w:cs="Times New Roman"/>
          <w:sz w:val="24"/>
          <w:szCs w:val="24"/>
          <w:lang w:val="en-US"/>
        </w:rPr>
        <w:t xml:space="preserve">should receive </w:t>
      </w:r>
      <w:r w:rsidR="00767CB3" w:rsidRPr="007B140B">
        <w:rPr>
          <w:rFonts w:ascii="Times New Roman" w:hAnsi="Times New Roman" w:cs="Times New Roman"/>
          <w:sz w:val="24"/>
          <w:szCs w:val="24"/>
          <w:lang w:val="en-US"/>
        </w:rPr>
        <w:t>bone-protective</w:t>
      </w:r>
      <w:r w:rsidR="005C1E70" w:rsidRPr="007B140B">
        <w:rPr>
          <w:rFonts w:ascii="Times New Roman" w:hAnsi="Times New Roman" w:cs="Times New Roman"/>
          <w:sz w:val="24"/>
          <w:szCs w:val="24"/>
          <w:lang w:val="en-US"/>
        </w:rPr>
        <w:t xml:space="preserve"> therapy </w:t>
      </w:r>
      <w:r w:rsidRPr="007B140B">
        <w:rPr>
          <w:rFonts w:ascii="Times New Roman" w:hAnsi="Times New Roman" w:cs="Times New Roman"/>
          <w:sz w:val="24"/>
          <w:szCs w:val="24"/>
          <w:lang w:val="en-US"/>
        </w:rPr>
        <w:t>according to current Swedish national guidelines.</w:t>
      </w:r>
      <w:r w:rsidR="00272AC1" w:rsidRPr="007B140B">
        <w:rPr>
          <w:rFonts w:ascii="Times New Roman" w:hAnsi="Times New Roman" w:cs="Times New Roman"/>
          <w:sz w:val="24"/>
          <w:szCs w:val="24"/>
          <w:lang w:val="en-US"/>
        </w:rPr>
        <w:fldChar w:fldCharType="begin" w:fldLock="1"/>
      </w:r>
      <w:r w:rsidR="00B04D41">
        <w:rPr>
          <w:rFonts w:ascii="Times New Roman" w:hAnsi="Times New Roman" w:cs="Times New Roman"/>
          <w:sz w:val="24"/>
          <w:szCs w:val="24"/>
          <w:lang w:val="en-US"/>
        </w:rPr>
        <w:instrText>ADDIN CSL_CITATION {"citationItems":[{"id":"ITEM-1","itemData":{"ISBN":"9789187169328","author":[{"dropping-particle":"","family":"Socialstyrelsen","given":"","non-dropping-particle":"","parse-names":false,"suffix":""}],"id":"ITEM-1","issued":{"date-parts":[["2012"]]},"publisher-place":"Stockholm","title":"Nationella riktlinjer för rörelseorganens sjukdomar 2012: osteoporos, artros, inflammatorisk ryggsjukdom och ankyloserande spondylit, psoriasisartrit och reumatoid artrit: stöd för styrning och ledning","type":"book"},"uris":["http://www.mendeley.com/documents/?uuid=18c2d36e-1f8b-485a-8676-b63d038eec82"]}],"mendeley":{"formattedCitation":"&lt;sup&gt;&lt;sup&gt;39&lt;/sup&gt;&lt;/sup&gt;","plainTextFormattedCitation":"39","previouslyFormattedCitation":"&lt;sup&gt;&lt;sup&gt;39&lt;/sup&gt;&lt;/sup&gt;"},"properties":{"noteIndex":0},"schema":"https://github.com/citation-style-language/schema/raw/master/csl-citation.json"}</w:instrText>
      </w:r>
      <w:r w:rsidR="00272AC1" w:rsidRPr="007B140B">
        <w:rPr>
          <w:rFonts w:ascii="Times New Roman" w:hAnsi="Times New Roman" w:cs="Times New Roman"/>
          <w:sz w:val="24"/>
          <w:szCs w:val="24"/>
          <w:lang w:val="en-US"/>
        </w:rPr>
        <w:fldChar w:fldCharType="separate"/>
      </w:r>
      <w:r w:rsidR="00D858E3" w:rsidRPr="00D858E3">
        <w:rPr>
          <w:rFonts w:ascii="Times New Roman" w:hAnsi="Times New Roman" w:cs="Times New Roman"/>
          <w:noProof/>
          <w:sz w:val="24"/>
          <w:szCs w:val="24"/>
          <w:vertAlign w:val="superscript"/>
          <w:lang w:val="en-US"/>
        </w:rPr>
        <w:t>39</w:t>
      </w:r>
      <w:r w:rsidR="00272AC1" w:rsidRPr="007B140B">
        <w:rPr>
          <w:rFonts w:ascii="Times New Roman" w:hAnsi="Times New Roman" w:cs="Times New Roman"/>
          <w:sz w:val="24"/>
          <w:szCs w:val="24"/>
          <w:lang w:val="en-US"/>
        </w:rPr>
        <w:fldChar w:fldCharType="end"/>
      </w:r>
      <w:r w:rsidRPr="007B140B">
        <w:rPr>
          <w:rFonts w:ascii="Times New Roman" w:hAnsi="Times New Roman" w:cs="Times New Roman"/>
          <w:sz w:val="24"/>
          <w:szCs w:val="24"/>
          <w:lang w:val="en-US"/>
        </w:rPr>
        <w:t xml:space="preserve"> </w:t>
      </w:r>
      <w:r w:rsidR="009B04EB" w:rsidRPr="007B140B">
        <w:rPr>
          <w:rFonts w:ascii="Times New Roman" w:hAnsi="Times New Roman" w:cs="Times New Roman"/>
          <w:sz w:val="24"/>
          <w:szCs w:val="24"/>
          <w:lang w:val="en-US"/>
        </w:rPr>
        <w:t>P</w:t>
      </w:r>
      <w:r w:rsidRPr="007B140B">
        <w:rPr>
          <w:rFonts w:ascii="Times New Roman" w:hAnsi="Times New Roman" w:cs="Times New Roman"/>
          <w:sz w:val="24"/>
          <w:szCs w:val="24"/>
          <w:lang w:val="en-US"/>
        </w:rPr>
        <w:t>atients who have und</w:t>
      </w:r>
      <w:r w:rsidR="007B3254" w:rsidRPr="007B140B">
        <w:rPr>
          <w:rFonts w:ascii="Times New Roman" w:hAnsi="Times New Roman" w:cs="Times New Roman"/>
          <w:sz w:val="24"/>
          <w:szCs w:val="24"/>
          <w:lang w:val="en-US"/>
        </w:rPr>
        <w:t xml:space="preserve">ergone bone density scanning </w:t>
      </w:r>
      <w:r w:rsidRPr="007B140B">
        <w:rPr>
          <w:rFonts w:ascii="Times New Roman" w:hAnsi="Times New Roman" w:cs="Times New Roman"/>
          <w:sz w:val="24"/>
          <w:szCs w:val="24"/>
          <w:lang w:val="en-US"/>
        </w:rPr>
        <w:t>will be excluded</w:t>
      </w:r>
      <w:r w:rsidR="005927D7" w:rsidRPr="007B140B">
        <w:rPr>
          <w:rFonts w:ascii="Times New Roman" w:hAnsi="Times New Roman" w:cs="Times New Roman"/>
          <w:sz w:val="24"/>
          <w:szCs w:val="24"/>
          <w:lang w:val="en-US"/>
        </w:rPr>
        <w:t xml:space="preserve"> because</w:t>
      </w:r>
      <w:r w:rsidRPr="007B140B">
        <w:rPr>
          <w:rFonts w:ascii="Times New Roman" w:hAnsi="Times New Roman" w:cs="Times New Roman"/>
          <w:sz w:val="24"/>
          <w:szCs w:val="24"/>
          <w:lang w:val="en-US"/>
        </w:rPr>
        <w:t xml:space="preserve"> </w:t>
      </w:r>
      <w:r w:rsidR="002D3153" w:rsidRPr="007B140B">
        <w:rPr>
          <w:rFonts w:ascii="Times New Roman" w:hAnsi="Times New Roman" w:cs="Times New Roman"/>
          <w:sz w:val="24"/>
          <w:szCs w:val="24"/>
          <w:lang w:val="en-US"/>
        </w:rPr>
        <w:t>the</w:t>
      </w:r>
      <w:r w:rsidR="009B04EB" w:rsidRPr="007B140B">
        <w:rPr>
          <w:rFonts w:ascii="Times New Roman" w:hAnsi="Times New Roman" w:cs="Times New Roman"/>
          <w:sz w:val="24"/>
          <w:szCs w:val="24"/>
          <w:lang w:val="en-US"/>
        </w:rPr>
        <w:t xml:space="preserve"> </w:t>
      </w:r>
      <w:r w:rsidR="008F5C85" w:rsidRPr="007B140B">
        <w:rPr>
          <w:rFonts w:ascii="Times New Roman" w:hAnsi="Times New Roman" w:cs="Times New Roman"/>
          <w:sz w:val="24"/>
          <w:szCs w:val="24"/>
          <w:lang w:val="en-US"/>
        </w:rPr>
        <w:t>inclusion of</w:t>
      </w:r>
      <w:r w:rsidR="00D04128" w:rsidRPr="007B140B">
        <w:rPr>
          <w:rFonts w:ascii="Times New Roman" w:hAnsi="Times New Roman" w:cs="Times New Roman"/>
          <w:sz w:val="24"/>
          <w:szCs w:val="24"/>
          <w:lang w:val="en-US"/>
        </w:rPr>
        <w:t xml:space="preserve"> these</w:t>
      </w:r>
      <w:r w:rsidR="008F5C85" w:rsidRPr="007B140B">
        <w:rPr>
          <w:rFonts w:ascii="Times New Roman" w:hAnsi="Times New Roman" w:cs="Times New Roman"/>
          <w:sz w:val="24"/>
          <w:szCs w:val="24"/>
          <w:lang w:val="en-US"/>
        </w:rPr>
        <w:t xml:space="preserve"> </w:t>
      </w:r>
      <w:r w:rsidR="009B04EB" w:rsidRPr="007B140B">
        <w:rPr>
          <w:rFonts w:ascii="Times New Roman" w:hAnsi="Times New Roman" w:cs="Times New Roman"/>
          <w:sz w:val="24"/>
          <w:szCs w:val="24"/>
          <w:lang w:val="en-US"/>
        </w:rPr>
        <w:t xml:space="preserve">patients </w:t>
      </w:r>
      <w:r w:rsidR="000C0C8F">
        <w:rPr>
          <w:rFonts w:ascii="Times New Roman" w:hAnsi="Times New Roman" w:cs="Times New Roman"/>
          <w:sz w:val="24"/>
          <w:szCs w:val="24"/>
          <w:lang w:val="en-US"/>
        </w:rPr>
        <w:t>might</w:t>
      </w:r>
      <w:r w:rsidR="00092CD2" w:rsidRPr="007B140B">
        <w:rPr>
          <w:rFonts w:ascii="Times New Roman" w:hAnsi="Times New Roman" w:cs="Times New Roman"/>
          <w:sz w:val="24"/>
          <w:szCs w:val="24"/>
          <w:lang w:val="en-US"/>
        </w:rPr>
        <w:t xml:space="preserve"> </w:t>
      </w:r>
      <w:r w:rsidR="001351FD">
        <w:rPr>
          <w:rFonts w:ascii="Times New Roman" w:hAnsi="Times New Roman" w:cs="Times New Roman"/>
          <w:sz w:val="24"/>
          <w:szCs w:val="24"/>
          <w:lang w:val="en-US"/>
        </w:rPr>
        <w:t>skew</w:t>
      </w:r>
      <w:r w:rsidR="001351FD" w:rsidRPr="007B140B">
        <w:rPr>
          <w:rFonts w:ascii="Times New Roman" w:hAnsi="Times New Roman" w:cs="Times New Roman"/>
          <w:sz w:val="24"/>
          <w:szCs w:val="24"/>
          <w:lang w:val="en-US"/>
        </w:rPr>
        <w:t xml:space="preserve"> </w:t>
      </w:r>
      <w:r w:rsidR="00FA21D3" w:rsidRPr="007B140B">
        <w:rPr>
          <w:rFonts w:ascii="Times New Roman" w:hAnsi="Times New Roman" w:cs="Times New Roman"/>
          <w:sz w:val="24"/>
          <w:szCs w:val="24"/>
          <w:lang w:val="en-US"/>
        </w:rPr>
        <w:t>the study population to</w:t>
      </w:r>
      <w:r w:rsidR="001351FD">
        <w:rPr>
          <w:rFonts w:ascii="Times New Roman" w:hAnsi="Times New Roman" w:cs="Times New Roman"/>
          <w:sz w:val="24"/>
          <w:szCs w:val="24"/>
          <w:lang w:val="en-US"/>
        </w:rPr>
        <w:t>ward</w:t>
      </w:r>
      <w:r w:rsidR="00FA21D3" w:rsidRPr="007B140B">
        <w:rPr>
          <w:rFonts w:ascii="Times New Roman" w:hAnsi="Times New Roman" w:cs="Times New Roman"/>
          <w:sz w:val="24"/>
          <w:szCs w:val="24"/>
          <w:lang w:val="en-US"/>
        </w:rPr>
        <w:t xml:space="preserve"> low</w:t>
      </w:r>
      <w:r w:rsidRPr="007B140B">
        <w:rPr>
          <w:rFonts w:ascii="Times New Roman" w:hAnsi="Times New Roman" w:cs="Times New Roman"/>
          <w:sz w:val="24"/>
          <w:szCs w:val="24"/>
          <w:lang w:val="en-US"/>
        </w:rPr>
        <w:t xml:space="preserve">-risk patients who do not qualify for treatment according to current guidelines, </w:t>
      </w:r>
      <w:r w:rsidR="005927D7" w:rsidRPr="007B140B">
        <w:rPr>
          <w:rFonts w:ascii="Times New Roman" w:hAnsi="Times New Roman" w:cs="Times New Roman"/>
          <w:sz w:val="24"/>
          <w:szCs w:val="24"/>
          <w:lang w:val="en-US"/>
        </w:rPr>
        <w:t>which would</w:t>
      </w:r>
      <w:r w:rsidR="009B04EB" w:rsidRPr="007B140B">
        <w:rPr>
          <w:rFonts w:ascii="Times New Roman" w:hAnsi="Times New Roman" w:cs="Times New Roman"/>
          <w:sz w:val="24"/>
          <w:szCs w:val="24"/>
          <w:lang w:val="en-US"/>
        </w:rPr>
        <w:t xml:space="preserve"> reduc</w:t>
      </w:r>
      <w:r w:rsidR="005927D7" w:rsidRPr="007B140B">
        <w:rPr>
          <w:rFonts w:ascii="Times New Roman" w:hAnsi="Times New Roman" w:cs="Times New Roman"/>
          <w:sz w:val="24"/>
          <w:szCs w:val="24"/>
          <w:lang w:val="en-US"/>
        </w:rPr>
        <w:t>e</w:t>
      </w:r>
      <w:r w:rsidR="009B04EB" w:rsidRPr="007B140B">
        <w:rPr>
          <w:rFonts w:ascii="Times New Roman" w:hAnsi="Times New Roman" w:cs="Times New Roman"/>
          <w:sz w:val="24"/>
          <w:szCs w:val="24"/>
          <w:lang w:val="en-US"/>
        </w:rPr>
        <w:t xml:space="preserve"> the</w:t>
      </w:r>
      <w:r w:rsidR="00140AE1" w:rsidRPr="007B140B">
        <w:rPr>
          <w:rFonts w:ascii="Times New Roman" w:hAnsi="Times New Roman" w:cs="Times New Roman"/>
          <w:sz w:val="24"/>
          <w:szCs w:val="24"/>
          <w:lang w:val="en-US"/>
        </w:rPr>
        <w:t xml:space="preserve"> statistical</w:t>
      </w:r>
      <w:r w:rsidR="009B04EB" w:rsidRPr="007B140B">
        <w:rPr>
          <w:rFonts w:ascii="Times New Roman" w:hAnsi="Times New Roman" w:cs="Times New Roman"/>
          <w:sz w:val="24"/>
          <w:szCs w:val="24"/>
          <w:lang w:val="en-US"/>
        </w:rPr>
        <w:t xml:space="preserve"> power of the trial.</w:t>
      </w:r>
    </w:p>
    <w:p w14:paraId="6ED8D1AC" w14:textId="2821B1A0" w:rsidR="001C65D0" w:rsidRPr="007B140B" w:rsidRDefault="001C65D0" w:rsidP="00230B10">
      <w:pPr>
        <w:pStyle w:val="Liststycke"/>
        <w:autoSpaceDE w:val="0"/>
        <w:autoSpaceDN w:val="0"/>
        <w:adjustRightInd w:val="0"/>
        <w:spacing w:after="0" w:line="240" w:lineRule="auto"/>
        <w:ind w:left="360"/>
        <w:rPr>
          <w:rFonts w:ascii="Times New Roman" w:hAnsi="Times New Roman" w:cs="Times New Roman"/>
          <w:sz w:val="24"/>
          <w:szCs w:val="24"/>
          <w:lang w:val="en-US"/>
        </w:rPr>
      </w:pPr>
    </w:p>
    <w:p w14:paraId="361C84F4" w14:textId="4B2E78CB" w:rsidR="00884BA9" w:rsidRPr="007B140B" w:rsidRDefault="00E13ABE" w:rsidP="00D36611">
      <w:pPr>
        <w:pStyle w:val="Formatmall4"/>
        <w:rPr>
          <w:rFonts w:cs="Times New Roman"/>
          <w:lang w:val="en-US"/>
        </w:rPr>
      </w:pPr>
      <w:bookmarkStart w:id="31" w:name="_Toc99001403"/>
      <w:r w:rsidRPr="007B140B">
        <w:rPr>
          <w:rFonts w:cs="Times New Roman"/>
          <w:lang w:val="en-US"/>
        </w:rPr>
        <w:t>Investigational P</w:t>
      </w:r>
      <w:r w:rsidR="00241692" w:rsidRPr="007B140B">
        <w:rPr>
          <w:rFonts w:cs="Times New Roman"/>
          <w:lang w:val="en-US"/>
        </w:rPr>
        <w:t>roduct</w:t>
      </w:r>
      <w:r w:rsidR="00884BA9" w:rsidRPr="007B140B">
        <w:rPr>
          <w:rFonts w:cs="Times New Roman"/>
          <w:lang w:val="en-US"/>
        </w:rPr>
        <w:t>s</w:t>
      </w:r>
      <w:bookmarkEnd w:id="31"/>
    </w:p>
    <w:p w14:paraId="5CC523B7" w14:textId="3DFDA967" w:rsidR="00FF44E1" w:rsidRPr="007B140B" w:rsidRDefault="00F80376" w:rsidP="00B04EDD">
      <w:pPr>
        <w:rPr>
          <w:rFonts w:ascii="Times New Roman" w:hAnsi="Times New Roman" w:cs="Times New Roman"/>
          <w:iCs/>
          <w:color w:val="000000" w:themeColor="text1"/>
          <w:sz w:val="24"/>
          <w:szCs w:val="24"/>
          <w:lang w:val="en-US"/>
        </w:rPr>
      </w:pPr>
      <w:r w:rsidRPr="007B140B">
        <w:rPr>
          <w:rFonts w:ascii="Times New Roman" w:hAnsi="Times New Roman" w:cs="Times New Roman"/>
          <w:iCs/>
          <w:color w:val="000000" w:themeColor="text1"/>
          <w:sz w:val="24"/>
          <w:szCs w:val="24"/>
          <w:lang w:val="en-US"/>
        </w:rPr>
        <w:t xml:space="preserve">Zoledronic acid </w:t>
      </w:r>
      <w:r w:rsidR="003424BC" w:rsidRPr="007B140B">
        <w:rPr>
          <w:rFonts w:ascii="Times New Roman" w:hAnsi="Times New Roman" w:cs="Times New Roman"/>
          <w:iCs/>
          <w:color w:val="000000" w:themeColor="text1"/>
          <w:sz w:val="24"/>
          <w:szCs w:val="24"/>
          <w:lang w:val="en-US"/>
        </w:rPr>
        <w:t>(</w:t>
      </w:r>
      <w:r w:rsidRPr="007B140B">
        <w:rPr>
          <w:rFonts w:ascii="Times New Roman" w:hAnsi="Times New Roman" w:cs="Times New Roman"/>
          <w:iCs/>
          <w:color w:val="000000" w:themeColor="text1"/>
          <w:sz w:val="24"/>
          <w:szCs w:val="24"/>
          <w:lang w:val="en-US"/>
        </w:rPr>
        <w:t>5 mg</w:t>
      </w:r>
      <w:r w:rsidR="003424BC" w:rsidRPr="007B140B">
        <w:rPr>
          <w:rFonts w:ascii="Times New Roman" w:hAnsi="Times New Roman" w:cs="Times New Roman"/>
          <w:iCs/>
          <w:color w:val="000000" w:themeColor="text1"/>
          <w:sz w:val="24"/>
          <w:szCs w:val="24"/>
          <w:lang w:val="en-US"/>
        </w:rPr>
        <w:t>)</w:t>
      </w:r>
      <w:r w:rsidRPr="007B140B">
        <w:rPr>
          <w:rFonts w:ascii="Times New Roman" w:hAnsi="Times New Roman" w:cs="Times New Roman"/>
          <w:iCs/>
          <w:color w:val="000000" w:themeColor="text1"/>
          <w:sz w:val="24"/>
          <w:szCs w:val="24"/>
          <w:lang w:val="en-US"/>
        </w:rPr>
        <w:t xml:space="preserve"> or placebo (normal saline) will be given as a 15-minute intravenous infusion at baseline and at 2 years.</w:t>
      </w:r>
      <w:r w:rsidR="00053802">
        <w:rPr>
          <w:rFonts w:ascii="Times New Roman" w:hAnsi="Times New Roman" w:cs="Times New Roman"/>
          <w:iCs/>
          <w:color w:val="000000" w:themeColor="text1"/>
          <w:sz w:val="24"/>
          <w:szCs w:val="24"/>
          <w:lang w:val="en-US"/>
        </w:rPr>
        <w:t xml:space="preserve"> </w:t>
      </w:r>
      <w:r w:rsidR="004C792C">
        <w:rPr>
          <w:rFonts w:ascii="Times New Roman" w:hAnsi="Times New Roman" w:cs="Times New Roman"/>
          <w:iCs/>
          <w:color w:val="000000" w:themeColor="text1"/>
          <w:sz w:val="24"/>
          <w:szCs w:val="24"/>
          <w:lang w:val="en-US"/>
        </w:rPr>
        <w:t>E</w:t>
      </w:r>
      <w:r w:rsidR="00053802">
        <w:rPr>
          <w:rFonts w:ascii="Times New Roman" w:hAnsi="Times New Roman" w:cs="Times New Roman"/>
          <w:iCs/>
          <w:color w:val="000000" w:themeColor="text1"/>
          <w:sz w:val="24"/>
          <w:szCs w:val="24"/>
          <w:lang w:val="en-US"/>
        </w:rPr>
        <w:t>ach infusion</w:t>
      </w:r>
      <w:r w:rsidR="004C792C">
        <w:rPr>
          <w:rFonts w:ascii="Times New Roman" w:hAnsi="Times New Roman" w:cs="Times New Roman"/>
          <w:iCs/>
          <w:color w:val="000000" w:themeColor="text1"/>
          <w:sz w:val="24"/>
          <w:szCs w:val="24"/>
          <w:lang w:val="en-US"/>
        </w:rPr>
        <w:t xml:space="preserve"> will contain</w:t>
      </w:r>
      <w:r w:rsidR="00053802">
        <w:rPr>
          <w:rFonts w:ascii="Times New Roman" w:hAnsi="Times New Roman" w:cs="Times New Roman"/>
          <w:iCs/>
          <w:color w:val="000000" w:themeColor="text1"/>
          <w:sz w:val="24"/>
          <w:szCs w:val="24"/>
          <w:lang w:val="en-US"/>
        </w:rPr>
        <w:t xml:space="preserve"> </w:t>
      </w:r>
      <w:r w:rsidR="00D65FF4">
        <w:rPr>
          <w:rFonts w:ascii="Times New Roman" w:hAnsi="Times New Roman" w:cs="Times New Roman"/>
          <w:iCs/>
          <w:color w:val="000000" w:themeColor="text1"/>
          <w:sz w:val="24"/>
          <w:szCs w:val="24"/>
          <w:lang w:val="en-US"/>
        </w:rPr>
        <w:t>5</w:t>
      </w:r>
      <w:r w:rsidR="008A1ACF">
        <w:rPr>
          <w:rFonts w:ascii="Times New Roman" w:hAnsi="Times New Roman" w:cs="Times New Roman"/>
          <w:iCs/>
          <w:color w:val="000000" w:themeColor="text1"/>
          <w:sz w:val="24"/>
          <w:szCs w:val="24"/>
          <w:lang w:val="en-US"/>
        </w:rPr>
        <w:t xml:space="preserve"> m</w:t>
      </w:r>
      <w:r w:rsidR="00D65FF4">
        <w:rPr>
          <w:rFonts w:ascii="Times New Roman" w:hAnsi="Times New Roman" w:cs="Times New Roman"/>
          <w:iCs/>
          <w:color w:val="000000" w:themeColor="text1"/>
          <w:sz w:val="24"/>
          <w:szCs w:val="24"/>
          <w:lang w:val="en-US"/>
        </w:rPr>
        <w:t>g</w:t>
      </w:r>
      <w:r w:rsidR="00923903">
        <w:rPr>
          <w:rFonts w:ascii="Times New Roman" w:hAnsi="Times New Roman" w:cs="Times New Roman"/>
          <w:iCs/>
          <w:color w:val="000000" w:themeColor="text1"/>
          <w:sz w:val="24"/>
          <w:szCs w:val="24"/>
          <w:lang w:val="en-US"/>
        </w:rPr>
        <w:t xml:space="preserve"> of zoledronic acid </w:t>
      </w:r>
      <w:r w:rsidR="006C3A43">
        <w:rPr>
          <w:rFonts w:ascii="Times New Roman" w:hAnsi="Times New Roman" w:cs="Times New Roman"/>
          <w:iCs/>
          <w:color w:val="000000" w:themeColor="text1"/>
          <w:sz w:val="24"/>
          <w:szCs w:val="24"/>
          <w:lang w:val="en-US"/>
        </w:rPr>
        <w:t>diluted in</w:t>
      </w:r>
      <w:r w:rsidR="009C686C">
        <w:rPr>
          <w:rFonts w:ascii="Times New Roman" w:hAnsi="Times New Roman" w:cs="Times New Roman"/>
          <w:iCs/>
          <w:color w:val="000000" w:themeColor="text1"/>
          <w:sz w:val="24"/>
          <w:szCs w:val="24"/>
          <w:lang w:val="en-US"/>
        </w:rPr>
        <w:t xml:space="preserve"> </w:t>
      </w:r>
      <w:r w:rsidR="008A1ACF">
        <w:rPr>
          <w:rFonts w:ascii="Times New Roman" w:hAnsi="Times New Roman" w:cs="Times New Roman"/>
          <w:iCs/>
          <w:color w:val="000000" w:themeColor="text1"/>
          <w:sz w:val="24"/>
          <w:szCs w:val="24"/>
          <w:lang w:val="en-US"/>
        </w:rPr>
        <w:t>normal saline</w:t>
      </w:r>
      <w:r w:rsidR="00D65FF4">
        <w:rPr>
          <w:rFonts w:ascii="Times New Roman" w:hAnsi="Times New Roman" w:cs="Times New Roman"/>
          <w:iCs/>
          <w:color w:val="000000" w:themeColor="text1"/>
          <w:sz w:val="24"/>
          <w:szCs w:val="24"/>
          <w:lang w:val="en-US"/>
        </w:rPr>
        <w:t xml:space="preserve"> according to the </w:t>
      </w:r>
      <w:proofErr w:type="gramStart"/>
      <w:r w:rsidR="00D65FF4">
        <w:rPr>
          <w:rFonts w:ascii="Times New Roman" w:hAnsi="Times New Roman" w:cs="Times New Roman"/>
          <w:iCs/>
          <w:color w:val="000000" w:themeColor="text1"/>
          <w:sz w:val="24"/>
          <w:szCs w:val="24"/>
          <w:lang w:val="en-US"/>
        </w:rPr>
        <w:t>manufacturers</w:t>
      </w:r>
      <w:proofErr w:type="gramEnd"/>
      <w:r w:rsidR="00D65FF4">
        <w:rPr>
          <w:rFonts w:ascii="Times New Roman" w:hAnsi="Times New Roman" w:cs="Times New Roman"/>
          <w:iCs/>
          <w:color w:val="000000" w:themeColor="text1"/>
          <w:sz w:val="24"/>
          <w:szCs w:val="24"/>
          <w:lang w:val="en-US"/>
        </w:rPr>
        <w:t xml:space="preserve"> recommendation</w:t>
      </w:r>
      <w:r w:rsidR="007F1858" w:rsidRPr="007B140B">
        <w:rPr>
          <w:rFonts w:ascii="Times New Roman" w:hAnsi="Times New Roman" w:cs="Times New Roman"/>
          <w:iCs/>
          <w:color w:val="000000" w:themeColor="text1"/>
          <w:sz w:val="24"/>
          <w:szCs w:val="24"/>
          <w:lang w:val="en-US"/>
        </w:rPr>
        <w:t>. A</w:t>
      </w:r>
      <w:r w:rsidR="00401EE1" w:rsidRPr="007B140B">
        <w:rPr>
          <w:rFonts w:ascii="Times New Roman" w:hAnsi="Times New Roman" w:cs="Times New Roman"/>
          <w:iCs/>
          <w:color w:val="000000" w:themeColor="text1"/>
          <w:sz w:val="24"/>
          <w:szCs w:val="24"/>
          <w:lang w:val="en-US"/>
        </w:rPr>
        <w:t xml:space="preserve"> flush of </w:t>
      </w:r>
      <w:r w:rsidR="009C686C">
        <w:rPr>
          <w:rFonts w:ascii="Times New Roman" w:hAnsi="Times New Roman" w:cs="Times New Roman"/>
          <w:iCs/>
          <w:color w:val="000000" w:themeColor="text1"/>
          <w:sz w:val="24"/>
          <w:szCs w:val="24"/>
          <w:lang w:val="en-US"/>
        </w:rPr>
        <w:t>3-5</w:t>
      </w:r>
      <w:r w:rsidR="009C686C" w:rsidRPr="007B140B">
        <w:rPr>
          <w:rFonts w:ascii="Times New Roman" w:hAnsi="Times New Roman" w:cs="Times New Roman"/>
          <w:iCs/>
          <w:color w:val="000000" w:themeColor="text1"/>
          <w:sz w:val="24"/>
          <w:szCs w:val="24"/>
          <w:lang w:val="en-US"/>
        </w:rPr>
        <w:t xml:space="preserve"> </w:t>
      </w:r>
      <w:r w:rsidR="00401EE1" w:rsidRPr="007B140B">
        <w:rPr>
          <w:rFonts w:ascii="Times New Roman" w:hAnsi="Times New Roman" w:cs="Times New Roman"/>
          <w:iCs/>
          <w:color w:val="000000" w:themeColor="text1"/>
          <w:sz w:val="24"/>
          <w:szCs w:val="24"/>
          <w:lang w:val="en-US"/>
        </w:rPr>
        <w:t>ml of normal saline will be given before administration</w:t>
      </w:r>
      <w:r w:rsidR="004410F4" w:rsidRPr="007B140B">
        <w:rPr>
          <w:rFonts w:ascii="Times New Roman" w:hAnsi="Times New Roman" w:cs="Times New Roman"/>
          <w:iCs/>
          <w:color w:val="000000" w:themeColor="text1"/>
          <w:sz w:val="24"/>
          <w:szCs w:val="24"/>
          <w:lang w:val="en-US"/>
        </w:rPr>
        <w:t xml:space="preserve">, resulting in a total of </w:t>
      </w:r>
      <w:r w:rsidR="006F37BB">
        <w:rPr>
          <w:rFonts w:ascii="Times New Roman" w:hAnsi="Times New Roman" w:cs="Times New Roman"/>
          <w:iCs/>
          <w:color w:val="000000" w:themeColor="text1"/>
          <w:sz w:val="24"/>
          <w:szCs w:val="24"/>
          <w:lang w:val="en-US"/>
        </w:rPr>
        <w:t>~</w:t>
      </w:r>
      <w:r w:rsidR="007A7C82" w:rsidRPr="007B140B">
        <w:rPr>
          <w:rFonts w:ascii="Times New Roman" w:hAnsi="Times New Roman" w:cs="Times New Roman"/>
          <w:iCs/>
          <w:color w:val="000000" w:themeColor="text1"/>
          <w:sz w:val="24"/>
          <w:szCs w:val="24"/>
          <w:lang w:val="en-US"/>
        </w:rPr>
        <w:t>1</w:t>
      </w:r>
      <w:r w:rsidR="007A7C82">
        <w:rPr>
          <w:rFonts w:ascii="Times New Roman" w:hAnsi="Times New Roman" w:cs="Times New Roman"/>
          <w:iCs/>
          <w:color w:val="000000" w:themeColor="text1"/>
          <w:sz w:val="24"/>
          <w:szCs w:val="24"/>
          <w:lang w:val="en-US"/>
        </w:rPr>
        <w:t>10</w:t>
      </w:r>
      <w:r w:rsidR="007A7C82" w:rsidRPr="007B140B">
        <w:rPr>
          <w:rFonts w:ascii="Times New Roman" w:hAnsi="Times New Roman" w:cs="Times New Roman"/>
          <w:iCs/>
          <w:color w:val="000000" w:themeColor="text1"/>
          <w:sz w:val="24"/>
          <w:szCs w:val="24"/>
          <w:lang w:val="en-US"/>
        </w:rPr>
        <w:t xml:space="preserve"> </w:t>
      </w:r>
      <w:r w:rsidR="00401EE1" w:rsidRPr="007B140B">
        <w:rPr>
          <w:rFonts w:ascii="Times New Roman" w:hAnsi="Times New Roman" w:cs="Times New Roman"/>
          <w:iCs/>
          <w:color w:val="000000" w:themeColor="text1"/>
          <w:sz w:val="24"/>
          <w:szCs w:val="24"/>
          <w:lang w:val="en-US"/>
        </w:rPr>
        <w:t>ml of intravenously infused fluid.</w:t>
      </w:r>
      <w:r w:rsidR="007A7C82">
        <w:rPr>
          <w:rFonts w:ascii="Times New Roman" w:hAnsi="Times New Roman" w:cs="Times New Roman"/>
          <w:iCs/>
          <w:color w:val="000000" w:themeColor="text1"/>
          <w:sz w:val="24"/>
          <w:szCs w:val="24"/>
          <w:lang w:val="en-US"/>
        </w:rPr>
        <w:t xml:space="preserve"> See Section 10 for more information on </w:t>
      </w:r>
      <w:r w:rsidR="004C792C">
        <w:rPr>
          <w:rFonts w:ascii="Times New Roman" w:hAnsi="Times New Roman" w:cs="Times New Roman"/>
          <w:iCs/>
          <w:color w:val="000000" w:themeColor="text1"/>
          <w:sz w:val="24"/>
          <w:szCs w:val="24"/>
          <w:lang w:val="en-US"/>
        </w:rPr>
        <w:t>the administration of</w:t>
      </w:r>
      <w:r w:rsidR="007A7C82">
        <w:rPr>
          <w:rFonts w:ascii="Times New Roman" w:hAnsi="Times New Roman" w:cs="Times New Roman"/>
          <w:iCs/>
          <w:color w:val="000000" w:themeColor="text1"/>
          <w:sz w:val="24"/>
          <w:szCs w:val="24"/>
          <w:lang w:val="en-US"/>
        </w:rPr>
        <w:t xml:space="preserve"> infusions. </w:t>
      </w:r>
    </w:p>
    <w:p w14:paraId="604D2382" w14:textId="66E13176" w:rsidR="003517E1" w:rsidRPr="007B140B" w:rsidRDefault="003517E1" w:rsidP="000F33C6">
      <w:p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Zoledronic acid can cause post-infusion symptoms </w:t>
      </w:r>
      <w:r w:rsidR="005B4DDC" w:rsidRPr="007B140B">
        <w:rPr>
          <w:rFonts w:ascii="Times New Roman" w:hAnsi="Times New Roman" w:cs="Times New Roman"/>
          <w:sz w:val="24"/>
          <w:szCs w:val="24"/>
          <w:lang w:val="en-US"/>
        </w:rPr>
        <w:t>(pyrexia, myalgia, headache, arthralgia, or influenza-like symptoms)</w:t>
      </w:r>
      <w:r w:rsidRPr="007B140B">
        <w:rPr>
          <w:rFonts w:ascii="Times New Roman" w:hAnsi="Times New Roman" w:cs="Times New Roman"/>
          <w:iCs/>
          <w:sz w:val="24"/>
          <w:szCs w:val="24"/>
          <w:lang w:val="en-US"/>
        </w:rPr>
        <w:t xml:space="preserve"> within the first 3 days.</w:t>
      </w:r>
      <w:r w:rsidR="005B4DDC" w:rsidRPr="007B140B">
        <w:rPr>
          <w:rFonts w:ascii="Times New Roman" w:hAnsi="Times New Roman" w:cs="Times New Roman"/>
          <w:iCs/>
          <w:sz w:val="24"/>
          <w:szCs w:val="24"/>
          <w:lang w:val="en-US"/>
        </w:rPr>
        <w:fldChar w:fldCharType="begin" w:fldLock="1"/>
      </w:r>
      <w:r w:rsidR="00D2485C">
        <w:rPr>
          <w:rFonts w:ascii="Times New Roman" w:hAnsi="Times New Roman" w:cs="Times New Roman"/>
          <w:iCs/>
          <w:sz w:val="24"/>
          <w:szCs w:val="24"/>
          <w:lang w:val="en-US"/>
        </w:rPr>
        <w:instrText>ADDIN CSL_CITATION {"citationItems":[{"id":"ITEM-1","itemData":{"DOI":"10.1056/NEJMoa067312","author":[{"dropping-particle":"","family":"Black","given":"D M","non-dropping-particle":"","parse-names":false,"suffix":""},{"dropping-particle":"","family":"Delmas","given":"P D","non-dropping-particle":"","parse-names":false,"suffix":""},{"dropping-particle":"","family":"Eastell","given":"R","non-dropping-particle":"","parse-names":false,"suffix":""},{"dropping-particle":"","family":"Reid","given":"I R","non-dropping-particle":"","parse-names":false,"suffix":""},{"dropping-particle":"","family":"Boonen","given":"S","non-dropping-particle":"","parse-names":false,"suffix":""},{"dropping-particle":"","family":"Cauley","given":"J A","non-dropping-particle":"","parse-names":false,"suffix":""},{"dropping-particle":"","family":"Cosman","given":"F","non-dropping-particle":"","parse-names":false,"suffix":""},{"dropping-particle":"","family":"Lakatos","given":"P","non-dropping-particle":"","parse-names":false,"suffix":""},{"dropping-particle":"","family":"Leung","given":"P C","non-dropping-particle":"","parse-names":false,"suffix":""},{"dropping-particle":"","family":"Man","given":"Z","non-dropping-particle":"","parse-names":false,"suffix":""},{"dropping-particle":"","family":"Mautalen","given":"C","non-dropping-particle":"","parse-names":false,"suffix":""},{"dropping-particle":"","family":"Mesenbrink","given":"P","non-dropping-particle":"","parse-names":false,"suffix":""},{"dropping-particle":"","family":"Hu","given":"H","non-dropping-particle":"","parse-names":false,"suffix":""},{"dropping-particle":"","family":"Caminis","given":"J","non-dropping-particle":"","parse-names":false,"suffix":""},{"dropping-particle":"","family":"Tong","given":"K","non-dropping-particle":"","parse-names":false,"suffix":""},{"dropping-particle":"","family":"Rosario-Jansen","given":"T","non-dropping-particle":"","parse-names":false,"suffix":""},{"dropping-particle":"","family":"Krasnow","given":"J","non-dropping-particle":"","parse-names":false,"suffix":""},{"dropping-particle":"","family":"Hue","given":"T F","non-dropping-particle":"","parse-names":false,"suffix":""},{"dropping-particle":"","family":"Sellmeyer","given":"D","non-dropping-particle":"","parse-names":false,"suffix":""},{"dropping-particle":"","family":"Eriksen","given":"E F","non-dropping-particle":"","parse-names":false,"suffix":""},{"dropping-particle":"","family":"Cummings","given":"S R","non-dropping-particle":"","parse-names":false,"suffix":""}],"container-title":"N Engl J Med","id":"ITEM-1","issue":"18","issued":{"date-parts":[["2007"]]},"page":"1809-1822","title":"Once-yearly zoledronic acid for treatment of postmenopausal osteoporosis","type":"article-journal","volume":"356"},"uris":["http://www.mendeley.com/documents/?uuid=0f13fad4-b5f5-42f7-873f-7dd2216502be"]}],"mendeley":{"formattedCitation":"&lt;sup&gt;&lt;sup&gt;19&lt;/sup&gt;&lt;/sup&gt;","plainTextFormattedCitation":"19","previouslyFormattedCitation":"&lt;sup&gt;&lt;sup&gt;19&lt;/sup&gt;&lt;/sup&gt;"},"properties":{"noteIndex":0},"schema":"https://github.com/citation-style-language/schema/raw/master/csl-citation.json"}</w:instrText>
      </w:r>
      <w:r w:rsidR="005B4DDC" w:rsidRPr="007B140B">
        <w:rPr>
          <w:rFonts w:ascii="Times New Roman" w:hAnsi="Times New Roman" w:cs="Times New Roman"/>
          <w:iCs/>
          <w:sz w:val="24"/>
          <w:szCs w:val="24"/>
          <w:lang w:val="en-US"/>
        </w:rPr>
        <w:fldChar w:fldCharType="separate"/>
      </w:r>
      <w:r w:rsidR="00D2485C" w:rsidRPr="00D2485C">
        <w:rPr>
          <w:rFonts w:ascii="Times New Roman" w:hAnsi="Times New Roman" w:cs="Times New Roman"/>
          <w:iCs/>
          <w:noProof/>
          <w:sz w:val="24"/>
          <w:szCs w:val="24"/>
          <w:vertAlign w:val="superscript"/>
          <w:lang w:val="en-US"/>
        </w:rPr>
        <w:t>19</w:t>
      </w:r>
      <w:r w:rsidR="005B4DDC" w:rsidRPr="007B140B">
        <w:rPr>
          <w:rFonts w:ascii="Times New Roman" w:hAnsi="Times New Roman" w:cs="Times New Roman"/>
          <w:iCs/>
          <w:sz w:val="24"/>
          <w:szCs w:val="24"/>
          <w:lang w:val="en-US"/>
        </w:rPr>
        <w:fldChar w:fldCharType="end"/>
      </w:r>
      <w:r w:rsidRPr="007B140B">
        <w:rPr>
          <w:rFonts w:ascii="Times New Roman" w:hAnsi="Times New Roman" w:cs="Times New Roman"/>
          <w:iCs/>
          <w:sz w:val="24"/>
          <w:szCs w:val="24"/>
          <w:lang w:val="en-US"/>
        </w:rPr>
        <w:t xml:space="preserve"> </w:t>
      </w:r>
      <w:r w:rsidR="00A11470">
        <w:rPr>
          <w:rFonts w:ascii="Times New Roman" w:hAnsi="Times New Roman" w:cs="Times New Roman"/>
          <w:iCs/>
          <w:sz w:val="24"/>
          <w:szCs w:val="24"/>
          <w:lang w:val="en-US"/>
        </w:rPr>
        <w:t>Participants</w:t>
      </w:r>
      <w:r w:rsidR="00A11470" w:rsidRPr="007B140B">
        <w:rPr>
          <w:rFonts w:ascii="Times New Roman" w:hAnsi="Times New Roman" w:cs="Times New Roman"/>
          <w:iCs/>
          <w:sz w:val="24"/>
          <w:szCs w:val="24"/>
          <w:lang w:val="en-US"/>
        </w:rPr>
        <w:t xml:space="preserve"> </w:t>
      </w:r>
      <w:r w:rsidRPr="007B140B">
        <w:rPr>
          <w:rFonts w:ascii="Times New Roman" w:hAnsi="Times New Roman" w:cs="Times New Roman"/>
          <w:iCs/>
          <w:sz w:val="24"/>
          <w:szCs w:val="24"/>
          <w:lang w:val="en-US"/>
        </w:rPr>
        <w:t xml:space="preserve">will be informed that these symptoms </w:t>
      </w:r>
      <w:r w:rsidR="00E43F5A" w:rsidRPr="007B140B">
        <w:rPr>
          <w:rFonts w:ascii="Times New Roman" w:hAnsi="Times New Roman" w:cs="Times New Roman"/>
          <w:iCs/>
          <w:sz w:val="24"/>
          <w:szCs w:val="24"/>
          <w:lang w:val="en-US"/>
        </w:rPr>
        <w:t>may</w:t>
      </w:r>
      <w:r w:rsidRPr="007B140B">
        <w:rPr>
          <w:rFonts w:ascii="Times New Roman" w:hAnsi="Times New Roman" w:cs="Times New Roman"/>
          <w:iCs/>
          <w:sz w:val="24"/>
          <w:szCs w:val="24"/>
          <w:lang w:val="en-US"/>
        </w:rPr>
        <w:t xml:space="preserve"> be uncomfortable but are not dangerous and can be eased with paracetamol.</w:t>
      </w:r>
    </w:p>
    <w:p w14:paraId="63D3EBE5" w14:textId="4ACED66D" w:rsidR="005F3760" w:rsidRPr="007B140B" w:rsidRDefault="009C1752" w:rsidP="009C1752">
      <w:pPr>
        <w:rPr>
          <w:rFonts w:ascii="Times New Roman" w:eastAsia="Times New Roman" w:hAnsi="Times New Roman" w:cs="Times New Roman"/>
          <w:sz w:val="24"/>
          <w:szCs w:val="24"/>
          <w:lang w:val="en-US" w:eastAsia="sv-SE"/>
        </w:rPr>
      </w:pPr>
      <w:r w:rsidRPr="007B140B">
        <w:rPr>
          <w:rFonts w:ascii="Times New Roman" w:eastAsia="Times New Roman" w:hAnsi="Times New Roman" w:cs="Times New Roman"/>
          <w:sz w:val="24"/>
          <w:szCs w:val="24"/>
          <w:lang w:val="en-US" w:eastAsia="sv-SE"/>
        </w:rPr>
        <w:t>To prevent hypocalcemia, all participants will receive a loading dose of oral vitamin D (</w:t>
      </w:r>
      <w:r w:rsidR="0088136B">
        <w:rPr>
          <w:rFonts w:ascii="Times New Roman" w:eastAsia="Times New Roman" w:hAnsi="Times New Roman" w:cs="Times New Roman"/>
          <w:sz w:val="24"/>
          <w:szCs w:val="24"/>
          <w:lang w:val="en-US" w:eastAsia="sv-SE"/>
        </w:rPr>
        <w:t>10</w:t>
      </w:r>
      <w:r w:rsidRPr="007B140B">
        <w:rPr>
          <w:rFonts w:ascii="Times New Roman" w:eastAsia="Times New Roman" w:hAnsi="Times New Roman" w:cs="Times New Roman"/>
          <w:sz w:val="24"/>
          <w:szCs w:val="24"/>
          <w:lang w:val="en-US" w:eastAsia="sv-SE"/>
        </w:rPr>
        <w:t xml:space="preserve">0,000 IU or 2.5 mg) before </w:t>
      </w:r>
      <w:r w:rsidR="00014299">
        <w:rPr>
          <w:rFonts w:ascii="Times New Roman" w:eastAsia="Times New Roman" w:hAnsi="Times New Roman" w:cs="Times New Roman"/>
          <w:sz w:val="24"/>
          <w:szCs w:val="24"/>
          <w:lang w:val="en-US" w:eastAsia="sv-SE"/>
        </w:rPr>
        <w:t xml:space="preserve">each </w:t>
      </w:r>
      <w:r w:rsidRPr="007B140B">
        <w:rPr>
          <w:rFonts w:ascii="Times New Roman" w:eastAsia="Times New Roman" w:hAnsi="Times New Roman" w:cs="Times New Roman"/>
          <w:sz w:val="24"/>
          <w:szCs w:val="24"/>
          <w:lang w:val="en-US" w:eastAsia="sv-SE"/>
        </w:rPr>
        <w:t xml:space="preserve">infusion. </w:t>
      </w:r>
      <w:r w:rsidR="0045755E">
        <w:rPr>
          <w:rFonts w:ascii="Times New Roman" w:eastAsia="Times New Roman" w:hAnsi="Times New Roman" w:cs="Times New Roman"/>
          <w:sz w:val="24"/>
          <w:szCs w:val="24"/>
          <w:lang w:val="en-US" w:eastAsia="sv-SE"/>
        </w:rPr>
        <w:t>T</w:t>
      </w:r>
      <w:r w:rsidR="00BC4025">
        <w:rPr>
          <w:rFonts w:ascii="Times New Roman" w:eastAsia="Times New Roman" w:hAnsi="Times New Roman" w:cs="Times New Roman"/>
          <w:sz w:val="24"/>
          <w:szCs w:val="24"/>
          <w:lang w:val="en-US" w:eastAsia="sv-SE"/>
        </w:rPr>
        <w:t xml:space="preserve">he </w:t>
      </w:r>
      <w:r w:rsidR="0045755E">
        <w:rPr>
          <w:rFonts w:ascii="Times New Roman" w:eastAsia="Times New Roman" w:hAnsi="Times New Roman" w:cs="Times New Roman"/>
          <w:sz w:val="24"/>
          <w:szCs w:val="24"/>
          <w:lang w:val="en-US" w:eastAsia="sv-SE"/>
        </w:rPr>
        <w:t xml:space="preserve">first </w:t>
      </w:r>
      <w:r w:rsidR="007038EF">
        <w:rPr>
          <w:rFonts w:ascii="Times New Roman" w:eastAsia="Times New Roman" w:hAnsi="Times New Roman" w:cs="Times New Roman"/>
          <w:sz w:val="24"/>
          <w:szCs w:val="24"/>
          <w:lang w:val="en-US" w:eastAsia="sv-SE"/>
        </w:rPr>
        <w:t>loading dose will be</w:t>
      </w:r>
      <w:r w:rsidR="001B53C5">
        <w:rPr>
          <w:rFonts w:ascii="Times New Roman" w:eastAsia="Times New Roman" w:hAnsi="Times New Roman" w:cs="Times New Roman"/>
          <w:sz w:val="24"/>
          <w:szCs w:val="24"/>
          <w:lang w:val="en-US" w:eastAsia="sv-SE"/>
        </w:rPr>
        <w:t xml:space="preserve"> taken</w:t>
      </w:r>
      <w:r w:rsidR="007038EF">
        <w:rPr>
          <w:rFonts w:ascii="Times New Roman" w:eastAsia="Times New Roman" w:hAnsi="Times New Roman" w:cs="Times New Roman"/>
          <w:sz w:val="24"/>
          <w:szCs w:val="24"/>
          <w:lang w:val="en-US" w:eastAsia="sv-SE"/>
        </w:rPr>
        <w:t xml:space="preserve"> 1 to 4 weeks </w:t>
      </w:r>
      <w:r w:rsidR="00D14180">
        <w:rPr>
          <w:rFonts w:ascii="Times New Roman" w:eastAsia="Times New Roman" w:hAnsi="Times New Roman" w:cs="Times New Roman"/>
          <w:sz w:val="24"/>
          <w:szCs w:val="24"/>
          <w:lang w:val="en-US" w:eastAsia="sv-SE"/>
        </w:rPr>
        <w:t>before</w:t>
      </w:r>
      <w:r w:rsidR="007038EF">
        <w:rPr>
          <w:rFonts w:ascii="Times New Roman" w:eastAsia="Times New Roman" w:hAnsi="Times New Roman" w:cs="Times New Roman"/>
          <w:sz w:val="24"/>
          <w:szCs w:val="24"/>
          <w:lang w:val="en-US" w:eastAsia="sv-SE"/>
        </w:rPr>
        <w:t xml:space="preserve"> the first infusion, </w:t>
      </w:r>
      <w:r w:rsidR="00AC78F6">
        <w:rPr>
          <w:rFonts w:ascii="Times New Roman" w:eastAsia="Times New Roman" w:hAnsi="Times New Roman" w:cs="Times New Roman"/>
          <w:sz w:val="24"/>
          <w:szCs w:val="24"/>
          <w:lang w:val="en-US" w:eastAsia="sv-SE"/>
        </w:rPr>
        <w:t>but t</w:t>
      </w:r>
      <w:r w:rsidR="00BC4025">
        <w:rPr>
          <w:rFonts w:ascii="Times New Roman" w:eastAsia="Times New Roman" w:hAnsi="Times New Roman" w:cs="Times New Roman"/>
          <w:sz w:val="24"/>
          <w:szCs w:val="24"/>
          <w:lang w:val="en-US" w:eastAsia="sv-SE"/>
        </w:rPr>
        <w:t xml:space="preserve">he second </w:t>
      </w:r>
      <w:r w:rsidR="007038EF">
        <w:rPr>
          <w:rFonts w:ascii="Times New Roman" w:eastAsia="Times New Roman" w:hAnsi="Times New Roman" w:cs="Times New Roman"/>
          <w:sz w:val="24"/>
          <w:szCs w:val="24"/>
          <w:lang w:val="en-US" w:eastAsia="sv-SE"/>
        </w:rPr>
        <w:t>loading dose</w:t>
      </w:r>
      <w:r w:rsidR="0045755E">
        <w:rPr>
          <w:rFonts w:ascii="Times New Roman" w:eastAsia="Times New Roman" w:hAnsi="Times New Roman" w:cs="Times New Roman"/>
          <w:sz w:val="24"/>
          <w:szCs w:val="24"/>
          <w:lang w:val="en-US" w:eastAsia="sv-SE"/>
        </w:rPr>
        <w:t xml:space="preserve"> </w:t>
      </w:r>
      <w:r w:rsidR="007038EF">
        <w:rPr>
          <w:rFonts w:ascii="Times New Roman" w:eastAsia="Times New Roman" w:hAnsi="Times New Roman" w:cs="Times New Roman"/>
          <w:sz w:val="24"/>
          <w:szCs w:val="24"/>
          <w:lang w:val="en-US" w:eastAsia="sv-SE"/>
        </w:rPr>
        <w:t xml:space="preserve">will be </w:t>
      </w:r>
      <w:r w:rsidR="00B07788">
        <w:rPr>
          <w:rFonts w:ascii="Times New Roman" w:eastAsia="Times New Roman" w:hAnsi="Times New Roman" w:cs="Times New Roman"/>
          <w:sz w:val="24"/>
          <w:szCs w:val="24"/>
          <w:lang w:val="en-US" w:eastAsia="sv-SE"/>
        </w:rPr>
        <w:t>taken</w:t>
      </w:r>
      <w:r w:rsidR="007038EF">
        <w:rPr>
          <w:rFonts w:ascii="Times New Roman" w:eastAsia="Times New Roman" w:hAnsi="Times New Roman" w:cs="Times New Roman"/>
          <w:sz w:val="24"/>
          <w:szCs w:val="24"/>
          <w:lang w:val="en-US" w:eastAsia="sv-SE"/>
        </w:rPr>
        <w:t xml:space="preserve"> on the same </w:t>
      </w:r>
      <w:r w:rsidR="00BC4025">
        <w:rPr>
          <w:rFonts w:ascii="Times New Roman" w:eastAsia="Times New Roman" w:hAnsi="Times New Roman" w:cs="Times New Roman"/>
          <w:sz w:val="24"/>
          <w:szCs w:val="24"/>
          <w:lang w:val="en-US" w:eastAsia="sv-SE"/>
        </w:rPr>
        <w:t xml:space="preserve">day as the </w:t>
      </w:r>
      <w:r w:rsidR="00AC78F6">
        <w:rPr>
          <w:rFonts w:ascii="Times New Roman" w:eastAsia="Times New Roman" w:hAnsi="Times New Roman" w:cs="Times New Roman"/>
          <w:sz w:val="24"/>
          <w:szCs w:val="24"/>
          <w:lang w:val="en-US" w:eastAsia="sv-SE"/>
        </w:rPr>
        <w:t xml:space="preserve">second </w:t>
      </w:r>
      <w:r w:rsidR="007038EF">
        <w:rPr>
          <w:rFonts w:ascii="Times New Roman" w:eastAsia="Times New Roman" w:hAnsi="Times New Roman" w:cs="Times New Roman"/>
          <w:sz w:val="24"/>
          <w:szCs w:val="24"/>
          <w:lang w:val="en-US" w:eastAsia="sv-SE"/>
        </w:rPr>
        <w:t>infusion</w:t>
      </w:r>
      <w:r w:rsidR="00257670">
        <w:rPr>
          <w:rFonts w:ascii="Times New Roman" w:eastAsia="Times New Roman" w:hAnsi="Times New Roman" w:cs="Times New Roman"/>
          <w:sz w:val="24"/>
          <w:szCs w:val="24"/>
          <w:lang w:val="en-US" w:eastAsia="sv-SE"/>
        </w:rPr>
        <w:t xml:space="preserve">, as the risk of hypocalcemia </w:t>
      </w:r>
      <w:r w:rsidR="002971B7">
        <w:rPr>
          <w:rFonts w:ascii="Times New Roman" w:eastAsia="Times New Roman" w:hAnsi="Times New Roman" w:cs="Times New Roman"/>
          <w:sz w:val="24"/>
          <w:szCs w:val="24"/>
          <w:lang w:val="en-US" w:eastAsia="sv-SE"/>
        </w:rPr>
        <w:t xml:space="preserve">will be </w:t>
      </w:r>
      <w:r w:rsidR="00257670">
        <w:rPr>
          <w:rFonts w:ascii="Times New Roman" w:eastAsia="Times New Roman" w:hAnsi="Times New Roman" w:cs="Times New Roman"/>
          <w:sz w:val="24"/>
          <w:szCs w:val="24"/>
          <w:lang w:val="en-US" w:eastAsia="sv-SE"/>
        </w:rPr>
        <w:t xml:space="preserve">lower if the first infusion was administered without </w:t>
      </w:r>
      <w:r w:rsidR="00A70C5B">
        <w:rPr>
          <w:rFonts w:ascii="Times New Roman" w:eastAsia="Times New Roman" w:hAnsi="Times New Roman" w:cs="Times New Roman"/>
          <w:sz w:val="24"/>
          <w:szCs w:val="24"/>
          <w:lang w:val="en-US" w:eastAsia="sv-SE"/>
        </w:rPr>
        <w:t>causing</w:t>
      </w:r>
      <w:r w:rsidR="00455C42">
        <w:rPr>
          <w:rFonts w:ascii="Times New Roman" w:eastAsia="Times New Roman" w:hAnsi="Times New Roman" w:cs="Times New Roman"/>
          <w:sz w:val="24"/>
          <w:szCs w:val="24"/>
          <w:lang w:val="en-US" w:eastAsia="sv-SE"/>
        </w:rPr>
        <w:t xml:space="preserve"> hypocalcemia</w:t>
      </w:r>
      <w:r w:rsidR="007038EF">
        <w:rPr>
          <w:rFonts w:ascii="Times New Roman" w:eastAsia="Times New Roman" w:hAnsi="Times New Roman" w:cs="Times New Roman"/>
          <w:sz w:val="24"/>
          <w:szCs w:val="24"/>
          <w:lang w:val="en-US" w:eastAsia="sv-SE"/>
        </w:rPr>
        <w:t xml:space="preserve">. </w:t>
      </w:r>
      <w:r w:rsidR="00633E0D" w:rsidRPr="007B140B">
        <w:rPr>
          <w:rFonts w:ascii="Times New Roman" w:eastAsia="Times New Roman" w:hAnsi="Times New Roman" w:cs="Times New Roman"/>
          <w:sz w:val="24"/>
          <w:szCs w:val="24"/>
          <w:lang w:val="en-US" w:eastAsia="sv-SE"/>
        </w:rPr>
        <w:t>P</w:t>
      </w:r>
      <w:r w:rsidRPr="007B140B">
        <w:rPr>
          <w:rFonts w:ascii="Times New Roman" w:eastAsia="Times New Roman" w:hAnsi="Times New Roman" w:cs="Times New Roman"/>
          <w:sz w:val="24"/>
          <w:szCs w:val="24"/>
          <w:lang w:val="en-US" w:eastAsia="sv-SE"/>
        </w:rPr>
        <w:t xml:space="preserve">articipants will be </w:t>
      </w:r>
      <w:r w:rsidR="00014299">
        <w:rPr>
          <w:rFonts w:ascii="Times New Roman" w:eastAsia="Times New Roman" w:hAnsi="Times New Roman" w:cs="Times New Roman"/>
          <w:sz w:val="24"/>
          <w:szCs w:val="24"/>
          <w:lang w:val="en-US" w:eastAsia="sv-SE"/>
        </w:rPr>
        <w:t xml:space="preserve">recommended to </w:t>
      </w:r>
      <w:r w:rsidR="00082769">
        <w:rPr>
          <w:rFonts w:ascii="Times New Roman" w:eastAsia="Times New Roman" w:hAnsi="Times New Roman" w:cs="Times New Roman"/>
          <w:sz w:val="24"/>
          <w:szCs w:val="24"/>
          <w:lang w:val="en-US" w:eastAsia="sv-SE"/>
        </w:rPr>
        <w:t>have a sufficient</w:t>
      </w:r>
      <w:r w:rsidR="00A356A8">
        <w:rPr>
          <w:rFonts w:ascii="Times New Roman" w:eastAsia="Times New Roman" w:hAnsi="Times New Roman" w:cs="Times New Roman"/>
          <w:sz w:val="24"/>
          <w:szCs w:val="24"/>
          <w:lang w:val="en-US" w:eastAsia="sv-SE"/>
        </w:rPr>
        <w:t xml:space="preserve"> daily</w:t>
      </w:r>
      <w:r w:rsidR="00082769">
        <w:rPr>
          <w:rFonts w:ascii="Times New Roman" w:eastAsia="Times New Roman" w:hAnsi="Times New Roman" w:cs="Times New Roman"/>
          <w:sz w:val="24"/>
          <w:szCs w:val="24"/>
          <w:lang w:val="en-US" w:eastAsia="sv-SE"/>
        </w:rPr>
        <w:t xml:space="preserve"> intake </w:t>
      </w:r>
      <w:r w:rsidR="00A356A8">
        <w:rPr>
          <w:rFonts w:ascii="Times New Roman" w:eastAsia="Times New Roman" w:hAnsi="Times New Roman" w:cs="Times New Roman"/>
          <w:sz w:val="24"/>
          <w:szCs w:val="24"/>
          <w:lang w:val="en-US" w:eastAsia="sv-SE"/>
        </w:rPr>
        <w:t xml:space="preserve">of </w:t>
      </w:r>
      <w:r w:rsidR="00082769">
        <w:rPr>
          <w:rFonts w:ascii="Times New Roman" w:eastAsia="Times New Roman" w:hAnsi="Times New Roman" w:cs="Times New Roman"/>
          <w:sz w:val="24"/>
          <w:szCs w:val="24"/>
          <w:lang w:val="en-US" w:eastAsia="sv-SE"/>
        </w:rPr>
        <w:t>calcium (</w:t>
      </w:r>
      <w:r w:rsidR="00D01093">
        <w:rPr>
          <w:rFonts w:ascii="Times New Roman" w:eastAsia="Times New Roman" w:hAnsi="Times New Roman" w:cs="Times New Roman"/>
          <w:sz w:val="24"/>
          <w:szCs w:val="24"/>
          <w:lang w:val="en-US" w:eastAsia="sv-SE"/>
        </w:rPr>
        <w:t>≥</w:t>
      </w:r>
      <w:r w:rsidR="00082769">
        <w:rPr>
          <w:rFonts w:ascii="Times New Roman" w:eastAsia="Times New Roman" w:hAnsi="Times New Roman" w:cs="Times New Roman"/>
          <w:sz w:val="24"/>
          <w:szCs w:val="24"/>
          <w:lang w:val="en-US" w:eastAsia="sv-SE"/>
        </w:rPr>
        <w:t xml:space="preserve">1 g/d) and </w:t>
      </w:r>
      <w:r w:rsidR="00014299">
        <w:rPr>
          <w:rFonts w:ascii="Times New Roman" w:eastAsia="Times New Roman" w:hAnsi="Times New Roman" w:cs="Times New Roman"/>
          <w:sz w:val="24"/>
          <w:szCs w:val="24"/>
          <w:lang w:val="en-US" w:eastAsia="sv-SE"/>
        </w:rPr>
        <w:t>vitamin D</w:t>
      </w:r>
      <w:r w:rsidR="00082769">
        <w:rPr>
          <w:rFonts w:ascii="Times New Roman" w:eastAsia="Times New Roman" w:hAnsi="Times New Roman" w:cs="Times New Roman"/>
          <w:sz w:val="24"/>
          <w:szCs w:val="24"/>
          <w:lang w:val="en-US" w:eastAsia="sv-SE"/>
        </w:rPr>
        <w:t xml:space="preserve"> (</w:t>
      </w:r>
      <w:r w:rsidR="00D01093">
        <w:rPr>
          <w:rFonts w:ascii="Times New Roman" w:eastAsia="Times New Roman" w:hAnsi="Times New Roman" w:cs="Times New Roman"/>
          <w:sz w:val="24"/>
          <w:szCs w:val="24"/>
          <w:lang w:val="en-US" w:eastAsia="sv-SE"/>
        </w:rPr>
        <w:t>≥</w:t>
      </w:r>
      <w:r w:rsidR="00082769">
        <w:rPr>
          <w:rFonts w:ascii="Times New Roman" w:eastAsia="Times New Roman" w:hAnsi="Times New Roman" w:cs="Times New Roman"/>
          <w:sz w:val="24"/>
          <w:szCs w:val="24"/>
          <w:lang w:val="en-US" w:eastAsia="sv-SE"/>
        </w:rPr>
        <w:t>20 µg</w:t>
      </w:r>
      <w:r w:rsidR="00D87FC6">
        <w:rPr>
          <w:rFonts w:ascii="Times New Roman" w:eastAsia="Times New Roman" w:hAnsi="Times New Roman" w:cs="Times New Roman"/>
          <w:sz w:val="24"/>
          <w:szCs w:val="24"/>
          <w:lang w:val="en-US" w:eastAsia="sv-SE"/>
        </w:rPr>
        <w:t xml:space="preserve"> or 800 IU</w:t>
      </w:r>
      <w:r w:rsidR="00082769">
        <w:rPr>
          <w:rFonts w:ascii="Times New Roman" w:eastAsia="Times New Roman" w:hAnsi="Times New Roman" w:cs="Times New Roman"/>
          <w:sz w:val="24"/>
          <w:szCs w:val="24"/>
          <w:lang w:val="en-US" w:eastAsia="sv-SE"/>
        </w:rPr>
        <w:t>/d)</w:t>
      </w:r>
      <w:r w:rsidR="00576A25">
        <w:rPr>
          <w:rFonts w:ascii="Times New Roman" w:eastAsia="Times New Roman" w:hAnsi="Times New Roman" w:cs="Times New Roman"/>
          <w:sz w:val="24"/>
          <w:szCs w:val="24"/>
          <w:lang w:val="en-US" w:eastAsia="sv-SE"/>
        </w:rPr>
        <w:t xml:space="preserve"> throughout the Main Phase</w:t>
      </w:r>
      <w:r w:rsidR="0063251B">
        <w:rPr>
          <w:rFonts w:ascii="Times New Roman" w:eastAsia="Times New Roman" w:hAnsi="Times New Roman" w:cs="Times New Roman"/>
          <w:sz w:val="24"/>
          <w:szCs w:val="24"/>
          <w:lang w:val="en-US" w:eastAsia="sv-SE"/>
        </w:rPr>
        <w:t>, and they will be reminded of this before the second infusion</w:t>
      </w:r>
      <w:r w:rsidRPr="007B140B">
        <w:rPr>
          <w:rFonts w:ascii="Times New Roman" w:eastAsia="Times New Roman" w:hAnsi="Times New Roman" w:cs="Times New Roman"/>
          <w:sz w:val="24"/>
          <w:szCs w:val="24"/>
          <w:lang w:val="en-US" w:eastAsia="sv-SE"/>
        </w:rPr>
        <w:t>.</w:t>
      </w:r>
    </w:p>
    <w:p w14:paraId="42C0BE98" w14:textId="68B8382A" w:rsidR="0038137C" w:rsidRDefault="00956BE3" w:rsidP="00273AA9">
      <w:pPr>
        <w:rPr>
          <w:rFonts w:ascii="Times New Roman" w:hAnsi="Times New Roman" w:cs="Times New Roman"/>
          <w:sz w:val="24"/>
          <w:szCs w:val="24"/>
          <w:lang w:val="en-US"/>
        </w:rPr>
      </w:pPr>
      <w:r>
        <w:rPr>
          <w:rFonts w:ascii="Times New Roman" w:hAnsi="Times New Roman" w:cs="Times New Roman"/>
          <w:sz w:val="24"/>
          <w:szCs w:val="24"/>
          <w:lang w:val="en-US"/>
        </w:rPr>
        <w:lastRenderedPageBreak/>
        <w:t>In two</w:t>
      </w:r>
      <w:r w:rsidR="00C61C9E">
        <w:rPr>
          <w:rFonts w:ascii="Times New Roman" w:hAnsi="Times New Roman" w:cs="Times New Roman"/>
          <w:sz w:val="24"/>
          <w:szCs w:val="24"/>
          <w:lang w:val="en-US"/>
        </w:rPr>
        <w:t xml:space="preserve"> previous</w:t>
      </w:r>
      <w:r>
        <w:rPr>
          <w:rFonts w:ascii="Times New Roman" w:hAnsi="Times New Roman" w:cs="Times New Roman"/>
          <w:sz w:val="24"/>
          <w:szCs w:val="24"/>
          <w:lang w:val="en-US"/>
        </w:rPr>
        <w:t xml:space="preserve"> trials, a loading dose </w:t>
      </w:r>
      <w:r w:rsidR="000F3610">
        <w:rPr>
          <w:rFonts w:ascii="Times New Roman" w:hAnsi="Times New Roman" w:cs="Times New Roman"/>
          <w:sz w:val="24"/>
          <w:szCs w:val="24"/>
          <w:lang w:val="en-US"/>
        </w:rPr>
        <w:t xml:space="preserve">of </w:t>
      </w:r>
      <w:r>
        <w:rPr>
          <w:rFonts w:ascii="Times New Roman" w:hAnsi="Times New Roman" w:cs="Times New Roman"/>
          <w:sz w:val="24"/>
          <w:szCs w:val="24"/>
          <w:lang w:val="en-US"/>
        </w:rPr>
        <w:t>vitamin D was given only before the first infusion</w:t>
      </w:r>
      <w:r w:rsidR="00C61C9E">
        <w:rPr>
          <w:rFonts w:ascii="Times New Roman" w:hAnsi="Times New Roman" w:cs="Times New Roman"/>
          <w:sz w:val="24"/>
          <w:szCs w:val="24"/>
          <w:lang w:val="en-US"/>
        </w:rPr>
        <w:t xml:space="preserve"> of zoledronic acid or placebo.</w:t>
      </w:r>
      <w:r w:rsidR="000F3610">
        <w:rPr>
          <w:rFonts w:ascii="Times New Roman" w:hAnsi="Times New Roman" w:cs="Times New Roman"/>
          <w:sz w:val="24"/>
          <w:szCs w:val="24"/>
          <w:lang w:val="en-US"/>
        </w:rPr>
        <w:fldChar w:fldCharType="begin" w:fldLock="1"/>
      </w:r>
      <w:r w:rsidR="000F3610">
        <w:rPr>
          <w:rFonts w:ascii="Times New Roman" w:hAnsi="Times New Roman" w:cs="Times New Roman"/>
          <w:sz w:val="24"/>
          <w:szCs w:val="24"/>
          <w:lang w:val="en-US"/>
        </w:rPr>
        <w:instrText>ADDIN CSL_CITATION {"citationItems":[{"id":"ITEM-1","itemData":{"DOI":"10.1056/NEJMoa074941","author":[{"dropping-particle":"","family":"Lyles","given":"Kenneth W.","non-dropping-particle":"","parse-names":false,"suffix":""},{"dropping-particle":"","family":"Colón-Emeric","given":"Cathleen S.","non-dropping-particle":"","parse-names":false,"suffix":""},{"dropping-particle":"","family":"Magaziner","given":"Jay S.","non-dropping-particle":"","parse-names":false,"suffix":""},{"dropping-particle":"","family":"Adachi","given":"Jonathan D.","non-dropping-particle":"","parse-names":false,"suffix":""},{"dropping-particle":"","family":"Pieper","given":"Carl F.","non-dropping-particle":"","parse-names":false,"suffix":""},{"dropping-particle":"","family":"Mautalen","given":"Carlos","non-dropping-particle":"","parse-names":false,"suffix":""},{"dropping-particle":"","family":"Hyldstrup","given":"Lars","non-dropping-particle":"","parse-names":false,"suffix":""},{"dropping-particle":"","family":"Recknor","given":"Chris","non-dropping-particle":"","parse-names":false,"suffix":""},{"dropping-particle":"","family":"Nordsletten","given":"Lars","non-dropping-particle":"","parse-names":false,"suffix":""},{"dropping-particle":"","family":"Moore","given":"Kathy A.","non-dropping-particle":"","parse-names":false,"suffix":""},{"dropping-particle":"","family":"Lavecchia","given":"Catherine","non-dropping-particle":"","parse-names":false,"suffix":""},{"dropping-particle":"","family":"Zhang","given":"Jie","non-dropping-particle":"","parse-names":false,"suffix":""},{"dropping-particle":"","family":"Mesenbrink","given":"Peter","non-dropping-particle":"","parse-names":false,"suffix":""},{"dropping-particle":"","family":"Hodgson","given":"Patricia K.","non-dropping-particle":"","parse-names":false,"suffix":""},{"dropping-particle":"","family":"Abrams","given":"Ken","non-dropping-particle":"","parse-names":false,"suffix":""},{"dropping-particle":"","family":"Orloff","given":"John J.","non-dropping-particle":"","parse-names":false,"suffix":""},{"dropping-particle":"","family":"Horowitz","given":"Zebulun","non-dropping-particle":"","parse-names":false,"suffix":""},{"dropping-particle":"","family":"Eriksen","given":"Erik Fink","non-dropping-particle":"","parse-names":false,"suffix":""},{"dropping-particle":"","family":"Boonen","given":"Steven","non-dropping-particle":"","parse-names":false,"suffix":""}],"container-title":"New England Journal of Medicine","id":"ITEM-1","issue":"18","issued":{"date-parts":[["2007"]]},"page":"1799-1809","title":"Zoledronic acid and clinical fractures and mortality after hip fracture","type":"article-journal","volume":"357"},"uris":["http://www.mendeley.com/documents/?uuid=fdc4eb3b-a387-4743-a233-680ae590c2cf"]},{"id":"ITEM-2","itemData":{"DOI":"10.1056/NEJMoa1808082","ISSN":"0028-4793","author":[{"dropping-particle":"","family":"Reid","given":"Ian R.","non-dropping-particle":"","parse-names":false,"suffix":""},{"dropping-particle":"","family":"Horne","given":"Anne M.","non-dropping-particle":"","parse-names":false,"suffix":""},{"dropping-particle":"","family":"Mihov","given":"Borislav","non-dropping-particle":"","parse-names":false,"suffix":""},{"dropping-particle":"","family":"Stewart","given":"Angela","non-dropping-particle":"","parse-names":false,"suffix":""},{"dropping-particle":"","family":"Garratt","given":"Elizabeth","non-dropping-particle":"","parse-names":false,"suffix":""},{"dropping-particle":"","family":"Wong","given":"Sumwai","non-dropping-particle":"","parse-names":false,"suffix":""},{"dropping-particle":"","family":"Wiessing","given":"Katy R.","non-dropping-particle":"","parse-names":false,"suffix":""},{"dropping-particle":"","family":"Bolland","given":"Mark J.","non-dropping-particle":"","parse-names":false,"suffix":""},{"dropping-particle":"","family":"Bastin","given":"Sonja","non-dropping-particle":"","parse-names":false,"suffix":""},{"dropping-particle":"","family":"Gamble","given":"Gregory D.","non-dropping-particle":"","parse-names":false,"suffix":""}],"container-title":"New England Journal of Medicine","id":"ITEM-2","issue":"25","issued":{"date-parts":[["2018"]]},"page":"2407-2416","title":"Fracture prevention with zoledronate in older women with osteopenia","type":"article-journal","volume":"379"},"uris":["http://www.mendeley.com/documents/?uuid=69cbf6db-0dca-4f28-87bb-02a266b0d7ef"]}],"mendeley":{"formattedCitation":"&lt;sup&gt;&lt;sup&gt;20&lt;/sup&gt;,&lt;sup&gt;21&lt;/sup&gt;&lt;/sup&gt;","plainTextFormattedCitation":"20,21","previouslyFormattedCitation":"&lt;sup&gt;&lt;sup&gt;20&lt;/sup&gt;,&lt;sup&gt;21&lt;/sup&gt;&lt;/sup&gt;"},"properties":{"noteIndex":0},"schema":"https://github.com/citation-style-language/schema/raw/master/csl-citation.json"}</w:instrText>
      </w:r>
      <w:r w:rsidR="000F3610">
        <w:rPr>
          <w:rFonts w:ascii="Times New Roman" w:hAnsi="Times New Roman" w:cs="Times New Roman"/>
          <w:sz w:val="24"/>
          <w:szCs w:val="24"/>
          <w:lang w:val="en-US"/>
        </w:rPr>
        <w:fldChar w:fldCharType="separate"/>
      </w:r>
      <w:r w:rsidR="000F3610" w:rsidRPr="000F3610">
        <w:rPr>
          <w:rFonts w:ascii="Times New Roman" w:hAnsi="Times New Roman" w:cs="Times New Roman"/>
          <w:noProof/>
          <w:sz w:val="24"/>
          <w:szCs w:val="24"/>
          <w:vertAlign w:val="superscript"/>
          <w:lang w:val="en-US"/>
        </w:rPr>
        <w:t>20,21</w:t>
      </w:r>
      <w:r w:rsidR="000F3610">
        <w:rPr>
          <w:rFonts w:ascii="Times New Roman" w:hAnsi="Times New Roman" w:cs="Times New Roman"/>
          <w:sz w:val="24"/>
          <w:szCs w:val="24"/>
          <w:lang w:val="en-US"/>
        </w:rPr>
        <w:fldChar w:fldCharType="end"/>
      </w:r>
      <w:r w:rsidR="00C61C9E">
        <w:rPr>
          <w:rFonts w:ascii="Times New Roman" w:hAnsi="Times New Roman" w:cs="Times New Roman"/>
          <w:sz w:val="24"/>
          <w:szCs w:val="24"/>
          <w:lang w:val="en-US"/>
        </w:rPr>
        <w:t xml:space="preserve"> </w:t>
      </w:r>
      <w:r w:rsidR="00FF3D97">
        <w:rPr>
          <w:rFonts w:ascii="Times New Roman" w:hAnsi="Times New Roman" w:cs="Times New Roman"/>
          <w:sz w:val="24"/>
          <w:szCs w:val="24"/>
          <w:lang w:val="en-US"/>
        </w:rPr>
        <w:t xml:space="preserve">In the first trial, </w:t>
      </w:r>
      <w:r w:rsidR="00B9293D">
        <w:rPr>
          <w:rFonts w:ascii="Times New Roman" w:hAnsi="Times New Roman" w:cs="Times New Roman"/>
          <w:sz w:val="24"/>
          <w:szCs w:val="24"/>
          <w:lang w:val="en-US"/>
        </w:rPr>
        <w:t>the</w:t>
      </w:r>
      <w:r w:rsidR="000F3610">
        <w:rPr>
          <w:rFonts w:ascii="Times New Roman" w:hAnsi="Times New Roman" w:cs="Times New Roman"/>
          <w:sz w:val="24"/>
          <w:szCs w:val="24"/>
          <w:lang w:val="en-US"/>
        </w:rPr>
        <w:t xml:space="preserve"> loading dose</w:t>
      </w:r>
      <w:r w:rsidR="00FF3D97">
        <w:rPr>
          <w:rFonts w:ascii="Times New Roman" w:hAnsi="Times New Roman" w:cs="Times New Roman"/>
          <w:sz w:val="24"/>
          <w:szCs w:val="24"/>
          <w:lang w:val="en-US"/>
        </w:rPr>
        <w:t xml:space="preserve"> of </w:t>
      </w:r>
      <w:r w:rsidR="00BB44DF">
        <w:rPr>
          <w:rFonts w:ascii="Times New Roman" w:hAnsi="Times New Roman" w:cs="Times New Roman"/>
          <w:sz w:val="24"/>
          <w:szCs w:val="24"/>
          <w:lang w:val="en-US"/>
        </w:rPr>
        <w:t>50,000-125,000 IU</w:t>
      </w:r>
      <w:r w:rsidR="005F3760">
        <w:rPr>
          <w:rFonts w:ascii="Times New Roman" w:hAnsi="Times New Roman" w:cs="Times New Roman"/>
          <w:sz w:val="24"/>
          <w:szCs w:val="24"/>
          <w:lang w:val="en-US"/>
        </w:rPr>
        <w:t xml:space="preserve"> </w:t>
      </w:r>
      <w:r w:rsidR="000F3610">
        <w:rPr>
          <w:rFonts w:ascii="Times New Roman" w:hAnsi="Times New Roman" w:cs="Times New Roman"/>
          <w:sz w:val="24"/>
          <w:szCs w:val="24"/>
          <w:lang w:val="en-US"/>
        </w:rPr>
        <w:t>was followed by daily vitamin D and calcium</w:t>
      </w:r>
      <w:r w:rsidR="004E5E2F">
        <w:rPr>
          <w:rFonts w:ascii="Times New Roman" w:hAnsi="Times New Roman" w:cs="Times New Roman"/>
          <w:sz w:val="24"/>
          <w:szCs w:val="24"/>
          <w:lang w:val="en-US"/>
        </w:rPr>
        <w:t xml:space="preserve"> supplements</w:t>
      </w:r>
      <w:r w:rsidR="00FF3D97">
        <w:rPr>
          <w:rFonts w:ascii="Times New Roman" w:hAnsi="Times New Roman" w:cs="Times New Roman"/>
          <w:sz w:val="24"/>
          <w:szCs w:val="24"/>
          <w:lang w:val="en-US"/>
        </w:rPr>
        <w:t>.</w:t>
      </w:r>
      <w:r w:rsidR="00FF3D97">
        <w:rPr>
          <w:rFonts w:ascii="Times New Roman" w:hAnsi="Times New Roman" w:cs="Times New Roman"/>
          <w:sz w:val="24"/>
          <w:szCs w:val="24"/>
          <w:lang w:val="en-US"/>
        </w:rPr>
        <w:fldChar w:fldCharType="begin" w:fldLock="1"/>
      </w:r>
      <w:r w:rsidR="0081127D">
        <w:rPr>
          <w:rFonts w:ascii="Times New Roman" w:hAnsi="Times New Roman" w:cs="Times New Roman"/>
          <w:sz w:val="24"/>
          <w:szCs w:val="24"/>
          <w:lang w:val="en-US"/>
        </w:rPr>
        <w:instrText>ADDIN CSL_CITATION {"citationItems":[{"id":"ITEM-1","itemData":{"DOI":"10.1056/NEJMoa074941","author":[{"dropping-particle":"","family":"Lyles","given":"Kenneth W.","non-dropping-particle":"","parse-names":false,"suffix":""},{"dropping-particle":"","family":"Colón-Emeric","given":"Cathleen S.","non-dropping-particle":"","parse-names":false,"suffix":""},{"dropping-particle":"","family":"Magaziner","given":"Jay S.","non-dropping-particle":"","parse-names":false,"suffix":""},{"dropping-particle":"","family":"Adachi","given":"Jonathan D.","non-dropping-particle":"","parse-names":false,"suffix":""},{"dropping-particle":"","family":"Pieper","given":"Carl F.","non-dropping-particle":"","parse-names":false,"suffix":""},{"dropping-particle":"","family":"Mautalen","given":"Carlos","non-dropping-particle":"","parse-names":false,"suffix":""},{"dropping-particle":"","family":"Hyldstrup","given":"Lars","non-dropping-particle":"","parse-names":false,"suffix":""},{"dropping-particle":"","family":"Recknor","given":"Chris","non-dropping-particle":"","parse-names":false,"suffix":""},{"dropping-particle":"","family":"Nordsletten","given":"Lars","non-dropping-particle":"","parse-names":false,"suffix":""},{"dropping-particle":"","family":"Moore","given":"Kathy A.","non-dropping-particle":"","parse-names":false,"suffix":""},{"dropping-particle":"","family":"Lavecchia","given":"Catherine","non-dropping-particle":"","parse-names":false,"suffix":""},{"dropping-particle":"","family":"Zhang","given":"Jie","non-dropping-particle":"","parse-names":false,"suffix":""},{"dropping-particle":"","family":"Mesenbrink","given":"Peter","non-dropping-particle":"","parse-names":false,"suffix":""},{"dropping-particle":"","family":"Hodgson","given":"Patricia K.","non-dropping-particle":"","parse-names":false,"suffix":""},{"dropping-particle":"","family":"Abrams","given":"Ken","non-dropping-particle":"","parse-names":false,"suffix":""},{"dropping-particle":"","family":"Orloff","given":"John J.","non-dropping-particle":"","parse-names":false,"suffix":""},{"dropping-particle":"","family":"Horowitz","given":"Zebulun","non-dropping-particle":"","parse-names":false,"suffix":""},{"dropping-particle":"","family":"Eriksen","given":"Erik Fink","non-dropping-particle":"","parse-names":false,"suffix":""},{"dropping-particle":"","family":"Boonen","given":"Steven","non-dropping-particle":"","parse-names":false,"suffix":""}],"container-title":"New England Journal of Medicine","id":"ITEM-1","issue":"18","issued":{"date-parts":[["2007"]]},"page":"1799-1809","title":"Zoledronic acid and clinical fractures and mortality after hip fracture","type":"article-journal","volume":"357"},"uris":["http://www.mendeley.com/documents/?uuid=fdc4eb3b-a387-4743-a233-680ae590c2cf"]}],"mendeley":{"formattedCitation":"&lt;sup&gt;&lt;sup&gt;20&lt;/sup&gt;&lt;/sup&gt;","plainTextFormattedCitation":"20","previouslyFormattedCitation":"&lt;sup&gt;&lt;sup&gt;20&lt;/sup&gt;&lt;/sup&gt;"},"properties":{"noteIndex":0},"schema":"https://github.com/citation-style-language/schema/raw/master/csl-citation.json"}</w:instrText>
      </w:r>
      <w:r w:rsidR="00FF3D97">
        <w:rPr>
          <w:rFonts w:ascii="Times New Roman" w:hAnsi="Times New Roman" w:cs="Times New Roman"/>
          <w:sz w:val="24"/>
          <w:szCs w:val="24"/>
          <w:lang w:val="en-US"/>
        </w:rPr>
        <w:fldChar w:fldCharType="separate"/>
      </w:r>
      <w:r w:rsidR="00FF3D97" w:rsidRPr="00FF3D97">
        <w:rPr>
          <w:rFonts w:ascii="Times New Roman" w:hAnsi="Times New Roman" w:cs="Times New Roman"/>
          <w:noProof/>
          <w:sz w:val="24"/>
          <w:szCs w:val="24"/>
          <w:vertAlign w:val="superscript"/>
          <w:lang w:val="en-US"/>
        </w:rPr>
        <w:t>20</w:t>
      </w:r>
      <w:r w:rsidR="00FF3D97">
        <w:rPr>
          <w:rFonts w:ascii="Times New Roman" w:hAnsi="Times New Roman" w:cs="Times New Roman"/>
          <w:sz w:val="24"/>
          <w:szCs w:val="24"/>
          <w:lang w:val="en-US"/>
        </w:rPr>
        <w:fldChar w:fldCharType="end"/>
      </w:r>
      <w:r w:rsidR="00FF3D97">
        <w:rPr>
          <w:rFonts w:ascii="Times New Roman" w:hAnsi="Times New Roman" w:cs="Times New Roman"/>
          <w:sz w:val="24"/>
          <w:szCs w:val="24"/>
          <w:lang w:val="en-US"/>
        </w:rPr>
        <w:t xml:space="preserve"> In the second trial, a loading dose of 100,000 IU</w:t>
      </w:r>
      <w:r w:rsidR="000F3610">
        <w:rPr>
          <w:rFonts w:ascii="Times New Roman" w:hAnsi="Times New Roman" w:cs="Times New Roman"/>
          <w:sz w:val="24"/>
          <w:szCs w:val="24"/>
          <w:lang w:val="en-US"/>
        </w:rPr>
        <w:t xml:space="preserve"> </w:t>
      </w:r>
      <w:r w:rsidR="00FF3D97">
        <w:rPr>
          <w:rFonts w:ascii="Times New Roman" w:hAnsi="Times New Roman" w:cs="Times New Roman"/>
          <w:sz w:val="24"/>
          <w:szCs w:val="24"/>
          <w:lang w:val="en-US"/>
        </w:rPr>
        <w:t>was followed</w:t>
      </w:r>
      <w:r w:rsidR="000F3610">
        <w:rPr>
          <w:rFonts w:ascii="Times New Roman" w:hAnsi="Times New Roman" w:cs="Times New Roman"/>
          <w:sz w:val="24"/>
          <w:szCs w:val="24"/>
          <w:lang w:val="en-US"/>
        </w:rPr>
        <w:t xml:space="preserve"> by monthly vitamin D </w:t>
      </w:r>
      <w:r w:rsidR="004E5E2F">
        <w:rPr>
          <w:rFonts w:ascii="Times New Roman" w:hAnsi="Times New Roman" w:cs="Times New Roman"/>
          <w:sz w:val="24"/>
          <w:szCs w:val="24"/>
          <w:lang w:val="en-US"/>
        </w:rPr>
        <w:t xml:space="preserve">supplements </w:t>
      </w:r>
      <w:r w:rsidR="000F3610">
        <w:rPr>
          <w:rFonts w:ascii="Times New Roman" w:hAnsi="Times New Roman" w:cs="Times New Roman"/>
          <w:sz w:val="24"/>
          <w:szCs w:val="24"/>
          <w:lang w:val="en-US"/>
        </w:rPr>
        <w:t xml:space="preserve">(with a recommendation for </w:t>
      </w:r>
      <w:r w:rsidR="009F168B">
        <w:rPr>
          <w:rFonts w:ascii="Times New Roman" w:hAnsi="Times New Roman" w:cs="Times New Roman"/>
          <w:sz w:val="24"/>
          <w:szCs w:val="24"/>
          <w:lang w:val="en-US"/>
        </w:rPr>
        <w:t xml:space="preserve">a </w:t>
      </w:r>
      <w:r w:rsidR="000F3610">
        <w:rPr>
          <w:rFonts w:ascii="Times New Roman" w:hAnsi="Times New Roman" w:cs="Times New Roman"/>
          <w:sz w:val="24"/>
          <w:szCs w:val="24"/>
          <w:lang w:val="en-US"/>
        </w:rPr>
        <w:t>calcium</w:t>
      </w:r>
      <w:r w:rsidR="009F168B">
        <w:rPr>
          <w:rFonts w:ascii="Times New Roman" w:hAnsi="Times New Roman" w:cs="Times New Roman"/>
          <w:sz w:val="24"/>
          <w:szCs w:val="24"/>
          <w:lang w:val="en-US"/>
        </w:rPr>
        <w:t xml:space="preserve"> </w:t>
      </w:r>
      <w:r w:rsidR="00675A71">
        <w:rPr>
          <w:rFonts w:ascii="Times New Roman" w:hAnsi="Times New Roman" w:cs="Times New Roman"/>
          <w:sz w:val="24"/>
          <w:szCs w:val="24"/>
          <w:lang w:val="en-US"/>
        </w:rPr>
        <w:t xml:space="preserve">intake </w:t>
      </w:r>
      <w:r w:rsidR="009F168B">
        <w:rPr>
          <w:rFonts w:ascii="Times New Roman" w:hAnsi="Times New Roman" w:cs="Times New Roman"/>
          <w:sz w:val="24"/>
          <w:szCs w:val="24"/>
          <w:lang w:val="en-US"/>
        </w:rPr>
        <w:t xml:space="preserve">of </w:t>
      </w:r>
      <w:r w:rsidR="009F168B">
        <w:rPr>
          <w:rFonts w:ascii="Times New Roman" w:eastAsia="Times New Roman" w:hAnsi="Times New Roman" w:cs="Times New Roman"/>
          <w:sz w:val="24"/>
          <w:szCs w:val="24"/>
          <w:lang w:val="en-US" w:eastAsia="sv-SE"/>
        </w:rPr>
        <w:t>≥1 g/d</w:t>
      </w:r>
      <w:r w:rsidR="000F3610">
        <w:rPr>
          <w:rFonts w:ascii="Times New Roman" w:hAnsi="Times New Roman" w:cs="Times New Roman"/>
          <w:sz w:val="24"/>
          <w:szCs w:val="24"/>
          <w:lang w:val="en-US"/>
        </w:rPr>
        <w:t>).</w:t>
      </w:r>
      <w:r w:rsidR="00FF3D97">
        <w:rPr>
          <w:rFonts w:ascii="Times New Roman" w:hAnsi="Times New Roman" w:cs="Times New Roman"/>
          <w:sz w:val="24"/>
          <w:szCs w:val="24"/>
          <w:lang w:val="en-US"/>
        </w:rPr>
        <w:fldChar w:fldCharType="begin" w:fldLock="1"/>
      </w:r>
      <w:r w:rsidR="00FF3D97">
        <w:rPr>
          <w:rFonts w:ascii="Times New Roman" w:hAnsi="Times New Roman" w:cs="Times New Roman"/>
          <w:sz w:val="24"/>
          <w:szCs w:val="24"/>
          <w:lang w:val="en-US"/>
        </w:rPr>
        <w:instrText>ADDIN CSL_CITATION {"citationItems":[{"id":"ITEM-1","itemData":{"DOI":"10.1056/NEJMoa1808082","ISSN":"0028-4793","author":[{"dropping-particle":"","family":"Reid","given":"Ian R.","non-dropping-particle":"","parse-names":false,"suffix":""},{"dropping-particle":"","family":"Horne","given":"Anne M.","non-dropping-particle":"","parse-names":false,"suffix":""},{"dropping-particle":"","family":"Mihov","given":"Borislav","non-dropping-particle":"","parse-names":false,"suffix":""},{"dropping-particle":"","family":"Stewart","given":"Angela","non-dropping-particle":"","parse-names":false,"suffix":""},{"dropping-particle":"","family":"Garratt","given":"Elizabeth","non-dropping-particle":"","parse-names":false,"suffix":""},{"dropping-particle":"","family":"Wong","given":"Sumwai","non-dropping-particle":"","parse-names":false,"suffix":""},{"dropping-particle":"","family":"Wiessing","given":"Katy R.","non-dropping-particle":"","parse-names":false,"suffix":""},{"dropping-particle":"","family":"Bolland","given":"Mark J.","non-dropping-particle":"","parse-names":false,"suffix":""},{"dropping-particle":"","family":"Bastin","given":"Sonja","non-dropping-particle":"","parse-names":false,"suffix":""},{"dropping-particle":"","family":"Gamble","given":"Gregory D.","non-dropping-particle":"","parse-names":false,"suffix":""}],"container-title":"New England Journal of Medicine","id":"ITEM-1","issue":"25","issued":{"date-parts":[["2018"]]},"page":"2407-2416","title":"Fracture prevention with zoledronate in older women with osteopenia","type":"article-journal","volume":"379"},"uris":["http://www.mendeley.com/documents/?uuid=69cbf6db-0dca-4f28-87bb-02a266b0d7ef"]}],"mendeley":{"formattedCitation":"&lt;sup&gt;&lt;sup&gt;21&lt;/sup&gt;&lt;/sup&gt;","plainTextFormattedCitation":"21","previouslyFormattedCitation":"&lt;sup&gt;&lt;sup&gt;21&lt;/sup&gt;&lt;/sup&gt;"},"properties":{"noteIndex":0},"schema":"https://github.com/citation-style-language/schema/raw/master/csl-citation.json"}</w:instrText>
      </w:r>
      <w:r w:rsidR="00FF3D97">
        <w:rPr>
          <w:rFonts w:ascii="Times New Roman" w:hAnsi="Times New Roman" w:cs="Times New Roman"/>
          <w:sz w:val="24"/>
          <w:szCs w:val="24"/>
          <w:lang w:val="en-US"/>
        </w:rPr>
        <w:fldChar w:fldCharType="separate"/>
      </w:r>
      <w:r w:rsidR="00FF3D97" w:rsidRPr="00FF3D97">
        <w:rPr>
          <w:rFonts w:ascii="Times New Roman" w:hAnsi="Times New Roman" w:cs="Times New Roman"/>
          <w:noProof/>
          <w:sz w:val="24"/>
          <w:szCs w:val="24"/>
          <w:vertAlign w:val="superscript"/>
          <w:lang w:val="en-US"/>
        </w:rPr>
        <w:t>21</w:t>
      </w:r>
      <w:r w:rsidR="00FF3D97">
        <w:rPr>
          <w:rFonts w:ascii="Times New Roman" w:hAnsi="Times New Roman" w:cs="Times New Roman"/>
          <w:sz w:val="24"/>
          <w:szCs w:val="24"/>
          <w:lang w:val="en-US"/>
        </w:rPr>
        <w:fldChar w:fldCharType="end"/>
      </w:r>
      <w:r w:rsidR="000F3610">
        <w:rPr>
          <w:rFonts w:ascii="Times New Roman" w:hAnsi="Times New Roman" w:cs="Times New Roman"/>
          <w:sz w:val="24"/>
          <w:szCs w:val="24"/>
          <w:lang w:val="en-US"/>
        </w:rPr>
        <w:t xml:space="preserve"> A third trial </w:t>
      </w:r>
      <w:r w:rsidR="00B87363">
        <w:rPr>
          <w:rFonts w:ascii="Times New Roman" w:hAnsi="Times New Roman" w:cs="Times New Roman"/>
          <w:sz w:val="24"/>
          <w:szCs w:val="24"/>
          <w:lang w:val="en-US"/>
        </w:rPr>
        <w:t>used</w:t>
      </w:r>
      <w:r w:rsidR="000F3610">
        <w:rPr>
          <w:rFonts w:ascii="Times New Roman" w:hAnsi="Times New Roman" w:cs="Times New Roman"/>
          <w:sz w:val="24"/>
          <w:szCs w:val="24"/>
          <w:lang w:val="en-US"/>
        </w:rPr>
        <w:t xml:space="preserve"> no loading dose but provided daily calcium and vitamin D.</w:t>
      </w:r>
      <w:r w:rsidR="000F3610">
        <w:rPr>
          <w:rFonts w:ascii="Times New Roman" w:hAnsi="Times New Roman" w:cs="Times New Roman"/>
          <w:sz w:val="24"/>
          <w:szCs w:val="24"/>
          <w:lang w:val="en-US"/>
        </w:rPr>
        <w:fldChar w:fldCharType="begin" w:fldLock="1"/>
      </w:r>
      <w:r w:rsidR="0036735C">
        <w:rPr>
          <w:rFonts w:ascii="Times New Roman" w:hAnsi="Times New Roman" w:cs="Times New Roman"/>
          <w:sz w:val="24"/>
          <w:szCs w:val="24"/>
          <w:lang w:val="en-US"/>
        </w:rPr>
        <w:instrText>ADDIN CSL_CITATION {"citationItems":[{"id":"ITEM-1","itemData":{"DOI":"10.1056/NEJMoa067312","author":[{"dropping-particle":"","family":"Black","given":"D M","non-dropping-particle":"","parse-names":false,"suffix":""},{"dropping-particle":"","family":"Delmas","given":"P D","non-dropping-particle":"","parse-names":false,"suffix":""},{"dropping-particle":"","family":"Eastell","given":"R","non-dropping-particle":"","parse-names":false,"suffix":""},{"dropping-particle":"","family":"Reid","given":"I R","non-dropping-particle":"","parse-names":false,"suffix":""},{"dropping-particle":"","family":"Boonen","given":"S","non-dropping-particle":"","parse-names":false,"suffix":""},{"dropping-particle":"","family":"Cauley","given":"J A","non-dropping-particle":"","parse-names":false,"suffix":""},{"dropping-particle":"","family":"Cosman","given":"F","non-dropping-particle":"","parse-names":false,"suffix":""},{"dropping-particle":"","family":"Lakatos","given":"P","non-dropping-particle":"","parse-names":false,"suffix":""},{"dropping-particle":"","family":"Leung","given":"P C","non-dropping-particle":"","parse-names":false,"suffix":""},{"dropping-particle":"","family":"Man","given":"Z","non-dropping-particle":"","parse-names":false,"suffix":""},{"dropping-particle":"","family":"Mautalen","given":"C","non-dropping-particle":"","parse-names":false,"suffix":""},{"dropping-particle":"","family":"Mesenbrink","given":"P","non-dropping-particle":"","parse-names":false,"suffix":""},{"dropping-particle":"","family":"Hu","given":"H","non-dropping-particle":"","parse-names":false,"suffix":""},{"dropping-particle":"","family":"Caminis","given":"J","non-dropping-particle":"","parse-names":false,"suffix":""},{"dropping-particle":"","family":"Tong","given":"K","non-dropping-particle":"","parse-names":false,"suffix":""},{"dropping-particle":"","family":"Rosario-Jansen","given":"T","non-dropping-particle":"","parse-names":false,"suffix":""},{"dropping-particle":"","family":"Krasnow","given":"J","non-dropping-particle":"","parse-names":false,"suffix":""},{"dropping-particle":"","family":"Hue","given":"T F","non-dropping-particle":"","parse-names":false,"suffix":""},{"dropping-particle":"","family":"Sellmeyer","given":"D","non-dropping-particle":"","parse-names":false,"suffix":""},{"dropping-particle":"","family":"Eriksen","given":"E F","non-dropping-particle":"","parse-names":false,"suffix":""},{"dropping-particle":"","family":"Cummings","given":"S R","non-dropping-particle":"","parse-names":false,"suffix":""}],"container-title":"N Engl J Med","id":"ITEM-1","issue":"18","issued":{"date-parts":[["2007"]]},"page":"1809-1822","title":"Once-yearly zoledronic acid for treatment of postmenopausal osteoporosis","type":"article-journal","volume":"356"},"uris":["http://www.mendeley.com/documents/?uuid=0f13fad4-b5f5-42f7-873f-7dd2216502be"]}],"mendeley":{"formattedCitation":"&lt;sup&gt;&lt;sup&gt;19&lt;/sup&gt;&lt;/sup&gt;","plainTextFormattedCitation":"19","previouslyFormattedCitation":"&lt;sup&gt;&lt;sup&gt;19&lt;/sup&gt;&lt;/sup&gt;"},"properties":{"noteIndex":0},"schema":"https://github.com/citation-style-language/schema/raw/master/csl-citation.json"}</w:instrText>
      </w:r>
      <w:r w:rsidR="000F3610">
        <w:rPr>
          <w:rFonts w:ascii="Times New Roman" w:hAnsi="Times New Roman" w:cs="Times New Roman"/>
          <w:sz w:val="24"/>
          <w:szCs w:val="24"/>
          <w:lang w:val="en-US"/>
        </w:rPr>
        <w:fldChar w:fldCharType="separate"/>
      </w:r>
      <w:r w:rsidR="000F3610" w:rsidRPr="000F3610">
        <w:rPr>
          <w:rFonts w:ascii="Times New Roman" w:hAnsi="Times New Roman" w:cs="Times New Roman"/>
          <w:noProof/>
          <w:sz w:val="24"/>
          <w:szCs w:val="24"/>
          <w:vertAlign w:val="superscript"/>
          <w:lang w:val="en-US"/>
        </w:rPr>
        <w:t>19</w:t>
      </w:r>
      <w:r w:rsidR="000F3610">
        <w:rPr>
          <w:rFonts w:ascii="Times New Roman" w:hAnsi="Times New Roman" w:cs="Times New Roman"/>
          <w:sz w:val="24"/>
          <w:szCs w:val="24"/>
          <w:lang w:val="en-US"/>
        </w:rPr>
        <w:fldChar w:fldCharType="end"/>
      </w:r>
      <w:r w:rsidR="00B87363">
        <w:rPr>
          <w:rFonts w:ascii="Times New Roman" w:hAnsi="Times New Roman" w:cs="Times New Roman"/>
          <w:sz w:val="24"/>
          <w:szCs w:val="24"/>
          <w:lang w:val="en-US"/>
        </w:rPr>
        <w:t xml:space="preserve"> We </w:t>
      </w:r>
      <w:r w:rsidR="00C74985">
        <w:rPr>
          <w:rFonts w:ascii="Times New Roman" w:hAnsi="Times New Roman" w:cs="Times New Roman"/>
          <w:sz w:val="24"/>
          <w:szCs w:val="24"/>
          <w:lang w:val="en-US"/>
        </w:rPr>
        <w:t>believe that</w:t>
      </w:r>
      <w:r w:rsidR="00936805">
        <w:rPr>
          <w:rFonts w:ascii="Times New Roman" w:hAnsi="Times New Roman" w:cs="Times New Roman"/>
          <w:sz w:val="24"/>
          <w:szCs w:val="24"/>
          <w:lang w:val="en-US"/>
        </w:rPr>
        <w:t xml:space="preserve"> a loading dose of 100,000 IU</w:t>
      </w:r>
      <w:r w:rsidR="00B87363">
        <w:rPr>
          <w:rFonts w:ascii="Times New Roman" w:hAnsi="Times New Roman" w:cs="Times New Roman"/>
          <w:sz w:val="24"/>
          <w:szCs w:val="24"/>
          <w:lang w:val="en-US"/>
        </w:rPr>
        <w:t xml:space="preserve"> before each infusion </w:t>
      </w:r>
      <w:r w:rsidR="00936805">
        <w:rPr>
          <w:rFonts w:ascii="Times New Roman" w:hAnsi="Times New Roman" w:cs="Times New Roman"/>
          <w:sz w:val="24"/>
          <w:szCs w:val="24"/>
          <w:lang w:val="en-US"/>
        </w:rPr>
        <w:t>will be</w:t>
      </w:r>
      <w:r w:rsidR="00B87363">
        <w:rPr>
          <w:rFonts w:ascii="Times New Roman" w:hAnsi="Times New Roman" w:cs="Times New Roman"/>
          <w:sz w:val="24"/>
          <w:szCs w:val="24"/>
          <w:lang w:val="en-US"/>
        </w:rPr>
        <w:t xml:space="preserve"> sufficient to prevent hypocalcemia, with little or no additional benefit </w:t>
      </w:r>
      <w:r w:rsidR="00BB44DF">
        <w:rPr>
          <w:rFonts w:ascii="Times New Roman" w:hAnsi="Times New Roman" w:cs="Times New Roman"/>
          <w:sz w:val="24"/>
          <w:szCs w:val="24"/>
          <w:lang w:val="en-US"/>
        </w:rPr>
        <w:t>of</w:t>
      </w:r>
      <w:r w:rsidR="00B87363">
        <w:rPr>
          <w:rFonts w:ascii="Times New Roman" w:hAnsi="Times New Roman" w:cs="Times New Roman"/>
          <w:sz w:val="24"/>
          <w:szCs w:val="24"/>
          <w:lang w:val="en-US"/>
        </w:rPr>
        <w:t xml:space="preserve"> continued vitamin D supplementation. There is also evidence that high doses of vitamin D increase the risk of </w:t>
      </w:r>
      <w:r w:rsidR="003046FA">
        <w:rPr>
          <w:rFonts w:ascii="Times New Roman" w:hAnsi="Times New Roman" w:cs="Times New Roman"/>
          <w:sz w:val="24"/>
          <w:szCs w:val="24"/>
          <w:lang w:val="en-US"/>
        </w:rPr>
        <w:t xml:space="preserve">falls and </w:t>
      </w:r>
      <w:r w:rsidR="00B87363">
        <w:rPr>
          <w:rFonts w:ascii="Times New Roman" w:hAnsi="Times New Roman" w:cs="Times New Roman"/>
          <w:sz w:val="24"/>
          <w:szCs w:val="24"/>
          <w:lang w:val="en-US"/>
        </w:rPr>
        <w:t>fracture</w:t>
      </w:r>
      <w:r w:rsidR="003046FA">
        <w:rPr>
          <w:rFonts w:ascii="Times New Roman" w:hAnsi="Times New Roman" w:cs="Times New Roman"/>
          <w:sz w:val="24"/>
          <w:szCs w:val="24"/>
          <w:lang w:val="en-US"/>
        </w:rPr>
        <w:t>s</w:t>
      </w:r>
      <w:r w:rsidR="00B87363">
        <w:rPr>
          <w:rFonts w:ascii="Times New Roman" w:hAnsi="Times New Roman" w:cs="Times New Roman"/>
          <w:sz w:val="24"/>
          <w:szCs w:val="24"/>
          <w:lang w:val="en-US"/>
        </w:rPr>
        <w:t>.</w:t>
      </w:r>
      <w:r w:rsidR="0081127D">
        <w:rPr>
          <w:rFonts w:ascii="Times New Roman" w:hAnsi="Times New Roman" w:cs="Times New Roman"/>
          <w:sz w:val="24"/>
          <w:szCs w:val="24"/>
          <w:lang w:val="en-US"/>
        </w:rPr>
        <w:fldChar w:fldCharType="begin" w:fldLock="1"/>
      </w:r>
      <w:r w:rsidR="00272560">
        <w:rPr>
          <w:rFonts w:ascii="Times New Roman" w:hAnsi="Times New Roman" w:cs="Times New Roman"/>
          <w:sz w:val="24"/>
          <w:szCs w:val="24"/>
          <w:lang w:val="en-US"/>
        </w:rPr>
        <w:instrText>ADDIN CSL_CITATION {"citationItems":[{"id":"ITEM-1","itemData":{"DOI":"10.1001/jama.2010.594","ISSN":"00987484","PMID":"20460620","abstract":"Context: Improving vitamin D status may be an important modifiable risk factor to reduce falls and fractures; however, adherence to daily supplementation is typically poor. Objective: To determine whether a single annual dose of 500 000 IU of cholecalciferol administered orally to older women in autumn or winter would improve adherence and reduce the risk of falls and fracture. Design, Setting, and Participants: A double-blind, placebo-controlled trial of 2256 community-dwelling women, aged 70 years or older, considered to be at high risk of fracture were recruited from June 2003 to June 2005 and were randomly assigned to receive cholecalciferol or placebo each autumn to winter for 3 to 5 years. The study concluded in 2008. Intervention: 500 000 IU of cholecalciferol or placebo. Main Outcome Measures: Falls and fractures were ascertained using monthly calendars; details were confirmed by telephone interview. Fractures were radiologically confirmed. In a substudy, 137 randomly selected participants underwent serial blood sampling for 25- hydroxycholecalciferol and parathyroid hormone levels. Results: Women in the cholecalciferol (vitamin D) group had 171 fractures vs 135 in the placebo group; 837 women in the vitamin D group fell 2892 times (rate, 83.4 per 100 person-years) while 769 women in the placebo group fell 2512 times (rate, 72.7 per 100 person-years; incidence rate ratio [RR], 1.15; 95% confidence interval [CI], 1.02-1.30; P=.03). The incidence RR for fracture in the vitamin D group was 1.26 (95% CI, 1.00-1.59; P=.047) vs the placebo group (rates per 100 person-years, 4.9 vitamin D vs 3.9 placebo). A temporal pattern was observed in a post hoc analysis of falls. The incidence RR of falling in the vitamin D group vs the placebo group was 1.31 in the first 3 months after dosing and 1.13 during the following 9 months (test for homogeneity; P = .02). In the substudy, the median baseline serum 25-hydroxycholecalciferol was 49 nmol/L. Less than 3% of the substudy participants had 25-hydroxycholecalciferol levels lower than 25 nmol/L. In the vitamin D group, 25-hydroxycholecalciferol levels increased at 1 month after dosing to approximately 120 nmol/L, were approximately 90 nmol/L at 3 months, and remained higher than the placebo group 12 months after dosing. Conclusion: Among older community-dwelling women, annual oral administration of high-dose cholecalciferol resulted in an increased risk of falls and fractures. Trial Registration: anzctr.org.au Id…","author":[{"dropping-particle":"","family":"Sanders","given":"Kerrie M.","non-dropping-particle":"","parse-names":false,"suffix":""},{"dropping-particle":"","family":"Stuart","given":"Amanda L.","non-dropping-particle":"","parse-names":false,"suffix":""},{"dropping-particle":"","family":"Williamson","given":"Elizabeth J.","non-dropping-particle":"","parse-names":false,"suffix":""},{"dropping-particle":"","family":"Simpson","given":"Julie A.","non-dropping-particle":"","parse-names":false,"suffix":""},{"dropping-particle":"","family":"Kotowicz","given":"Mark A.","non-dropping-particle":"","parse-names":false,"suffix":""},{"dropping-particle":"","family":"Young","given":"Doris","non-dropping-particle":"","parse-names":false,"suffix":""},{"dropping-particle":"","family":"Nicholson","given":"Geoffrey C.","non-dropping-particle":"","parse-names":false,"suffix":""}],"container-title":"JAMA - Journal of the American Medical Association","id":"ITEM-1","issue":"18","issued":{"date-parts":[["2010"]]},"page":"1815-1822","title":"Annual high-dose oral vitamin D and falls and fractures in older women: A randomized controlled trial","type":"article-journal","volume":"303"},"uris":["http://www.mendeley.com/documents/?uuid=a52e5e5a-41a5-4704-8cab-cf9ab9c2b85a"]}],"mendeley":{"formattedCitation":"&lt;sup&gt;&lt;sup&gt;40&lt;/sup&gt;&lt;/sup&gt;","plainTextFormattedCitation":"40","previouslyFormattedCitation":"&lt;sup&gt;&lt;sup&gt;40&lt;/sup&gt;&lt;/sup&gt;"},"properties":{"noteIndex":0},"schema":"https://github.com/citation-style-language/schema/raw/master/csl-citation.json"}</w:instrText>
      </w:r>
      <w:r w:rsidR="0081127D">
        <w:rPr>
          <w:rFonts w:ascii="Times New Roman" w:hAnsi="Times New Roman" w:cs="Times New Roman"/>
          <w:sz w:val="24"/>
          <w:szCs w:val="24"/>
          <w:lang w:val="en-US"/>
        </w:rPr>
        <w:fldChar w:fldCharType="separate"/>
      </w:r>
      <w:r w:rsidR="0081127D" w:rsidRPr="0081127D">
        <w:rPr>
          <w:rFonts w:ascii="Times New Roman" w:hAnsi="Times New Roman" w:cs="Times New Roman"/>
          <w:noProof/>
          <w:sz w:val="24"/>
          <w:szCs w:val="24"/>
          <w:vertAlign w:val="superscript"/>
          <w:lang w:val="en-US"/>
        </w:rPr>
        <w:t>40</w:t>
      </w:r>
      <w:r w:rsidR="0081127D">
        <w:rPr>
          <w:rFonts w:ascii="Times New Roman" w:hAnsi="Times New Roman" w:cs="Times New Roman"/>
          <w:sz w:val="24"/>
          <w:szCs w:val="24"/>
          <w:lang w:val="en-US"/>
        </w:rPr>
        <w:fldChar w:fldCharType="end"/>
      </w:r>
    </w:p>
    <w:p w14:paraId="1AB04977" w14:textId="481345C2" w:rsidR="00620C8D" w:rsidRPr="007B140B" w:rsidRDefault="00F11F05" w:rsidP="00273AA9">
      <w:p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The </w:t>
      </w:r>
      <w:r w:rsidR="00D47334" w:rsidRPr="007B140B">
        <w:rPr>
          <w:rFonts w:ascii="Times New Roman" w:hAnsi="Times New Roman" w:cs="Times New Roman"/>
          <w:sz w:val="24"/>
          <w:szCs w:val="24"/>
          <w:lang w:val="en-US"/>
        </w:rPr>
        <w:t xml:space="preserve">above-mentioned </w:t>
      </w:r>
      <w:r w:rsidRPr="007B140B">
        <w:rPr>
          <w:rFonts w:ascii="Times New Roman" w:hAnsi="Times New Roman" w:cs="Times New Roman"/>
          <w:sz w:val="24"/>
          <w:szCs w:val="24"/>
          <w:lang w:val="en-US"/>
        </w:rPr>
        <w:t xml:space="preserve">dose and administration route </w:t>
      </w:r>
      <w:r w:rsidR="00D47334" w:rsidRPr="007B140B">
        <w:rPr>
          <w:rFonts w:ascii="Times New Roman" w:hAnsi="Times New Roman" w:cs="Times New Roman"/>
          <w:sz w:val="24"/>
          <w:szCs w:val="24"/>
          <w:lang w:val="en-US"/>
        </w:rPr>
        <w:t>for</w:t>
      </w:r>
      <w:r w:rsidR="0083409E" w:rsidRPr="007B140B">
        <w:rPr>
          <w:rFonts w:ascii="Times New Roman" w:hAnsi="Times New Roman" w:cs="Times New Roman"/>
          <w:sz w:val="24"/>
          <w:szCs w:val="24"/>
          <w:lang w:val="en-US"/>
        </w:rPr>
        <w:t xml:space="preserve"> zoledronic acid were selected </w:t>
      </w:r>
      <w:r w:rsidRPr="007B140B">
        <w:rPr>
          <w:rFonts w:ascii="Times New Roman" w:hAnsi="Times New Roman" w:cs="Times New Roman"/>
          <w:sz w:val="24"/>
          <w:szCs w:val="24"/>
          <w:lang w:val="en-US"/>
        </w:rPr>
        <w:t xml:space="preserve">based on </w:t>
      </w:r>
      <w:r w:rsidR="00825E53" w:rsidRPr="007B140B">
        <w:rPr>
          <w:rFonts w:ascii="Times New Roman" w:hAnsi="Times New Roman" w:cs="Times New Roman"/>
          <w:sz w:val="24"/>
          <w:szCs w:val="24"/>
          <w:lang w:val="en-US"/>
        </w:rPr>
        <w:t xml:space="preserve">the design of </w:t>
      </w:r>
      <w:r w:rsidR="00E36917" w:rsidRPr="007B140B">
        <w:rPr>
          <w:rFonts w:ascii="Times New Roman" w:hAnsi="Times New Roman" w:cs="Times New Roman"/>
          <w:sz w:val="24"/>
          <w:szCs w:val="24"/>
          <w:lang w:val="en-US"/>
        </w:rPr>
        <w:t xml:space="preserve">previous </w:t>
      </w:r>
      <w:r w:rsidR="00D47334" w:rsidRPr="007B140B">
        <w:rPr>
          <w:rFonts w:ascii="Times New Roman" w:hAnsi="Times New Roman" w:cs="Times New Roman"/>
          <w:sz w:val="24"/>
          <w:szCs w:val="24"/>
          <w:lang w:val="en-US"/>
        </w:rPr>
        <w:t xml:space="preserve">phase III </w:t>
      </w:r>
      <w:r w:rsidRPr="007B140B">
        <w:rPr>
          <w:rFonts w:ascii="Times New Roman" w:hAnsi="Times New Roman" w:cs="Times New Roman"/>
          <w:sz w:val="24"/>
          <w:szCs w:val="24"/>
          <w:lang w:val="en-US"/>
        </w:rPr>
        <w:t xml:space="preserve">trials and </w:t>
      </w:r>
      <w:r w:rsidR="00D47334" w:rsidRPr="007B140B">
        <w:rPr>
          <w:rFonts w:ascii="Times New Roman" w:hAnsi="Times New Roman" w:cs="Times New Roman"/>
          <w:sz w:val="24"/>
          <w:szCs w:val="24"/>
          <w:lang w:val="en-US"/>
        </w:rPr>
        <w:t xml:space="preserve">on </w:t>
      </w:r>
      <w:r w:rsidR="00BB0C70" w:rsidRPr="007B140B">
        <w:rPr>
          <w:rFonts w:ascii="Times New Roman" w:hAnsi="Times New Roman" w:cs="Times New Roman"/>
          <w:sz w:val="24"/>
          <w:szCs w:val="24"/>
          <w:lang w:val="en-US"/>
        </w:rPr>
        <w:t>standard use</w:t>
      </w:r>
      <w:r w:rsidR="008C0681" w:rsidRPr="007B140B">
        <w:rPr>
          <w:rFonts w:ascii="Times New Roman" w:hAnsi="Times New Roman" w:cs="Times New Roman"/>
          <w:sz w:val="24"/>
          <w:szCs w:val="24"/>
          <w:lang w:val="en-US"/>
        </w:rPr>
        <w:t xml:space="preserve"> in </w:t>
      </w:r>
      <w:r w:rsidRPr="007B140B">
        <w:rPr>
          <w:rFonts w:ascii="Times New Roman" w:hAnsi="Times New Roman" w:cs="Times New Roman"/>
          <w:sz w:val="24"/>
          <w:szCs w:val="24"/>
          <w:lang w:val="en-US"/>
        </w:rPr>
        <w:t>clinical practice.</w:t>
      </w:r>
      <w:r w:rsidR="00CA4B66" w:rsidRPr="007B140B">
        <w:rPr>
          <w:rFonts w:ascii="Times New Roman" w:hAnsi="Times New Roman" w:cs="Times New Roman"/>
          <w:sz w:val="24"/>
          <w:szCs w:val="24"/>
          <w:lang w:val="en-US"/>
        </w:rPr>
        <w:fldChar w:fldCharType="begin" w:fldLock="1"/>
      </w:r>
      <w:r w:rsidR="00D2485C">
        <w:rPr>
          <w:rFonts w:ascii="Times New Roman" w:hAnsi="Times New Roman" w:cs="Times New Roman"/>
          <w:sz w:val="24"/>
          <w:szCs w:val="24"/>
          <w:lang w:val="en-US"/>
        </w:rPr>
        <w:instrText>ADDIN CSL_CITATION {"citationItems":[{"id":"ITEM-1","itemData":{"DOI":"10.1056/NEJMoa074941","author":[{"dropping-particle":"","family":"Lyles","given":"Kenneth W.","non-dropping-particle":"","parse-names":false,"suffix":""},{"dropping-particle":"","family":"Colón-Emeric","given":"Cathleen S.","non-dropping-particle":"","parse-names":false,"suffix":""},{"dropping-particle":"","family":"Magaziner","given":"Jay S.","non-dropping-particle":"","parse-names":false,"suffix":""},{"dropping-particle":"","family":"Adachi","given":"Jonathan D.","non-dropping-particle":"","parse-names":false,"suffix":""},{"dropping-particle":"","family":"Pieper","given":"Carl F.","non-dropping-particle":"","parse-names":false,"suffix":""},{"dropping-particle":"","family":"Mautalen","given":"Carlos","non-dropping-particle":"","parse-names":false,"suffix":""},{"dropping-particle":"","family":"Hyldstrup","given":"Lars","non-dropping-particle":"","parse-names":false,"suffix":""},{"dropping-particle":"","family":"Recknor","given":"Chris","non-dropping-particle":"","parse-names":false,"suffix":""},{"dropping-particle":"","family":"Nordsletten","given":"Lars","non-dropping-particle":"","parse-names":false,"suffix":""},{"dropping-particle":"","family":"Moore","given":"Kathy A.","non-dropping-particle":"","parse-names":false,"suffix":""},{"dropping-particle":"","family":"Lavecchia","given":"Catherine","non-dropping-particle":"","parse-names":false,"suffix":""},{"dropping-particle":"","family":"Zhang","given":"Jie","non-dropping-particle":"","parse-names":false,"suffix":""},{"dropping-particle":"","family":"Mesenbrink","given":"Peter","non-dropping-particle":"","parse-names":false,"suffix":""},{"dropping-particle":"","family":"Hodgson","given":"Patricia K.","non-dropping-particle":"","parse-names":false,"suffix":""},{"dropping-particle":"","family":"Abrams","given":"Ken","non-dropping-particle":"","parse-names":false,"suffix":""},{"dropping-particle":"","family":"Orloff","given":"John J.","non-dropping-particle":"","parse-names":false,"suffix":""},{"dropping-particle":"","family":"Horowitz","given":"Zebulun","non-dropping-particle":"","parse-names":false,"suffix":""},{"dropping-particle":"","family":"Eriksen","given":"Erik Fink","non-dropping-particle":"","parse-names":false,"suffix":""},{"dropping-particle":"","family":"Boonen","given":"Steven","non-dropping-particle":"","parse-names":false,"suffix":""}],"container-title":"New England Journal of Medicine","id":"ITEM-1","issue":"18","issued":{"date-parts":[["2007"]]},"page":"1799-1809","title":"Zoledronic acid and clinical fractures and mortality after hip fracture","type":"article-journal","volume":"357"},"uris":["http://www.mendeley.com/documents/?uuid=fdc4eb3b-a387-4743-a233-680ae590c2cf"]},{"id":"ITEM-2","itemData":{"DOI":"10.1056/NEJMoa067312","author":[{"dropping-particle":"","family":"Black","given":"D M","non-dropping-particle":"","parse-names":false,"suffix":""},{"dropping-particle":"","family":"Delmas","given":"P D","non-dropping-particle":"","parse-names":false,"suffix":""},{"dropping-particle":"","family":"Eastell","given":"R","non-dropping-particle":"","parse-names":false,"suffix":""},{"dropping-particle":"","family":"Reid","given":"I R","non-dropping-particle":"","parse-names":false,"suffix":""},{"dropping-particle":"","family":"Boonen","given":"S","non-dropping-particle":"","parse-names":false,"suffix":""},{"dropping-particle":"","family":"Cauley","given":"J A","non-dropping-particle":"","parse-names":false,"suffix":""},{"dropping-particle":"","family":"Cosman","given":"F","non-dropping-particle":"","parse-names":false,"suffix":""},{"dropping-particle":"","family":"Lakatos","given":"P","non-dropping-particle":"","parse-names":false,"suffix":""},{"dropping-particle":"","family":"Leung","given":"P C","non-dropping-particle":"","parse-names":false,"suffix":""},{"dropping-particle":"","family":"Man","given":"Z","non-dropping-particle":"","parse-names":false,"suffix":""},{"dropping-particle":"","family":"Mautalen","given":"C","non-dropping-particle":"","parse-names":false,"suffix":""},{"dropping-particle":"","family":"Mesenbrink","given":"P","non-dropping-particle":"","parse-names":false,"suffix":""},{"dropping-particle":"","family":"Hu","given":"H","non-dropping-particle":"","parse-names":false,"suffix":""},{"dropping-particle":"","family":"Caminis","given":"J","non-dropping-particle":"","parse-names":false,"suffix":""},{"dropping-particle":"","family":"Tong","given":"K","non-dropping-particle":"","parse-names":false,"suffix":""},{"dropping-particle":"","family":"Rosario-Jansen","given":"T","non-dropping-particle":"","parse-names":false,"suffix":""},{"dropping-particle":"","family":"Krasnow","given":"J","non-dropping-particle":"","parse-names":false,"suffix":""},{"dropping-particle":"","family":"Hue","given":"T F","non-dropping-particle":"","parse-names":false,"suffix":""},{"dropping-particle":"","family":"Sellmeyer","given":"D","non-dropping-particle":"","parse-names":false,"suffix":""},{"dropping-particle":"","family":"Eriksen","given":"E F","non-dropping-particle":"","parse-names":false,"suffix":""},{"dropping-particle":"","family":"Cummings","given":"S R","non-dropping-particle":"","parse-names":false,"suffix":""}],"container-title":"N Engl J Med","id":"ITEM-2","issue":"18","issued":{"date-parts":[["2007"]]},"page":"1809-1822","title":"Once-yearly zoledronic acid for treatment of postmenopausal osteoporosis","type":"article-journal","volume":"356"},"uris":["http://www.mendeley.com/documents/?uuid=0f13fad4-b5f5-42f7-873f-7dd2216502be"]},{"id":"ITEM-3","itemData":{"DOI":"10.1201/9780203971093.bmatt","id":"ITEM-3","issued":{"date-parts":[["0"]]},"title":"Aclasta: European Public Assessment Report (EPAR) - Product Information, Annex 1 - Summary of product characteristics (31/07/2019 Aclasta - EMEA/H/C/000595 - II/0072)","type":"article"},"uris":["http://www.mendeley.com/documents/?uuid=649b59e6-52cf-4c90-80d7-152dde40c643"]}],"mendeley":{"formattedCitation":"&lt;sup&gt;&lt;sup&gt;17&lt;/sup&gt;,&lt;sup&gt;19&lt;/sup&gt;,&lt;sup&gt;20&lt;/sup&gt;&lt;/sup&gt;","plainTextFormattedCitation":"17,19,20","previouslyFormattedCitation":"&lt;sup&gt;&lt;sup&gt;17&lt;/sup&gt;,&lt;sup&gt;19&lt;/sup&gt;,&lt;sup&gt;20&lt;/sup&gt;&lt;/sup&gt;"},"properties":{"noteIndex":0},"schema":"https://github.com/citation-style-language/schema/raw/master/csl-citation.json"}</w:instrText>
      </w:r>
      <w:r w:rsidR="00CA4B66" w:rsidRPr="007B140B">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17,19,20</w:t>
      </w:r>
      <w:r w:rsidR="00CA4B66" w:rsidRPr="007B140B">
        <w:rPr>
          <w:rFonts w:ascii="Times New Roman" w:hAnsi="Times New Roman" w:cs="Times New Roman"/>
          <w:sz w:val="24"/>
          <w:szCs w:val="24"/>
          <w:lang w:val="en-US"/>
        </w:rPr>
        <w:fldChar w:fldCharType="end"/>
      </w:r>
      <w:r w:rsidR="009B4655" w:rsidRPr="007B140B">
        <w:rPr>
          <w:rFonts w:ascii="Times New Roman" w:hAnsi="Times New Roman" w:cs="Times New Roman"/>
          <w:sz w:val="24"/>
          <w:szCs w:val="24"/>
          <w:lang w:val="en-US"/>
        </w:rPr>
        <w:t xml:space="preserve"> </w:t>
      </w:r>
      <w:r w:rsidR="00734403">
        <w:rPr>
          <w:rFonts w:ascii="Times New Roman" w:hAnsi="Times New Roman" w:cs="Times New Roman"/>
          <w:sz w:val="24"/>
          <w:szCs w:val="24"/>
          <w:lang w:val="en-US"/>
        </w:rPr>
        <w:t>T</w:t>
      </w:r>
      <w:r w:rsidR="008C0681" w:rsidRPr="007B140B">
        <w:rPr>
          <w:rFonts w:ascii="Times New Roman" w:hAnsi="Times New Roman" w:cs="Times New Roman"/>
          <w:sz w:val="24"/>
          <w:szCs w:val="24"/>
          <w:lang w:val="en-US"/>
        </w:rPr>
        <w:t xml:space="preserve">he </w:t>
      </w:r>
      <w:r w:rsidR="003230B5" w:rsidRPr="007B140B">
        <w:rPr>
          <w:rFonts w:ascii="Times New Roman" w:hAnsi="Times New Roman" w:cs="Times New Roman"/>
          <w:sz w:val="24"/>
          <w:szCs w:val="24"/>
          <w:lang w:val="en-US"/>
        </w:rPr>
        <w:t>treatment interval of 2 years is not standard</w:t>
      </w:r>
      <w:r w:rsidR="00F010B0" w:rsidRPr="007B140B">
        <w:rPr>
          <w:rFonts w:ascii="Times New Roman" w:hAnsi="Times New Roman" w:cs="Times New Roman"/>
          <w:sz w:val="24"/>
          <w:szCs w:val="24"/>
          <w:lang w:val="en-US"/>
        </w:rPr>
        <w:t>,</w:t>
      </w:r>
      <w:r w:rsidR="00734403">
        <w:rPr>
          <w:rFonts w:ascii="Times New Roman" w:hAnsi="Times New Roman" w:cs="Times New Roman"/>
          <w:sz w:val="24"/>
          <w:szCs w:val="24"/>
          <w:lang w:val="en-US"/>
        </w:rPr>
        <w:t xml:space="preserve"> however,</w:t>
      </w:r>
      <w:r w:rsidR="00DF646C">
        <w:rPr>
          <w:rFonts w:ascii="Times New Roman" w:hAnsi="Times New Roman" w:cs="Times New Roman"/>
          <w:sz w:val="24"/>
          <w:szCs w:val="24"/>
          <w:lang w:val="en-US"/>
        </w:rPr>
        <w:t xml:space="preserve"> </w:t>
      </w:r>
      <w:r w:rsidR="00897CE1" w:rsidRPr="007B140B">
        <w:rPr>
          <w:rFonts w:ascii="Times New Roman" w:hAnsi="Times New Roman" w:cs="Times New Roman"/>
          <w:sz w:val="24"/>
          <w:szCs w:val="24"/>
          <w:lang w:val="en-US"/>
        </w:rPr>
        <w:t xml:space="preserve">as </w:t>
      </w:r>
      <w:r w:rsidR="003230B5" w:rsidRPr="007B140B">
        <w:rPr>
          <w:rFonts w:ascii="Times New Roman" w:hAnsi="Times New Roman" w:cs="Times New Roman"/>
          <w:sz w:val="24"/>
          <w:szCs w:val="24"/>
          <w:lang w:val="en-US"/>
        </w:rPr>
        <w:t>1-year intervals</w:t>
      </w:r>
      <w:r w:rsidR="00F010B0" w:rsidRPr="007B140B">
        <w:rPr>
          <w:rFonts w:ascii="Times New Roman" w:hAnsi="Times New Roman" w:cs="Times New Roman"/>
          <w:sz w:val="24"/>
          <w:szCs w:val="24"/>
          <w:lang w:val="en-US"/>
        </w:rPr>
        <w:t xml:space="preserve"> were used in the phase III trials and </w:t>
      </w:r>
      <w:r w:rsidR="008C0681" w:rsidRPr="007B140B">
        <w:rPr>
          <w:rFonts w:ascii="Times New Roman" w:hAnsi="Times New Roman" w:cs="Times New Roman"/>
          <w:sz w:val="24"/>
          <w:szCs w:val="24"/>
          <w:lang w:val="en-US"/>
        </w:rPr>
        <w:t>are commonly used in clinical practice</w:t>
      </w:r>
      <w:r w:rsidR="007B5287" w:rsidRPr="007B140B">
        <w:rPr>
          <w:rFonts w:ascii="Times New Roman" w:hAnsi="Times New Roman" w:cs="Times New Roman"/>
          <w:sz w:val="24"/>
          <w:szCs w:val="24"/>
          <w:lang w:val="en-US"/>
        </w:rPr>
        <w:t>.</w:t>
      </w:r>
      <w:r w:rsidR="006C5B8C" w:rsidRPr="007B140B">
        <w:rPr>
          <w:rFonts w:ascii="Times New Roman" w:hAnsi="Times New Roman" w:cs="Times New Roman"/>
          <w:sz w:val="24"/>
          <w:szCs w:val="24"/>
          <w:lang w:val="en-US"/>
        </w:rPr>
        <w:fldChar w:fldCharType="begin" w:fldLock="1"/>
      </w:r>
      <w:r w:rsidR="00D2485C">
        <w:rPr>
          <w:rFonts w:ascii="Times New Roman" w:hAnsi="Times New Roman" w:cs="Times New Roman"/>
          <w:sz w:val="24"/>
          <w:szCs w:val="24"/>
          <w:lang w:val="en-US"/>
        </w:rPr>
        <w:instrText>ADDIN CSL_CITATION {"citationItems":[{"id":"ITEM-1","itemData":{"DOI":"10.1056/NEJMoa074941","author":[{"dropping-particle":"","family":"Lyles","given":"Kenneth W.","non-dropping-particle":"","parse-names":false,"suffix":""},{"dropping-particle":"","family":"Colón-Emeric","given":"Cathleen S.","non-dropping-particle":"","parse-names":false,"suffix":""},{"dropping-particle":"","family":"Magaziner","given":"Jay S.","non-dropping-particle":"","parse-names":false,"suffix":""},{"dropping-particle":"","family":"Adachi","given":"Jonathan D.","non-dropping-particle":"","parse-names":false,"suffix":""},{"dropping-particle":"","family":"Pieper","given":"Carl F.","non-dropping-particle":"","parse-names":false,"suffix":""},{"dropping-particle":"","family":"Mautalen","given":"Carlos","non-dropping-particle":"","parse-names":false,"suffix":""},{"dropping-particle":"","family":"Hyldstrup","given":"Lars","non-dropping-particle":"","parse-names":false,"suffix":""},{"dropping-particle":"","family":"Recknor","given":"Chris","non-dropping-particle":"","parse-names":false,"suffix":""},{"dropping-particle":"","family":"Nordsletten","given":"Lars","non-dropping-particle":"","parse-names":false,"suffix":""},{"dropping-particle":"","family":"Moore","given":"Kathy A.","non-dropping-particle":"","parse-names":false,"suffix":""},{"dropping-particle":"","family":"Lavecchia","given":"Catherine","non-dropping-particle":"","parse-names":false,"suffix":""},{"dropping-particle":"","family":"Zhang","given":"Jie","non-dropping-particle":"","parse-names":false,"suffix":""},{"dropping-particle":"","family":"Mesenbrink","given":"Peter","non-dropping-particle":"","parse-names":false,"suffix":""},{"dropping-particle":"","family":"Hodgson","given":"Patricia K.","non-dropping-particle":"","parse-names":false,"suffix":""},{"dropping-particle":"","family":"Abrams","given":"Ken","non-dropping-particle":"","parse-names":false,"suffix":""},{"dropping-particle":"","family":"Orloff","given":"John J.","non-dropping-particle":"","parse-names":false,"suffix":""},{"dropping-particle":"","family":"Horowitz","given":"Zebulun","non-dropping-particle":"","parse-names":false,"suffix":""},{"dropping-particle":"","family":"Eriksen","given":"Erik Fink","non-dropping-particle":"","parse-names":false,"suffix":""},{"dropping-particle":"","family":"Boonen","given":"Steven","non-dropping-particle":"","parse-names":false,"suffix":""}],"container-title":"New England Journal of Medicine","id":"ITEM-1","issue":"18","issued":{"date-parts":[["2007"]]},"page":"1799-1809","title":"Zoledronic acid and clinical fractures and mortality after hip fracture","type":"article-journal","volume":"357"},"uris":["http://www.mendeley.com/documents/?uuid=fdc4eb3b-a387-4743-a233-680ae590c2cf"]},{"id":"ITEM-2","itemData":{"DOI":"10.1056/NEJMoa067312","author":[{"dropping-particle":"","family":"Black","given":"D M","non-dropping-particle":"","parse-names":false,"suffix":""},{"dropping-particle":"","family":"Delmas","given":"P D","non-dropping-particle":"","parse-names":false,"suffix":""},{"dropping-particle":"","family":"Eastell","given":"R","non-dropping-particle":"","parse-names":false,"suffix":""},{"dropping-particle":"","family":"Reid","given":"I R","non-dropping-particle":"","parse-names":false,"suffix":""},{"dropping-particle":"","family":"Boonen","given":"S","non-dropping-particle":"","parse-names":false,"suffix":""},{"dropping-particle":"","family":"Cauley","given":"J A","non-dropping-particle":"","parse-names":false,"suffix":""},{"dropping-particle":"","family":"Cosman","given":"F","non-dropping-particle":"","parse-names":false,"suffix":""},{"dropping-particle":"","family":"Lakatos","given":"P","non-dropping-particle":"","parse-names":false,"suffix":""},{"dropping-particle":"","family":"Leung","given":"P C","non-dropping-particle":"","parse-names":false,"suffix":""},{"dropping-particle":"","family":"Man","given":"Z","non-dropping-particle":"","parse-names":false,"suffix":""},{"dropping-particle":"","family":"Mautalen","given":"C","non-dropping-particle":"","parse-names":false,"suffix":""},{"dropping-particle":"","family":"Mesenbrink","given":"P","non-dropping-particle":"","parse-names":false,"suffix":""},{"dropping-particle":"","family":"Hu","given":"H","non-dropping-particle":"","parse-names":false,"suffix":""},{"dropping-particle":"","family":"Caminis","given":"J","non-dropping-particle":"","parse-names":false,"suffix":""},{"dropping-particle":"","family":"Tong","given":"K","non-dropping-particle":"","parse-names":false,"suffix":""},{"dropping-particle":"","family":"Rosario-Jansen","given":"T","non-dropping-particle":"","parse-names":false,"suffix":""},{"dropping-particle":"","family":"Krasnow","given":"J","non-dropping-particle":"","parse-names":false,"suffix":""},{"dropping-particle":"","family":"Hue","given":"T F","non-dropping-particle":"","parse-names":false,"suffix":""},{"dropping-particle":"","family":"Sellmeyer","given":"D","non-dropping-particle":"","parse-names":false,"suffix":""},{"dropping-particle":"","family":"Eriksen","given":"E F","non-dropping-particle":"","parse-names":false,"suffix":""},{"dropping-particle":"","family":"Cummings","given":"S R","non-dropping-particle":"","parse-names":false,"suffix":""}],"container-title":"N Engl J Med","id":"ITEM-2","issue":"18","issued":{"date-parts":[["2007"]]},"page":"1809-1822","title":"Once-yearly zoledronic acid for treatment of postmenopausal osteoporosis","type":"article-journal","volume":"356"},"uris":["http://www.mendeley.com/documents/?uuid=0f13fad4-b5f5-42f7-873f-7dd2216502be"]},{"id":"ITEM-3","itemData":{"DOI":"10.1201/9780203971093.bmatt","id":"ITEM-3","issued":{"date-parts":[["0"]]},"title":"Aclasta: European Public Assessment Report (EPAR) - Product Information, Annex 1 - Summary of product characteristics (31/07/2019 Aclasta - EMEA/H/C/000595 - II/0072)","type":"article"},"uris":["http://www.mendeley.com/documents/?uuid=649b59e6-52cf-4c90-80d7-152dde40c643"]}],"mendeley":{"formattedCitation":"&lt;sup&gt;&lt;sup&gt;17&lt;/sup&gt;,&lt;sup&gt;19&lt;/sup&gt;,&lt;sup&gt;20&lt;/sup&gt;&lt;/sup&gt;","plainTextFormattedCitation":"17,19,20","previouslyFormattedCitation":"&lt;sup&gt;&lt;sup&gt;17&lt;/sup&gt;,&lt;sup&gt;19&lt;/sup&gt;,&lt;sup&gt;20&lt;/sup&gt;&lt;/sup&gt;"},"properties":{"noteIndex":0},"schema":"https://github.com/citation-style-language/schema/raw/master/csl-citation.json"}</w:instrText>
      </w:r>
      <w:r w:rsidR="006C5B8C" w:rsidRPr="007B140B">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17,19,20</w:t>
      </w:r>
      <w:r w:rsidR="006C5B8C" w:rsidRPr="007B140B">
        <w:rPr>
          <w:rFonts w:ascii="Times New Roman" w:hAnsi="Times New Roman" w:cs="Times New Roman"/>
          <w:sz w:val="24"/>
          <w:szCs w:val="24"/>
          <w:lang w:val="en-US"/>
        </w:rPr>
        <w:fldChar w:fldCharType="end"/>
      </w:r>
      <w:r w:rsidR="006C5B8C" w:rsidRPr="007B140B">
        <w:rPr>
          <w:rFonts w:ascii="Times New Roman" w:hAnsi="Times New Roman" w:cs="Times New Roman"/>
          <w:sz w:val="24"/>
          <w:szCs w:val="24"/>
          <w:lang w:val="en-US"/>
        </w:rPr>
        <w:t xml:space="preserve"> </w:t>
      </w:r>
      <w:r w:rsidR="007B5287" w:rsidRPr="007B140B">
        <w:rPr>
          <w:rFonts w:ascii="Times New Roman" w:hAnsi="Times New Roman" w:cs="Times New Roman"/>
          <w:sz w:val="24"/>
          <w:szCs w:val="24"/>
          <w:lang w:val="en-US"/>
        </w:rPr>
        <w:t xml:space="preserve"> </w:t>
      </w:r>
      <w:r w:rsidR="008C0681" w:rsidRPr="007B140B">
        <w:rPr>
          <w:rFonts w:ascii="Times New Roman" w:hAnsi="Times New Roman" w:cs="Times New Roman"/>
          <w:sz w:val="24"/>
          <w:szCs w:val="24"/>
          <w:lang w:val="en-US"/>
        </w:rPr>
        <w:t>Our</w:t>
      </w:r>
      <w:r w:rsidR="00897CE1" w:rsidRPr="007B140B">
        <w:rPr>
          <w:rFonts w:ascii="Times New Roman" w:hAnsi="Times New Roman" w:cs="Times New Roman"/>
          <w:sz w:val="24"/>
          <w:szCs w:val="24"/>
          <w:lang w:val="en-US"/>
        </w:rPr>
        <w:t xml:space="preserve"> decision t</w:t>
      </w:r>
      <w:r w:rsidR="008C0681" w:rsidRPr="007B140B">
        <w:rPr>
          <w:rFonts w:ascii="Times New Roman" w:hAnsi="Times New Roman" w:cs="Times New Roman"/>
          <w:sz w:val="24"/>
          <w:szCs w:val="24"/>
          <w:lang w:val="en-US"/>
        </w:rPr>
        <w:t>o extend the treatment interval</w:t>
      </w:r>
      <w:r w:rsidR="00897CE1" w:rsidRPr="007B140B">
        <w:rPr>
          <w:rFonts w:ascii="Times New Roman" w:hAnsi="Times New Roman" w:cs="Times New Roman"/>
          <w:sz w:val="24"/>
          <w:szCs w:val="24"/>
          <w:lang w:val="en-US"/>
        </w:rPr>
        <w:t xml:space="preserve"> is based on</w:t>
      </w:r>
      <w:r w:rsidR="008C0681" w:rsidRPr="007B140B">
        <w:rPr>
          <w:rFonts w:ascii="Times New Roman" w:hAnsi="Times New Roman" w:cs="Times New Roman"/>
          <w:sz w:val="24"/>
          <w:szCs w:val="24"/>
          <w:lang w:val="en-US"/>
        </w:rPr>
        <w:t xml:space="preserve"> evidence from a phase IV trial</w:t>
      </w:r>
      <w:r w:rsidR="00C6544D">
        <w:rPr>
          <w:rFonts w:ascii="Times New Roman" w:hAnsi="Times New Roman" w:cs="Times New Roman"/>
          <w:sz w:val="24"/>
          <w:szCs w:val="24"/>
          <w:lang w:val="en-US"/>
        </w:rPr>
        <w:t xml:space="preserve"> that </w:t>
      </w:r>
      <w:r w:rsidR="00897CE1" w:rsidRPr="007B140B">
        <w:rPr>
          <w:rFonts w:ascii="Times New Roman" w:hAnsi="Times New Roman" w:cs="Times New Roman"/>
          <w:sz w:val="24"/>
          <w:szCs w:val="24"/>
          <w:lang w:val="en-US"/>
        </w:rPr>
        <w:t xml:space="preserve">found similar efficacy with </w:t>
      </w:r>
      <w:r w:rsidR="00DB6DEC">
        <w:rPr>
          <w:rFonts w:ascii="Times New Roman" w:hAnsi="Times New Roman" w:cs="Times New Roman"/>
          <w:sz w:val="24"/>
          <w:szCs w:val="24"/>
          <w:lang w:val="en-US"/>
        </w:rPr>
        <w:t xml:space="preserve">an </w:t>
      </w:r>
      <w:r w:rsidR="00897CE1" w:rsidRPr="007B140B">
        <w:rPr>
          <w:rFonts w:ascii="Times New Roman" w:hAnsi="Times New Roman" w:cs="Times New Roman"/>
          <w:sz w:val="24"/>
          <w:szCs w:val="24"/>
          <w:lang w:val="en-US"/>
        </w:rPr>
        <w:t xml:space="preserve">18-month </w:t>
      </w:r>
      <w:r w:rsidR="00CA4B66" w:rsidRPr="007B140B">
        <w:rPr>
          <w:rFonts w:ascii="Times New Roman" w:hAnsi="Times New Roman" w:cs="Times New Roman"/>
          <w:sz w:val="24"/>
          <w:szCs w:val="24"/>
          <w:lang w:val="en-US"/>
        </w:rPr>
        <w:t xml:space="preserve">treatment </w:t>
      </w:r>
      <w:r w:rsidR="00897CE1" w:rsidRPr="007B140B">
        <w:rPr>
          <w:rFonts w:ascii="Times New Roman" w:hAnsi="Times New Roman" w:cs="Times New Roman"/>
          <w:sz w:val="24"/>
          <w:szCs w:val="24"/>
          <w:lang w:val="en-US"/>
        </w:rPr>
        <w:t>interval</w:t>
      </w:r>
      <w:r w:rsidR="008C0681" w:rsidRPr="007B140B">
        <w:rPr>
          <w:rFonts w:ascii="Times New Roman" w:hAnsi="Times New Roman" w:cs="Times New Roman"/>
          <w:sz w:val="24"/>
          <w:szCs w:val="24"/>
          <w:lang w:val="en-US"/>
        </w:rPr>
        <w:t>.</w:t>
      </w:r>
      <w:r w:rsidR="006C5B8C" w:rsidRPr="007B140B">
        <w:rPr>
          <w:rFonts w:ascii="Times New Roman" w:hAnsi="Times New Roman" w:cs="Times New Roman"/>
          <w:sz w:val="24"/>
          <w:szCs w:val="24"/>
          <w:lang w:val="en-US"/>
        </w:rPr>
        <w:fldChar w:fldCharType="begin" w:fldLock="1"/>
      </w:r>
      <w:r w:rsidR="00D2485C">
        <w:rPr>
          <w:rFonts w:ascii="Times New Roman" w:hAnsi="Times New Roman" w:cs="Times New Roman"/>
          <w:sz w:val="24"/>
          <w:szCs w:val="24"/>
          <w:lang w:val="en-US"/>
        </w:rPr>
        <w:instrText>ADDIN CSL_CITATION {"citationItems":[{"id":"ITEM-1","itemData":{"DOI":"10.1056/NEJMoa1808082","ISSN":"0028-4793","author":[{"dropping-particle":"","family":"Reid","given":"Ian R.","non-dropping-particle":"","parse-names":false,"suffix":""},{"dropping-particle":"","family":"Horne","given":"Anne M.","non-dropping-particle":"","parse-names":false,"suffix":""},{"dropping-particle":"","family":"Mihov","given":"Borislav","non-dropping-particle":"","parse-names":false,"suffix":""},{"dropping-particle":"","family":"Stewart","given":"Angela","non-dropping-particle":"","parse-names":false,"suffix":""},{"dropping-particle":"","family":"Garratt","given":"Elizabeth","non-dropping-particle":"","parse-names":false,"suffix":""},{"dropping-particle":"","family":"Wong","given":"Sumwai","non-dropping-particle":"","parse-names":false,"suffix":""},{"dropping-particle":"","family":"Wiessing","given":"Katy R.","non-dropping-particle":"","parse-names":false,"suffix":""},{"dropping-particle":"","family":"Bolland","given":"Mark J.","non-dropping-particle":"","parse-names":false,"suffix":""},{"dropping-particle":"","family":"Bastin","given":"Sonja","non-dropping-particle":"","parse-names":false,"suffix":""},{"dropping-particle":"","family":"Gamble","given":"Gregory D.","non-dropping-particle":"","parse-names":false,"suffix":""}],"container-title":"New England Journal of Medicine","id":"ITEM-1","issue":"25","issued":{"date-parts":[["2018"]]},"page":"2407-2416","title":"Fracture prevention with zoledronate in older women with osteopenia","type":"article-journal","volume":"379"},"uris":["http://www.mendeley.com/documents/?uuid=69cbf6db-0dca-4f28-87bb-02a266b0d7ef"]}],"mendeley":{"formattedCitation":"&lt;sup&gt;&lt;sup&gt;21&lt;/sup&gt;&lt;/sup&gt;","plainTextFormattedCitation":"21","previouslyFormattedCitation":"&lt;sup&gt;&lt;sup&gt;21&lt;/sup&gt;&lt;/sup&gt;"},"properties":{"noteIndex":0},"schema":"https://github.com/citation-style-language/schema/raw/master/csl-citation.json"}</w:instrText>
      </w:r>
      <w:r w:rsidR="006C5B8C" w:rsidRPr="007B140B">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21</w:t>
      </w:r>
      <w:r w:rsidR="006C5B8C" w:rsidRPr="007B140B">
        <w:rPr>
          <w:rFonts w:ascii="Times New Roman" w:hAnsi="Times New Roman" w:cs="Times New Roman"/>
          <w:sz w:val="24"/>
          <w:szCs w:val="24"/>
          <w:lang w:val="en-US"/>
        </w:rPr>
        <w:fldChar w:fldCharType="end"/>
      </w:r>
      <w:r w:rsidR="009854BA" w:rsidRPr="007B140B">
        <w:rPr>
          <w:rFonts w:ascii="Times New Roman" w:hAnsi="Times New Roman" w:cs="Times New Roman"/>
          <w:sz w:val="24"/>
          <w:szCs w:val="24"/>
          <w:lang w:val="en-US"/>
        </w:rPr>
        <w:t xml:space="preserve"> A</w:t>
      </w:r>
      <w:r w:rsidR="00897CE1" w:rsidRPr="007B140B">
        <w:rPr>
          <w:rFonts w:ascii="Times New Roman" w:hAnsi="Times New Roman" w:cs="Times New Roman"/>
          <w:sz w:val="24"/>
          <w:szCs w:val="24"/>
          <w:lang w:val="en-US"/>
        </w:rPr>
        <w:t xml:space="preserve"> smaller trial </w:t>
      </w:r>
      <w:r w:rsidR="009854BA" w:rsidRPr="007B140B">
        <w:rPr>
          <w:rFonts w:ascii="Times New Roman" w:hAnsi="Times New Roman" w:cs="Times New Roman"/>
          <w:sz w:val="24"/>
          <w:szCs w:val="24"/>
          <w:lang w:val="en-US"/>
        </w:rPr>
        <w:t xml:space="preserve">also </w:t>
      </w:r>
      <w:r w:rsidR="00897CE1" w:rsidRPr="007B140B">
        <w:rPr>
          <w:rFonts w:ascii="Times New Roman" w:hAnsi="Times New Roman" w:cs="Times New Roman"/>
          <w:sz w:val="24"/>
          <w:szCs w:val="24"/>
          <w:lang w:val="en-US"/>
        </w:rPr>
        <w:t xml:space="preserve">demonstrated </w:t>
      </w:r>
      <w:r w:rsidR="008C0681" w:rsidRPr="007B140B">
        <w:rPr>
          <w:rFonts w:ascii="Times New Roman" w:hAnsi="Times New Roman" w:cs="Times New Roman"/>
          <w:sz w:val="24"/>
          <w:szCs w:val="24"/>
          <w:lang w:val="en-US"/>
        </w:rPr>
        <w:t>that the effect of zoledronic acid on</w:t>
      </w:r>
      <w:r w:rsidR="00897CE1" w:rsidRPr="007B140B">
        <w:rPr>
          <w:rFonts w:ascii="Times New Roman" w:hAnsi="Times New Roman" w:cs="Times New Roman"/>
          <w:sz w:val="24"/>
          <w:szCs w:val="24"/>
          <w:lang w:val="en-US"/>
        </w:rPr>
        <w:t xml:space="preserve"> bone mineral density peaks at least 24 months after an </w:t>
      </w:r>
      <w:r w:rsidR="00F53D77" w:rsidRPr="007B140B">
        <w:rPr>
          <w:rFonts w:ascii="Times New Roman" w:hAnsi="Times New Roman" w:cs="Times New Roman"/>
          <w:sz w:val="24"/>
          <w:szCs w:val="24"/>
          <w:lang w:val="en-US"/>
        </w:rPr>
        <w:t xml:space="preserve">initial </w:t>
      </w:r>
      <w:r w:rsidR="00897CE1" w:rsidRPr="007B140B">
        <w:rPr>
          <w:rFonts w:ascii="Times New Roman" w:hAnsi="Times New Roman" w:cs="Times New Roman"/>
          <w:sz w:val="24"/>
          <w:szCs w:val="24"/>
          <w:lang w:val="en-US"/>
        </w:rPr>
        <w:t>infusion</w:t>
      </w:r>
      <w:r w:rsidR="00553AEC" w:rsidRPr="007B140B">
        <w:rPr>
          <w:rFonts w:ascii="Times New Roman" w:hAnsi="Times New Roman" w:cs="Times New Roman"/>
          <w:sz w:val="24"/>
          <w:szCs w:val="24"/>
          <w:lang w:val="en-US"/>
        </w:rPr>
        <w:t>.</w:t>
      </w:r>
      <w:r w:rsidR="006C5B8C" w:rsidRPr="007B140B">
        <w:rPr>
          <w:rFonts w:ascii="Times New Roman" w:hAnsi="Times New Roman" w:cs="Times New Roman"/>
          <w:sz w:val="24"/>
          <w:szCs w:val="24"/>
          <w:lang w:val="en-US"/>
        </w:rPr>
        <w:fldChar w:fldCharType="begin" w:fldLock="1"/>
      </w:r>
      <w:r w:rsidR="00272560">
        <w:rPr>
          <w:rFonts w:ascii="Times New Roman" w:hAnsi="Times New Roman" w:cs="Times New Roman"/>
          <w:sz w:val="24"/>
          <w:szCs w:val="24"/>
          <w:lang w:val="en-US"/>
        </w:rPr>
        <w:instrText>ADDIN CSL_CITATION {"citationItems":[{"id":"ITEM-1","itemData":{"DOI":"10.1503/cmaj.161207","ISSN":"14882329","abstract":"Background: Intravenous zoledronate 5 mg annually reduces fracture risk, and 5 mg every 2 years prevents bone loss, but the optimal dosing regimens for these indications are uncertain. Methods: We conducted a 3-year open-label extension of a 2-year randomized, placebo-controlled, doubleblind study. Late postmenopausal women with osteopenia were assigned to receive a single baseline dose of 1 mg, 2.5 mg or 5 mg of zoledronate or placebo. The primary outcome was change in spine bone mineral density (BMD). Secondary outcomes were changes in hip BMD and serum markers of bone turnover. Results: The study involved 160 women. Zoledronate increased BMD and reduced markers of bone turnover in a dose-dependent manner. After 2 years, the 1-mg, 2.5-mg and 5-mg zoledronate doses increased spine BMD over placebo by 5.0% (95% confidence interval [CI] 3.0% to 7.0%), 5.7% (95% CI 3.7% to 7.7%) and 5.7% (95% CI 3.7% to 7.6%), respectively; after 5 years, the respective increases were 2.0% (95% CI-1.1% to 5.0%), 2.2% (95% CI-1.0% to 5.4%) and 5.1% (95% CI 2.2% to 8.1%). After 2 years, the 1-mg, 2.5-mg and 5-mg zoledronate doses increased total hip BMD over placebo by 2.6% (95% CI 1.3% to 3.9%), 4.1% (95% CI 2.9% to 5.4%) and 4.7% (95% CI 3.4% to 5.9%), respectively; after 5 years, the respective increases were 1.8% (95% CI-0.1% to 3.8%), 2.8% (95% CI 0.8% to 4.8%) and 5.4% (95% CI 3.5% to 7.3%). BMD remained above baseline values for 2-3 years in the 1-mg group, 3-4 years in the 2.5-mg group and at least 5 years in the 5-mg group. Interpretation: The antiresorptive activity of single zoledronate doses of 1-5 mg persist for at least 3 years in postmenopausal women with osteopenia. Clinical trials would be justified to evaluate the effects on fracture risk of less frequent or lower doses of zoledronate than are currently recommended. Trial registration: www.anzctr.org.au, no. ACTRN12607000576426.","author":[{"dropping-particle":"","family":"Grey","given":"Andrew","non-dropping-particle":"","parse-names":false,"suffix":""},{"dropping-particle":"","family":"Bolland","given":"Mark J.","non-dropping-particle":"","parse-names":false,"suffix":""},{"dropping-particle":"","family":"Horne","given":"Anne","non-dropping-particle":"","parse-names":false,"suffix":""},{"dropping-particle":"","family":"Mihov","given":"Borislav","non-dropping-particle":"","parse-names":false,"suffix":""},{"dropping-particle":"","family":"Gamble","given":"Greg","non-dropping-particle":"","parse-names":false,"suffix":""},{"dropping-particle":"","family":"Reid","given":"Ian R.","non-dropping-particle":"","parse-names":false,"suffix":""}],"container-title":"CMAJ","id":"ITEM-1","issue":"36","issued":{"date-parts":[["2017"]]},"page":"E1130-E1136","title":"Duration of antiresorptive activity of zoledronate in postmenopausal women with osteopenia: a randomized, controlled multidose trial","type":"article-journal","volume":"189"},"uris":["http://www.mendeley.com/documents/?uuid=d7f3fb82-d0b9-4d75-abf2-ae36209a8e4b"]}],"mendeley":{"formattedCitation":"&lt;sup&gt;&lt;sup&gt;41&lt;/sup&gt;&lt;/sup&gt;","plainTextFormattedCitation":"41","previouslyFormattedCitation":"&lt;sup&gt;&lt;sup&gt;41&lt;/sup&gt;&lt;/sup&gt;"},"properties":{"noteIndex":0},"schema":"https://github.com/citation-style-language/schema/raw/master/csl-citation.json"}</w:instrText>
      </w:r>
      <w:r w:rsidR="006C5B8C" w:rsidRPr="007B140B">
        <w:rPr>
          <w:rFonts w:ascii="Times New Roman" w:hAnsi="Times New Roman" w:cs="Times New Roman"/>
          <w:sz w:val="24"/>
          <w:szCs w:val="24"/>
          <w:lang w:val="en-US"/>
        </w:rPr>
        <w:fldChar w:fldCharType="separate"/>
      </w:r>
      <w:r w:rsidR="0081127D" w:rsidRPr="0081127D">
        <w:rPr>
          <w:rFonts w:ascii="Times New Roman" w:hAnsi="Times New Roman" w:cs="Times New Roman"/>
          <w:noProof/>
          <w:sz w:val="24"/>
          <w:szCs w:val="24"/>
          <w:vertAlign w:val="superscript"/>
          <w:lang w:val="en-US"/>
        </w:rPr>
        <w:t>41</w:t>
      </w:r>
      <w:r w:rsidR="006C5B8C" w:rsidRPr="007B140B">
        <w:rPr>
          <w:rFonts w:ascii="Times New Roman" w:hAnsi="Times New Roman" w:cs="Times New Roman"/>
          <w:sz w:val="24"/>
          <w:szCs w:val="24"/>
          <w:lang w:val="en-US"/>
        </w:rPr>
        <w:fldChar w:fldCharType="end"/>
      </w:r>
      <w:r w:rsidR="00897CE1" w:rsidRPr="007B140B">
        <w:rPr>
          <w:rFonts w:ascii="Times New Roman" w:hAnsi="Times New Roman" w:cs="Times New Roman"/>
          <w:sz w:val="24"/>
          <w:szCs w:val="24"/>
          <w:lang w:val="en-US"/>
        </w:rPr>
        <w:t xml:space="preserve"> </w:t>
      </w:r>
      <w:r w:rsidR="009854BA" w:rsidRPr="007B140B">
        <w:rPr>
          <w:rFonts w:ascii="Times New Roman" w:hAnsi="Times New Roman" w:cs="Times New Roman"/>
          <w:sz w:val="24"/>
          <w:szCs w:val="24"/>
          <w:lang w:val="en-US"/>
        </w:rPr>
        <w:t>Furthermore, a</w:t>
      </w:r>
      <w:r w:rsidR="00450989" w:rsidRPr="007B140B">
        <w:rPr>
          <w:rFonts w:ascii="Times New Roman" w:hAnsi="Times New Roman" w:cs="Times New Roman"/>
          <w:sz w:val="24"/>
          <w:szCs w:val="24"/>
          <w:lang w:val="en-US"/>
        </w:rPr>
        <w:t xml:space="preserve"> post-hoc analysis of two large clinical trials demonstrated </w:t>
      </w:r>
      <w:r w:rsidR="00CA4B66" w:rsidRPr="007B140B">
        <w:rPr>
          <w:rFonts w:ascii="Times New Roman" w:hAnsi="Times New Roman" w:cs="Times New Roman"/>
          <w:sz w:val="24"/>
          <w:szCs w:val="24"/>
          <w:lang w:val="en-US"/>
        </w:rPr>
        <w:t xml:space="preserve">similar </w:t>
      </w:r>
      <w:r w:rsidR="00450989" w:rsidRPr="007B140B">
        <w:rPr>
          <w:rFonts w:ascii="Times New Roman" w:hAnsi="Times New Roman" w:cs="Times New Roman"/>
          <w:sz w:val="24"/>
          <w:szCs w:val="24"/>
          <w:lang w:val="en-US"/>
        </w:rPr>
        <w:t xml:space="preserve">reductions in clinical fractures in </w:t>
      </w:r>
      <w:r w:rsidR="00CA4B66" w:rsidRPr="007B140B">
        <w:rPr>
          <w:rFonts w:ascii="Times New Roman" w:hAnsi="Times New Roman" w:cs="Times New Roman"/>
          <w:sz w:val="24"/>
          <w:szCs w:val="24"/>
          <w:lang w:val="en-US"/>
        </w:rPr>
        <w:t>patients who had receive</w:t>
      </w:r>
      <w:r w:rsidR="00F010B0" w:rsidRPr="007B140B">
        <w:rPr>
          <w:rFonts w:ascii="Times New Roman" w:hAnsi="Times New Roman" w:cs="Times New Roman"/>
          <w:sz w:val="24"/>
          <w:szCs w:val="24"/>
          <w:lang w:val="en-US"/>
        </w:rPr>
        <w:t>d</w:t>
      </w:r>
      <w:r w:rsidR="00CA4B66" w:rsidRPr="007B140B">
        <w:rPr>
          <w:rFonts w:ascii="Times New Roman" w:hAnsi="Times New Roman" w:cs="Times New Roman"/>
          <w:sz w:val="24"/>
          <w:szCs w:val="24"/>
          <w:lang w:val="en-US"/>
        </w:rPr>
        <w:t xml:space="preserve"> only 1 instead of 3 infusions of zoledronic acid</w:t>
      </w:r>
      <w:r w:rsidR="00450989" w:rsidRPr="007B140B">
        <w:rPr>
          <w:rFonts w:ascii="Times New Roman" w:hAnsi="Times New Roman" w:cs="Times New Roman"/>
          <w:sz w:val="24"/>
          <w:szCs w:val="24"/>
          <w:lang w:val="en-US"/>
        </w:rPr>
        <w:t>.</w:t>
      </w:r>
      <w:r w:rsidR="006C5B8C" w:rsidRPr="007B140B">
        <w:rPr>
          <w:rFonts w:ascii="Times New Roman" w:hAnsi="Times New Roman" w:cs="Times New Roman"/>
          <w:sz w:val="24"/>
          <w:szCs w:val="24"/>
          <w:lang w:val="en-US"/>
        </w:rPr>
        <w:fldChar w:fldCharType="begin" w:fldLock="1"/>
      </w:r>
      <w:r w:rsidR="00272560">
        <w:rPr>
          <w:rFonts w:ascii="Times New Roman" w:hAnsi="Times New Roman" w:cs="Times New Roman"/>
          <w:sz w:val="24"/>
          <w:szCs w:val="24"/>
          <w:lang w:val="en-US"/>
        </w:rPr>
        <w:instrText>ADDIN CSL_CITATION {"citationItems":[{"id":"ITEM-1","itemData":{"DOI":"10.1210/jc.2012-2868","ISSN":"0021972X","abstract":"Context: Annual infusions of zoledronic acid 5mg over 3 years have been shown to reduce fracture incidence. There isnowevidence that the effects of a single dose of zoledronic acid on bone mineral density and bone turnover last for much more than a year. Whether this is associated with sustained fracture prevention is not known. Objective: The objective of the study was to assess fracture incidence after only 1 infusion of zoledronic acid. Design: The design of the study included post hoc analysis of subgroups of subjects from 2 trials, who received only 1 study infusion. Setting: The study included multicenter, randomized controlled trials. Participants: A total of 1367 subjects from HORIZON-PFT and HORIZON-RFT studies who received only 1 of the planned annual infusions participated in the study. Intervention: The intervention of the study consisted of 1 infusion of zoledronic acid or placebo. Main Outcome Measure: Clinical fracture was the main outcome measure of the study. Results: Meanfollow-up period was 1.5 years. In patients who received only a single infusion, there was a 32% reduction in clinical fracture comparing zoledronic acid with placebo over 3 years of follow-up (95% confidence interval 2-53%, P = .04), comparable with the fracture reduction seen in those who had 3 or more annual infusions (34%; 95% confidence interval, 23-43%, P &lt; .0001). New morphometric vertebral fractures were reduced by 68% in the single-infusion group (P = .004). The between-group differences in total hip bone mineral density at 3 years were 3.8% in those receiving 1 infusion and 6.2% in those receiving 3 infusions. Conclusions: In this post hoc analysis based on postrandomization subgroups, fracture risk appears to be reduced for more than 1 year after a single infusion of zoledronic acid. Prospective studies designed to assess this possibility are now warranted. Copyright © 2013 by The Endocrine Society.","author":[{"dropping-particle":"","family":"Reid","given":"I. R.","non-dropping-particle":"","parse-names":false,"suffix":""},{"dropping-particle":"","family":"Black","given":"D. M.","non-dropping-particle":"","parse-names":false,"suffix":""},{"dropping-particle":"","family":"Eastell","given":"R.","non-dropping-particle":"","parse-names":false,"suffix":""},{"dropping-particle":"","family":"Bucci-Rechtweg","given":"C.","non-dropping-particle":"","parse-names":false,"suffix":""},{"dropping-particle":"","family":"Su","given":"G.","non-dropping-particle":"","parse-names":false,"suffix":""},{"dropping-particle":"","family":"Hue","given":"T. F.","non-dropping-particle":"","parse-names":false,"suffix":""},{"dropping-particle":"","family":"Mesenbrink","given":"P.","non-dropping-particle":"","parse-names":false,"suffix":""},{"dropping-particle":"","family":"Lyles","given":"K. W.","non-dropping-particle":"","parse-names":false,"suffix":""},{"dropping-particle":"","family":"Boonen","given":"S.","non-dropping-particle":"","parse-names":false,"suffix":""}],"container-title":"Journal of Clinical Endocrinology and Metabolism","id":"ITEM-1","issue":"2","issued":{"date-parts":[["2013"]]},"page":"557-563","title":"Reduction in the risk of clinical fractures after a single dose of zoledronic acid 5 milligrams","type":"article-journal","volume":"98"},"uris":["http://www.mendeley.com/documents/?uuid=0fdf0da0-e32b-4a17-9e4b-467c691f6d06"]}],"mendeley":{"formattedCitation":"&lt;sup&gt;&lt;sup&gt;42&lt;/sup&gt;&lt;/sup&gt;","plainTextFormattedCitation":"42","previouslyFormattedCitation":"&lt;sup&gt;&lt;sup&gt;42&lt;/sup&gt;&lt;/sup&gt;"},"properties":{"noteIndex":0},"schema":"https://github.com/citation-style-language/schema/raw/master/csl-citation.json"}</w:instrText>
      </w:r>
      <w:r w:rsidR="006C5B8C" w:rsidRPr="007B140B">
        <w:rPr>
          <w:rFonts w:ascii="Times New Roman" w:hAnsi="Times New Roman" w:cs="Times New Roman"/>
          <w:sz w:val="24"/>
          <w:szCs w:val="24"/>
          <w:lang w:val="en-US"/>
        </w:rPr>
        <w:fldChar w:fldCharType="separate"/>
      </w:r>
      <w:r w:rsidR="0081127D" w:rsidRPr="0081127D">
        <w:rPr>
          <w:rFonts w:ascii="Times New Roman" w:hAnsi="Times New Roman" w:cs="Times New Roman"/>
          <w:noProof/>
          <w:sz w:val="24"/>
          <w:szCs w:val="24"/>
          <w:vertAlign w:val="superscript"/>
          <w:lang w:val="en-US"/>
        </w:rPr>
        <w:t>42</w:t>
      </w:r>
      <w:r w:rsidR="006C5B8C" w:rsidRPr="007B140B">
        <w:rPr>
          <w:rFonts w:ascii="Times New Roman" w:hAnsi="Times New Roman" w:cs="Times New Roman"/>
          <w:sz w:val="24"/>
          <w:szCs w:val="24"/>
          <w:lang w:val="en-US"/>
        </w:rPr>
        <w:fldChar w:fldCharType="end"/>
      </w:r>
      <w:r w:rsidR="00450989" w:rsidRPr="007B140B">
        <w:rPr>
          <w:rFonts w:ascii="Times New Roman" w:hAnsi="Times New Roman" w:cs="Times New Roman"/>
          <w:sz w:val="24"/>
          <w:szCs w:val="24"/>
          <w:lang w:val="en-US"/>
        </w:rPr>
        <w:t xml:space="preserve"> </w:t>
      </w:r>
      <w:r w:rsidR="00897CE1" w:rsidRPr="007B140B">
        <w:rPr>
          <w:rFonts w:ascii="Times New Roman" w:hAnsi="Times New Roman" w:cs="Times New Roman"/>
          <w:sz w:val="24"/>
          <w:szCs w:val="24"/>
          <w:lang w:val="en-US"/>
        </w:rPr>
        <w:t>Based on these finding</w:t>
      </w:r>
      <w:r w:rsidR="00E278B9" w:rsidRPr="007B140B">
        <w:rPr>
          <w:rFonts w:ascii="Times New Roman" w:hAnsi="Times New Roman" w:cs="Times New Roman"/>
          <w:sz w:val="24"/>
          <w:szCs w:val="24"/>
          <w:lang w:val="en-US"/>
        </w:rPr>
        <w:t>s</w:t>
      </w:r>
      <w:r w:rsidR="00897CE1" w:rsidRPr="007B140B">
        <w:rPr>
          <w:rFonts w:ascii="Times New Roman" w:hAnsi="Times New Roman" w:cs="Times New Roman"/>
          <w:sz w:val="24"/>
          <w:szCs w:val="24"/>
          <w:lang w:val="en-US"/>
        </w:rPr>
        <w:t xml:space="preserve">, </w:t>
      </w:r>
      <w:r w:rsidR="008C0681" w:rsidRPr="007B140B">
        <w:rPr>
          <w:rFonts w:ascii="Times New Roman" w:hAnsi="Times New Roman" w:cs="Times New Roman"/>
          <w:sz w:val="24"/>
          <w:szCs w:val="24"/>
          <w:lang w:val="en-US"/>
        </w:rPr>
        <w:t xml:space="preserve">we expect </w:t>
      </w:r>
      <w:r w:rsidR="00897CE1" w:rsidRPr="007B140B">
        <w:rPr>
          <w:rFonts w:ascii="Times New Roman" w:hAnsi="Times New Roman" w:cs="Times New Roman"/>
          <w:sz w:val="24"/>
          <w:szCs w:val="24"/>
          <w:lang w:val="en-US"/>
        </w:rPr>
        <w:t>a 24</w:t>
      </w:r>
      <w:r w:rsidR="00131348" w:rsidRPr="007B140B">
        <w:rPr>
          <w:rFonts w:ascii="Times New Roman" w:hAnsi="Times New Roman" w:cs="Times New Roman"/>
          <w:sz w:val="24"/>
          <w:szCs w:val="24"/>
          <w:lang w:val="en-US"/>
        </w:rPr>
        <w:t xml:space="preserve">-month interval to </w:t>
      </w:r>
      <w:r w:rsidR="006A599D" w:rsidRPr="007B140B">
        <w:rPr>
          <w:rFonts w:ascii="Times New Roman" w:hAnsi="Times New Roman" w:cs="Times New Roman"/>
          <w:sz w:val="24"/>
          <w:szCs w:val="24"/>
          <w:lang w:val="en-US"/>
        </w:rPr>
        <w:t>be optimal</w:t>
      </w:r>
      <w:r w:rsidR="00897CE1" w:rsidRPr="007B140B">
        <w:rPr>
          <w:rFonts w:ascii="Times New Roman" w:hAnsi="Times New Roman" w:cs="Times New Roman"/>
          <w:sz w:val="24"/>
          <w:szCs w:val="24"/>
          <w:lang w:val="en-US"/>
        </w:rPr>
        <w:t>.</w:t>
      </w:r>
    </w:p>
    <w:p w14:paraId="71138F2B" w14:textId="30DC172B" w:rsidR="00233A0A" w:rsidRPr="007B140B" w:rsidRDefault="0031403D" w:rsidP="0083409E">
      <w:pPr>
        <w:rPr>
          <w:rFonts w:ascii="Times New Roman" w:hAnsi="Times New Roman" w:cs="Times New Roman"/>
          <w:iCs/>
          <w:color w:val="000000" w:themeColor="text1"/>
          <w:sz w:val="24"/>
          <w:szCs w:val="24"/>
          <w:lang w:val="en-US"/>
        </w:rPr>
      </w:pPr>
      <w:r w:rsidRPr="007B140B">
        <w:rPr>
          <w:rFonts w:ascii="Times New Roman" w:hAnsi="Times New Roman" w:cs="Times New Roman"/>
          <w:iCs/>
          <w:color w:val="000000" w:themeColor="text1"/>
          <w:sz w:val="24"/>
          <w:szCs w:val="24"/>
          <w:lang w:val="en-US"/>
        </w:rPr>
        <w:t xml:space="preserve">Zoledronic acid </w:t>
      </w:r>
      <w:r w:rsidR="00DC536D" w:rsidRPr="007B140B">
        <w:rPr>
          <w:rFonts w:ascii="Times New Roman" w:hAnsi="Times New Roman" w:cs="Times New Roman"/>
          <w:iCs/>
          <w:color w:val="000000" w:themeColor="text1"/>
          <w:sz w:val="24"/>
          <w:szCs w:val="24"/>
          <w:lang w:val="en-US"/>
        </w:rPr>
        <w:t xml:space="preserve">and placebo </w:t>
      </w:r>
      <w:r w:rsidR="00C53B52" w:rsidRPr="007B140B">
        <w:rPr>
          <w:rFonts w:ascii="Times New Roman" w:hAnsi="Times New Roman" w:cs="Times New Roman"/>
          <w:iCs/>
          <w:color w:val="000000" w:themeColor="text1"/>
          <w:sz w:val="24"/>
          <w:szCs w:val="24"/>
          <w:lang w:val="en-US"/>
        </w:rPr>
        <w:t>must be stored securely,</w:t>
      </w:r>
      <w:r w:rsidR="00F92230">
        <w:rPr>
          <w:rFonts w:ascii="Times New Roman" w:hAnsi="Times New Roman" w:cs="Times New Roman"/>
          <w:iCs/>
          <w:color w:val="000000" w:themeColor="text1"/>
          <w:sz w:val="24"/>
          <w:szCs w:val="24"/>
          <w:lang w:val="en-US"/>
        </w:rPr>
        <w:t xml:space="preserve"> meaning that it is</w:t>
      </w:r>
      <w:r w:rsidR="00C53B52" w:rsidRPr="007B140B">
        <w:rPr>
          <w:rFonts w:ascii="Times New Roman" w:hAnsi="Times New Roman" w:cs="Times New Roman"/>
          <w:iCs/>
          <w:color w:val="000000" w:themeColor="text1"/>
          <w:sz w:val="24"/>
          <w:szCs w:val="24"/>
          <w:lang w:val="en-US"/>
        </w:rPr>
        <w:t xml:space="preserve"> a</w:t>
      </w:r>
      <w:r w:rsidR="003517E1" w:rsidRPr="007B140B">
        <w:rPr>
          <w:rFonts w:ascii="Times New Roman" w:hAnsi="Times New Roman" w:cs="Times New Roman"/>
          <w:iCs/>
          <w:color w:val="000000" w:themeColor="text1"/>
          <w:sz w:val="24"/>
          <w:szCs w:val="24"/>
          <w:lang w:val="en-US"/>
        </w:rPr>
        <w:t>ccess</w:t>
      </w:r>
      <w:r w:rsidR="0089177B" w:rsidRPr="007B140B">
        <w:rPr>
          <w:rFonts w:ascii="Times New Roman" w:hAnsi="Times New Roman" w:cs="Times New Roman"/>
          <w:iCs/>
          <w:color w:val="000000" w:themeColor="text1"/>
          <w:sz w:val="24"/>
          <w:szCs w:val="24"/>
          <w:lang w:val="en-US"/>
        </w:rPr>
        <w:t>ible</w:t>
      </w:r>
      <w:r w:rsidR="003517E1" w:rsidRPr="007B140B">
        <w:rPr>
          <w:rFonts w:ascii="Times New Roman" w:hAnsi="Times New Roman" w:cs="Times New Roman"/>
          <w:iCs/>
          <w:color w:val="000000" w:themeColor="text1"/>
          <w:sz w:val="24"/>
          <w:szCs w:val="24"/>
          <w:lang w:val="en-US"/>
        </w:rPr>
        <w:t xml:space="preserve"> only to authorize</w:t>
      </w:r>
      <w:r w:rsidR="00792027">
        <w:rPr>
          <w:rFonts w:ascii="Times New Roman" w:hAnsi="Times New Roman" w:cs="Times New Roman"/>
          <w:iCs/>
          <w:color w:val="000000" w:themeColor="text1"/>
          <w:sz w:val="24"/>
          <w:szCs w:val="24"/>
          <w:lang w:val="en-US"/>
        </w:rPr>
        <w:t>d</w:t>
      </w:r>
      <w:r w:rsidR="003517E1" w:rsidRPr="007B140B">
        <w:rPr>
          <w:rFonts w:ascii="Times New Roman" w:hAnsi="Times New Roman" w:cs="Times New Roman"/>
          <w:iCs/>
          <w:color w:val="000000" w:themeColor="text1"/>
          <w:sz w:val="24"/>
          <w:szCs w:val="24"/>
          <w:lang w:val="en-US"/>
        </w:rPr>
        <w:t xml:space="preserve"> persons</w:t>
      </w:r>
      <w:r w:rsidR="00C53B52" w:rsidRPr="007B140B">
        <w:rPr>
          <w:rFonts w:ascii="Times New Roman" w:hAnsi="Times New Roman" w:cs="Times New Roman"/>
          <w:iCs/>
          <w:color w:val="000000" w:themeColor="text1"/>
          <w:sz w:val="24"/>
          <w:szCs w:val="24"/>
          <w:lang w:val="en-US"/>
        </w:rPr>
        <w:t xml:space="preserve"> and </w:t>
      </w:r>
      <w:r w:rsidR="00F92230">
        <w:rPr>
          <w:rFonts w:ascii="Times New Roman" w:hAnsi="Times New Roman" w:cs="Times New Roman"/>
          <w:iCs/>
          <w:color w:val="000000" w:themeColor="text1"/>
          <w:sz w:val="24"/>
          <w:szCs w:val="24"/>
          <w:lang w:val="en-US"/>
        </w:rPr>
        <w:t xml:space="preserve">that it is kept </w:t>
      </w:r>
      <w:r w:rsidRPr="007B140B">
        <w:rPr>
          <w:rFonts w:ascii="Times New Roman" w:hAnsi="Times New Roman" w:cs="Times New Roman"/>
          <w:iCs/>
          <w:color w:val="000000" w:themeColor="text1"/>
          <w:sz w:val="24"/>
          <w:szCs w:val="24"/>
          <w:lang w:val="en-US"/>
        </w:rPr>
        <w:t>in</w:t>
      </w:r>
      <w:r w:rsidR="00C53B52" w:rsidRPr="007B140B">
        <w:rPr>
          <w:rFonts w:ascii="Times New Roman" w:hAnsi="Times New Roman" w:cs="Times New Roman"/>
          <w:iCs/>
          <w:color w:val="000000" w:themeColor="text1"/>
          <w:sz w:val="24"/>
          <w:szCs w:val="24"/>
          <w:lang w:val="en-US"/>
        </w:rPr>
        <w:t xml:space="preserve"> </w:t>
      </w:r>
      <w:r w:rsidR="00553AEC" w:rsidRPr="007B140B">
        <w:rPr>
          <w:rFonts w:ascii="Times New Roman" w:hAnsi="Times New Roman" w:cs="Times New Roman"/>
          <w:iCs/>
          <w:color w:val="000000" w:themeColor="text1"/>
          <w:sz w:val="24"/>
          <w:szCs w:val="24"/>
          <w:lang w:val="en-US"/>
        </w:rPr>
        <w:t xml:space="preserve">the </w:t>
      </w:r>
      <w:r w:rsidR="00C53B52" w:rsidRPr="007B140B">
        <w:rPr>
          <w:rFonts w:ascii="Times New Roman" w:hAnsi="Times New Roman" w:cs="Times New Roman"/>
          <w:iCs/>
          <w:color w:val="000000" w:themeColor="text1"/>
          <w:sz w:val="24"/>
          <w:szCs w:val="24"/>
          <w:lang w:val="en-US"/>
        </w:rPr>
        <w:t xml:space="preserve">conditions specified in the </w:t>
      </w:r>
      <w:r w:rsidR="00CF75DB" w:rsidRPr="007B140B">
        <w:rPr>
          <w:rFonts w:ascii="Times New Roman" w:hAnsi="Times New Roman" w:cs="Times New Roman"/>
          <w:iCs/>
          <w:color w:val="000000" w:themeColor="text1"/>
          <w:sz w:val="24"/>
          <w:szCs w:val="24"/>
          <w:lang w:val="en-US"/>
        </w:rPr>
        <w:t>Summary of Product Characteristics</w:t>
      </w:r>
      <w:r w:rsidR="00603E33">
        <w:rPr>
          <w:rFonts w:ascii="Times New Roman" w:hAnsi="Times New Roman" w:cs="Times New Roman"/>
          <w:iCs/>
          <w:color w:val="000000" w:themeColor="text1"/>
          <w:sz w:val="24"/>
          <w:szCs w:val="24"/>
          <w:lang w:val="en-US"/>
        </w:rPr>
        <w:t>.</w:t>
      </w:r>
      <w:r w:rsidR="00FB0A24" w:rsidRPr="007B140B">
        <w:rPr>
          <w:rFonts w:ascii="Times New Roman" w:hAnsi="Times New Roman" w:cs="Times New Roman"/>
          <w:iCs/>
          <w:color w:val="000000" w:themeColor="text1"/>
          <w:sz w:val="24"/>
          <w:szCs w:val="24"/>
          <w:lang w:val="en-US"/>
        </w:rPr>
        <w:t xml:space="preserve"> </w:t>
      </w:r>
      <w:r w:rsidR="00C53B52" w:rsidRPr="007B140B">
        <w:rPr>
          <w:rFonts w:ascii="Times New Roman" w:hAnsi="Times New Roman" w:cs="Times New Roman"/>
          <w:iCs/>
          <w:color w:val="000000" w:themeColor="text1"/>
          <w:sz w:val="24"/>
          <w:szCs w:val="24"/>
          <w:lang w:val="en-US"/>
        </w:rPr>
        <w:t xml:space="preserve">The drugs may </w:t>
      </w:r>
      <w:r w:rsidR="00553AEC" w:rsidRPr="007B140B">
        <w:rPr>
          <w:rFonts w:ascii="Times New Roman" w:hAnsi="Times New Roman" w:cs="Times New Roman"/>
          <w:iCs/>
          <w:color w:val="000000" w:themeColor="text1"/>
          <w:sz w:val="24"/>
          <w:szCs w:val="24"/>
          <w:lang w:val="en-US"/>
        </w:rPr>
        <w:t xml:space="preserve">only </w:t>
      </w:r>
      <w:r w:rsidR="00C53B52" w:rsidRPr="007B140B">
        <w:rPr>
          <w:rFonts w:ascii="Times New Roman" w:hAnsi="Times New Roman" w:cs="Times New Roman"/>
          <w:iCs/>
          <w:color w:val="000000" w:themeColor="text1"/>
          <w:sz w:val="24"/>
          <w:szCs w:val="24"/>
          <w:lang w:val="en-US"/>
        </w:rPr>
        <w:t xml:space="preserve">be used for the purposes specified </w:t>
      </w:r>
      <w:r w:rsidR="00CF32D0" w:rsidRPr="007B140B">
        <w:rPr>
          <w:rFonts w:ascii="Times New Roman" w:hAnsi="Times New Roman" w:cs="Times New Roman"/>
          <w:iCs/>
          <w:color w:val="000000" w:themeColor="text1"/>
          <w:sz w:val="24"/>
          <w:szCs w:val="24"/>
          <w:lang w:val="en-US"/>
        </w:rPr>
        <w:t>in</w:t>
      </w:r>
      <w:r w:rsidR="00C53B52" w:rsidRPr="007B140B">
        <w:rPr>
          <w:rFonts w:ascii="Times New Roman" w:hAnsi="Times New Roman" w:cs="Times New Roman"/>
          <w:iCs/>
          <w:color w:val="000000" w:themeColor="text1"/>
          <w:sz w:val="24"/>
          <w:szCs w:val="24"/>
          <w:lang w:val="en-US"/>
        </w:rPr>
        <w:t xml:space="preserve"> this protocol. </w:t>
      </w:r>
      <w:r w:rsidR="00CB1665" w:rsidRPr="007B140B">
        <w:rPr>
          <w:rFonts w:ascii="Times New Roman" w:hAnsi="Times New Roman" w:cs="Times New Roman"/>
          <w:iCs/>
          <w:color w:val="000000" w:themeColor="text1"/>
          <w:sz w:val="24"/>
          <w:szCs w:val="24"/>
          <w:lang w:val="en-US"/>
        </w:rPr>
        <w:t>At the end of the study, a</w:t>
      </w:r>
      <w:r w:rsidR="0083409E" w:rsidRPr="007B140B">
        <w:rPr>
          <w:rFonts w:ascii="Times New Roman" w:hAnsi="Times New Roman" w:cs="Times New Roman"/>
          <w:sz w:val="24"/>
          <w:szCs w:val="24"/>
          <w:lang w:val="en-US"/>
        </w:rPr>
        <w:t xml:space="preserve">ny remaining products will be </w:t>
      </w:r>
      <w:r w:rsidR="00CB1665" w:rsidRPr="007B140B">
        <w:rPr>
          <w:rFonts w:ascii="Times New Roman" w:hAnsi="Times New Roman" w:cs="Times New Roman"/>
          <w:sz w:val="24"/>
          <w:szCs w:val="24"/>
          <w:lang w:val="en-US"/>
        </w:rPr>
        <w:t xml:space="preserve">handed over to pharmacies for </w:t>
      </w:r>
      <w:r w:rsidR="0083409E" w:rsidRPr="007B140B">
        <w:rPr>
          <w:rFonts w:ascii="Times New Roman" w:hAnsi="Times New Roman" w:cs="Times New Roman"/>
          <w:iCs/>
          <w:color w:val="000000" w:themeColor="text1"/>
          <w:sz w:val="24"/>
          <w:szCs w:val="24"/>
          <w:lang w:val="en-US"/>
        </w:rPr>
        <w:t>destr</w:t>
      </w:r>
      <w:r w:rsidR="00CB1665" w:rsidRPr="007B140B">
        <w:rPr>
          <w:rFonts w:ascii="Times New Roman" w:hAnsi="Times New Roman" w:cs="Times New Roman"/>
          <w:iCs/>
          <w:color w:val="000000" w:themeColor="text1"/>
          <w:sz w:val="24"/>
          <w:szCs w:val="24"/>
          <w:lang w:val="en-US"/>
        </w:rPr>
        <w:t>uction</w:t>
      </w:r>
      <w:r w:rsidR="0083409E" w:rsidRPr="007B140B">
        <w:rPr>
          <w:rFonts w:ascii="Times New Roman" w:hAnsi="Times New Roman" w:cs="Times New Roman"/>
          <w:iCs/>
          <w:color w:val="000000" w:themeColor="text1"/>
          <w:sz w:val="24"/>
          <w:szCs w:val="24"/>
          <w:lang w:val="en-US"/>
        </w:rPr>
        <w:t>.</w:t>
      </w:r>
      <w:r w:rsidR="003230B5" w:rsidRPr="007B140B">
        <w:rPr>
          <w:rFonts w:ascii="Times New Roman" w:hAnsi="Times New Roman" w:cs="Times New Roman"/>
          <w:iCs/>
          <w:color w:val="000000" w:themeColor="text1"/>
          <w:sz w:val="24"/>
          <w:szCs w:val="24"/>
          <w:lang w:val="en-US"/>
        </w:rPr>
        <w:t xml:space="preserve"> A </w:t>
      </w:r>
      <w:r w:rsidR="008778AE">
        <w:rPr>
          <w:rFonts w:ascii="Times New Roman" w:hAnsi="Times New Roman" w:cs="Times New Roman"/>
          <w:iCs/>
          <w:color w:val="000000" w:themeColor="text1"/>
          <w:sz w:val="24"/>
          <w:szCs w:val="24"/>
          <w:lang w:val="en-US"/>
        </w:rPr>
        <w:t>D</w:t>
      </w:r>
      <w:r w:rsidR="003230B5" w:rsidRPr="007B140B">
        <w:rPr>
          <w:rFonts w:ascii="Times New Roman" w:hAnsi="Times New Roman" w:cs="Times New Roman"/>
          <w:iCs/>
          <w:color w:val="000000" w:themeColor="text1"/>
          <w:sz w:val="24"/>
          <w:szCs w:val="24"/>
          <w:lang w:val="en-US"/>
        </w:rPr>
        <w:t xml:space="preserve">rug </w:t>
      </w:r>
      <w:r w:rsidR="008778AE">
        <w:rPr>
          <w:rFonts w:ascii="Times New Roman" w:hAnsi="Times New Roman" w:cs="Times New Roman"/>
          <w:iCs/>
          <w:color w:val="000000" w:themeColor="text1"/>
          <w:sz w:val="24"/>
          <w:szCs w:val="24"/>
          <w:lang w:val="en-US"/>
        </w:rPr>
        <w:t>A</w:t>
      </w:r>
      <w:r w:rsidR="003230B5" w:rsidRPr="007B140B">
        <w:rPr>
          <w:rFonts w:ascii="Times New Roman" w:hAnsi="Times New Roman" w:cs="Times New Roman"/>
          <w:iCs/>
          <w:color w:val="000000" w:themeColor="text1"/>
          <w:sz w:val="24"/>
          <w:szCs w:val="24"/>
          <w:lang w:val="en-US"/>
        </w:rPr>
        <w:t xml:space="preserve">ccountability </w:t>
      </w:r>
      <w:r w:rsidR="008778AE">
        <w:rPr>
          <w:rFonts w:ascii="Times New Roman" w:hAnsi="Times New Roman" w:cs="Times New Roman"/>
          <w:iCs/>
          <w:color w:val="000000" w:themeColor="text1"/>
          <w:sz w:val="24"/>
          <w:szCs w:val="24"/>
          <w:lang w:val="en-US"/>
        </w:rPr>
        <w:t>L</w:t>
      </w:r>
      <w:r w:rsidR="003230B5" w:rsidRPr="007B140B">
        <w:rPr>
          <w:rFonts w:ascii="Times New Roman" w:hAnsi="Times New Roman" w:cs="Times New Roman"/>
          <w:iCs/>
          <w:color w:val="000000" w:themeColor="text1"/>
          <w:sz w:val="24"/>
          <w:szCs w:val="24"/>
          <w:lang w:val="en-US"/>
        </w:rPr>
        <w:t xml:space="preserve">og will be used to follow the pathway of the study medications </w:t>
      </w:r>
      <w:r w:rsidR="00F92230">
        <w:rPr>
          <w:rFonts w:ascii="Times New Roman" w:hAnsi="Times New Roman" w:cs="Times New Roman"/>
          <w:iCs/>
          <w:color w:val="000000" w:themeColor="text1"/>
          <w:sz w:val="24"/>
          <w:szCs w:val="24"/>
          <w:lang w:val="en-US"/>
        </w:rPr>
        <w:t>throughout</w:t>
      </w:r>
      <w:r w:rsidR="00F92230" w:rsidRPr="007B140B">
        <w:rPr>
          <w:rFonts w:ascii="Times New Roman" w:hAnsi="Times New Roman" w:cs="Times New Roman"/>
          <w:iCs/>
          <w:color w:val="000000" w:themeColor="text1"/>
          <w:sz w:val="24"/>
          <w:szCs w:val="24"/>
          <w:lang w:val="en-US"/>
        </w:rPr>
        <w:t xml:space="preserve"> </w:t>
      </w:r>
      <w:r w:rsidR="003230B5" w:rsidRPr="007B140B">
        <w:rPr>
          <w:rFonts w:ascii="Times New Roman" w:hAnsi="Times New Roman" w:cs="Times New Roman"/>
          <w:iCs/>
          <w:color w:val="000000" w:themeColor="text1"/>
          <w:sz w:val="24"/>
          <w:szCs w:val="24"/>
          <w:lang w:val="en-US"/>
        </w:rPr>
        <w:t>the study</w:t>
      </w:r>
      <w:r w:rsidR="00E11022" w:rsidRPr="007B140B">
        <w:rPr>
          <w:rFonts w:ascii="Times New Roman" w:hAnsi="Times New Roman" w:cs="Times New Roman"/>
          <w:iCs/>
          <w:color w:val="000000" w:themeColor="text1"/>
          <w:sz w:val="24"/>
          <w:szCs w:val="24"/>
          <w:lang w:val="en-US"/>
        </w:rPr>
        <w:t>.</w:t>
      </w:r>
    </w:p>
    <w:p w14:paraId="7B0B3476" w14:textId="1F20F03B" w:rsidR="00986AB8" w:rsidRPr="007B140B" w:rsidRDefault="00986AB8" w:rsidP="0083409E">
      <w:pPr>
        <w:rPr>
          <w:rFonts w:ascii="Times New Roman" w:hAnsi="Times New Roman" w:cs="Times New Roman"/>
          <w:sz w:val="24"/>
          <w:szCs w:val="24"/>
          <w:lang w:val="en-US"/>
        </w:rPr>
      </w:pPr>
    </w:p>
    <w:p w14:paraId="4DACCC71" w14:textId="2E17D95C" w:rsidR="00986AB8" w:rsidRPr="007B140B" w:rsidRDefault="00986AB8" w:rsidP="00D36611">
      <w:pPr>
        <w:pStyle w:val="Formatmall3"/>
        <w:rPr>
          <w:rFonts w:cs="Times New Roman"/>
          <w:lang w:val="en-US"/>
        </w:rPr>
      </w:pPr>
      <w:bookmarkStart w:id="32" w:name="_Toc99001404"/>
      <w:r w:rsidRPr="007B140B">
        <w:rPr>
          <w:rFonts w:cs="Times New Roman"/>
          <w:lang w:val="en-US"/>
        </w:rPr>
        <w:t xml:space="preserve">Discontinuation of </w:t>
      </w:r>
      <w:r w:rsidR="00C351E5" w:rsidRPr="007B140B">
        <w:rPr>
          <w:rFonts w:cs="Times New Roman"/>
          <w:lang w:val="en-US"/>
        </w:rPr>
        <w:t>treatment</w:t>
      </w:r>
      <w:bookmarkEnd w:id="32"/>
    </w:p>
    <w:p w14:paraId="630C12BF" w14:textId="06719A53" w:rsidR="00DC687C" w:rsidRPr="007B140B" w:rsidRDefault="00F92230" w:rsidP="0083409E">
      <w:pPr>
        <w:rPr>
          <w:rFonts w:ascii="Times New Roman" w:hAnsi="Times New Roman" w:cs="Times New Roman"/>
          <w:sz w:val="24"/>
          <w:szCs w:val="24"/>
          <w:lang w:val="en-US"/>
        </w:rPr>
      </w:pPr>
      <w:r>
        <w:rPr>
          <w:rFonts w:ascii="Times New Roman" w:hAnsi="Times New Roman" w:cs="Times New Roman"/>
          <w:sz w:val="24"/>
          <w:szCs w:val="24"/>
          <w:lang w:val="en-US"/>
        </w:rPr>
        <w:t>The i</w:t>
      </w:r>
      <w:r w:rsidR="00C351E5" w:rsidRPr="007B140B">
        <w:rPr>
          <w:rFonts w:ascii="Times New Roman" w:hAnsi="Times New Roman" w:cs="Times New Roman"/>
          <w:sz w:val="24"/>
          <w:szCs w:val="24"/>
          <w:lang w:val="en-US"/>
        </w:rPr>
        <w:t>nvestigator</w:t>
      </w:r>
      <w:r w:rsidR="00A6465F" w:rsidRPr="007B140B">
        <w:rPr>
          <w:rFonts w:ascii="Times New Roman" w:hAnsi="Times New Roman" w:cs="Times New Roman"/>
          <w:sz w:val="24"/>
          <w:szCs w:val="24"/>
          <w:lang w:val="en-US"/>
        </w:rPr>
        <w:t>s</w:t>
      </w:r>
      <w:r w:rsidR="00C351E5" w:rsidRPr="007B140B">
        <w:rPr>
          <w:rFonts w:ascii="Times New Roman" w:hAnsi="Times New Roman" w:cs="Times New Roman"/>
          <w:sz w:val="24"/>
          <w:szCs w:val="24"/>
          <w:lang w:val="en-US"/>
        </w:rPr>
        <w:t xml:space="preserve"> and t</w:t>
      </w:r>
      <w:r w:rsidR="007E162A" w:rsidRPr="007B140B">
        <w:rPr>
          <w:rFonts w:ascii="Times New Roman" w:hAnsi="Times New Roman" w:cs="Times New Roman"/>
          <w:sz w:val="24"/>
          <w:szCs w:val="24"/>
          <w:lang w:val="en-US"/>
        </w:rPr>
        <w:t xml:space="preserve">he sponsor </w:t>
      </w:r>
      <w:r w:rsidR="0083409E" w:rsidRPr="007B140B">
        <w:rPr>
          <w:rFonts w:ascii="Times New Roman" w:hAnsi="Times New Roman" w:cs="Times New Roman"/>
          <w:sz w:val="24"/>
          <w:szCs w:val="24"/>
          <w:lang w:val="en-US"/>
        </w:rPr>
        <w:t xml:space="preserve">can at any time decide that a </w:t>
      </w:r>
      <w:r w:rsidR="000A4C50" w:rsidRPr="007B140B">
        <w:rPr>
          <w:rFonts w:ascii="Times New Roman" w:hAnsi="Times New Roman" w:cs="Times New Roman"/>
          <w:sz w:val="24"/>
          <w:szCs w:val="24"/>
          <w:lang w:val="en-US"/>
        </w:rPr>
        <w:t>participant</w:t>
      </w:r>
      <w:r w:rsidR="0083409E" w:rsidRPr="007B140B">
        <w:rPr>
          <w:rFonts w:ascii="Times New Roman" w:hAnsi="Times New Roman" w:cs="Times New Roman"/>
          <w:sz w:val="24"/>
          <w:szCs w:val="24"/>
          <w:lang w:val="en-US"/>
        </w:rPr>
        <w:t xml:space="preserve"> should not </w:t>
      </w:r>
      <w:r w:rsidR="00691563">
        <w:rPr>
          <w:rFonts w:ascii="Times New Roman" w:hAnsi="Times New Roman" w:cs="Times New Roman"/>
          <w:sz w:val="24"/>
          <w:szCs w:val="24"/>
          <w:lang w:val="en-US"/>
        </w:rPr>
        <w:t>receive</w:t>
      </w:r>
      <w:r w:rsidR="00691563" w:rsidRPr="007B140B">
        <w:rPr>
          <w:rFonts w:ascii="Times New Roman" w:hAnsi="Times New Roman" w:cs="Times New Roman"/>
          <w:sz w:val="24"/>
          <w:szCs w:val="24"/>
          <w:lang w:val="en-US"/>
        </w:rPr>
        <w:t xml:space="preserve"> </w:t>
      </w:r>
      <w:r w:rsidR="0083409E" w:rsidRPr="007B140B">
        <w:rPr>
          <w:rFonts w:ascii="Times New Roman" w:hAnsi="Times New Roman" w:cs="Times New Roman"/>
          <w:sz w:val="24"/>
          <w:szCs w:val="24"/>
          <w:lang w:val="en-US"/>
        </w:rPr>
        <w:t>t</w:t>
      </w:r>
      <w:r w:rsidR="00F26988" w:rsidRPr="007B140B">
        <w:rPr>
          <w:rFonts w:ascii="Times New Roman" w:hAnsi="Times New Roman" w:cs="Times New Roman"/>
          <w:sz w:val="24"/>
          <w:szCs w:val="24"/>
          <w:lang w:val="en-US"/>
        </w:rPr>
        <w:t xml:space="preserve">he second infusion </w:t>
      </w:r>
      <w:r w:rsidR="0083409E" w:rsidRPr="007B140B">
        <w:rPr>
          <w:rFonts w:ascii="Times New Roman" w:hAnsi="Times New Roman" w:cs="Times New Roman"/>
          <w:sz w:val="24"/>
          <w:szCs w:val="24"/>
          <w:lang w:val="en-US"/>
        </w:rPr>
        <w:t xml:space="preserve">due </w:t>
      </w:r>
      <w:r w:rsidR="008200A7" w:rsidRPr="007B140B">
        <w:rPr>
          <w:rFonts w:ascii="Times New Roman" w:hAnsi="Times New Roman" w:cs="Times New Roman"/>
          <w:sz w:val="24"/>
          <w:szCs w:val="24"/>
          <w:lang w:val="en-US"/>
        </w:rPr>
        <w:t>to, for example</w:t>
      </w:r>
      <w:r w:rsidR="000A4C50" w:rsidRPr="007B140B">
        <w:rPr>
          <w:rFonts w:ascii="Times New Roman" w:hAnsi="Times New Roman" w:cs="Times New Roman"/>
          <w:sz w:val="24"/>
          <w:szCs w:val="24"/>
          <w:lang w:val="en-US"/>
        </w:rPr>
        <w:t xml:space="preserve">, adverse events. </w:t>
      </w:r>
      <w:r w:rsidR="00DC687C" w:rsidRPr="007B140B">
        <w:rPr>
          <w:rFonts w:ascii="Times New Roman" w:hAnsi="Times New Roman" w:cs="Times New Roman"/>
          <w:sz w:val="24"/>
          <w:szCs w:val="24"/>
          <w:lang w:val="en-US"/>
        </w:rPr>
        <w:t xml:space="preserve">A </w:t>
      </w:r>
      <w:r w:rsidR="00887ABD" w:rsidRPr="007B140B">
        <w:rPr>
          <w:rFonts w:ascii="Times New Roman" w:hAnsi="Times New Roman" w:cs="Times New Roman"/>
          <w:sz w:val="24"/>
          <w:szCs w:val="24"/>
          <w:lang w:val="en-US"/>
        </w:rPr>
        <w:t>participant</w:t>
      </w:r>
      <w:r w:rsidR="00DC687C" w:rsidRPr="007B140B">
        <w:rPr>
          <w:rFonts w:ascii="Times New Roman" w:hAnsi="Times New Roman" w:cs="Times New Roman"/>
          <w:sz w:val="24"/>
          <w:szCs w:val="24"/>
          <w:lang w:val="en-US"/>
        </w:rPr>
        <w:t xml:space="preserve"> will be </w:t>
      </w:r>
      <w:r>
        <w:rPr>
          <w:rFonts w:ascii="Times New Roman" w:hAnsi="Times New Roman" w:cs="Times New Roman"/>
          <w:sz w:val="24"/>
          <w:szCs w:val="24"/>
          <w:lang w:val="en-US"/>
        </w:rPr>
        <w:t xml:space="preserve">automatically </w:t>
      </w:r>
      <w:r w:rsidR="00DC687C" w:rsidRPr="007B140B">
        <w:rPr>
          <w:rFonts w:ascii="Times New Roman" w:hAnsi="Times New Roman" w:cs="Times New Roman"/>
          <w:sz w:val="24"/>
          <w:szCs w:val="24"/>
          <w:lang w:val="en-US"/>
        </w:rPr>
        <w:t>disqualified from receiving the second infusion if any one of the following criteria is met:</w:t>
      </w:r>
    </w:p>
    <w:p w14:paraId="3ED6C99E" w14:textId="144F6168" w:rsidR="00DC687C" w:rsidRPr="007B140B" w:rsidRDefault="00D333C6" w:rsidP="00DC687C">
      <w:pPr>
        <w:pStyle w:val="Liststycke"/>
        <w:numPr>
          <w:ilvl w:val="0"/>
          <w:numId w:val="21"/>
        </w:numPr>
        <w:rPr>
          <w:rFonts w:ascii="Times New Roman" w:hAnsi="Times New Roman" w:cs="Times New Roman"/>
          <w:sz w:val="24"/>
          <w:szCs w:val="24"/>
          <w:lang w:val="en-US"/>
        </w:rPr>
      </w:pPr>
      <w:r>
        <w:rPr>
          <w:rFonts w:ascii="Times New Roman" w:hAnsi="Times New Roman" w:cs="Times New Roman"/>
          <w:sz w:val="24"/>
          <w:szCs w:val="24"/>
          <w:lang w:val="en-US"/>
        </w:rPr>
        <w:t>Wis</w:t>
      </w:r>
      <w:r w:rsidR="00E63251">
        <w:rPr>
          <w:rFonts w:ascii="Times New Roman" w:hAnsi="Times New Roman" w:cs="Times New Roman"/>
          <w:sz w:val="24"/>
          <w:szCs w:val="24"/>
          <w:lang w:val="en-US"/>
        </w:rPr>
        <w:t xml:space="preserve">h of </w:t>
      </w:r>
      <w:r w:rsidR="00DC687C" w:rsidRPr="007B140B">
        <w:rPr>
          <w:rFonts w:ascii="Times New Roman" w:hAnsi="Times New Roman" w:cs="Times New Roman"/>
          <w:sz w:val="24"/>
          <w:szCs w:val="24"/>
          <w:lang w:val="en-US"/>
        </w:rPr>
        <w:t>participant</w:t>
      </w:r>
    </w:p>
    <w:p w14:paraId="27B30C1D" w14:textId="1BAF3AB9" w:rsidR="00DC687C" w:rsidRPr="007B140B" w:rsidRDefault="0099024B" w:rsidP="00DC687C">
      <w:pPr>
        <w:pStyle w:val="Liststycke"/>
        <w:numPr>
          <w:ilvl w:val="0"/>
          <w:numId w:val="21"/>
        </w:numPr>
        <w:rPr>
          <w:rFonts w:ascii="Times New Roman" w:hAnsi="Times New Roman" w:cs="Times New Roman"/>
          <w:sz w:val="24"/>
          <w:szCs w:val="24"/>
          <w:lang w:val="en-US"/>
        </w:rPr>
      </w:pPr>
      <w:r>
        <w:rPr>
          <w:rFonts w:ascii="Times New Roman" w:hAnsi="Times New Roman" w:cs="Times New Roman"/>
          <w:sz w:val="24"/>
          <w:szCs w:val="24"/>
          <w:lang w:val="en-US"/>
        </w:rPr>
        <w:t xml:space="preserve">Decision of </w:t>
      </w:r>
      <w:r w:rsidRPr="007B140B">
        <w:rPr>
          <w:rFonts w:ascii="Times New Roman" w:hAnsi="Times New Roman" w:cs="Times New Roman"/>
          <w:sz w:val="24"/>
          <w:szCs w:val="24"/>
          <w:lang w:val="en-US"/>
        </w:rPr>
        <w:t>sponsor</w:t>
      </w:r>
      <w:r>
        <w:rPr>
          <w:rFonts w:ascii="Times New Roman" w:hAnsi="Times New Roman" w:cs="Times New Roman"/>
          <w:sz w:val="24"/>
          <w:szCs w:val="24"/>
          <w:lang w:val="en-US"/>
        </w:rPr>
        <w:t>/principal investigator due to a</w:t>
      </w:r>
      <w:r w:rsidR="00D333C6">
        <w:rPr>
          <w:rFonts w:ascii="Times New Roman" w:hAnsi="Times New Roman" w:cs="Times New Roman"/>
          <w:sz w:val="24"/>
          <w:szCs w:val="24"/>
          <w:lang w:val="en-US"/>
        </w:rPr>
        <w:t>dverse event</w:t>
      </w:r>
    </w:p>
    <w:p w14:paraId="53FAF16C" w14:textId="1C3BE90A" w:rsidR="00DC687C" w:rsidRPr="007B140B" w:rsidRDefault="00DC687C" w:rsidP="00DC687C">
      <w:pPr>
        <w:pStyle w:val="Liststycke"/>
        <w:numPr>
          <w:ilvl w:val="0"/>
          <w:numId w:val="21"/>
        </w:numPr>
        <w:autoSpaceDE w:val="0"/>
        <w:autoSpaceDN w:val="0"/>
        <w:adjustRightInd w:val="0"/>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Initiation of </w:t>
      </w:r>
      <w:r w:rsidR="00767CB3" w:rsidRPr="007B140B">
        <w:rPr>
          <w:rFonts w:ascii="Times New Roman" w:hAnsi="Times New Roman" w:cs="Times New Roman"/>
          <w:sz w:val="24"/>
          <w:szCs w:val="24"/>
          <w:lang w:val="en-US"/>
        </w:rPr>
        <w:t>bone-protective</w:t>
      </w:r>
      <w:r w:rsidRPr="007B140B">
        <w:rPr>
          <w:rFonts w:ascii="Times New Roman" w:hAnsi="Times New Roman" w:cs="Times New Roman"/>
          <w:sz w:val="24"/>
          <w:szCs w:val="24"/>
          <w:lang w:val="en-US"/>
        </w:rPr>
        <w:t xml:space="preserve"> therapy (other than</w:t>
      </w:r>
      <w:r w:rsidR="00376B02" w:rsidRPr="007B140B">
        <w:rPr>
          <w:rFonts w:ascii="Times New Roman" w:hAnsi="Times New Roman" w:cs="Times New Roman"/>
          <w:sz w:val="24"/>
          <w:szCs w:val="24"/>
          <w:lang w:val="en-US"/>
        </w:rPr>
        <w:t xml:space="preserve"> the</w:t>
      </w:r>
      <w:r w:rsidRPr="007B140B">
        <w:rPr>
          <w:rFonts w:ascii="Times New Roman" w:hAnsi="Times New Roman" w:cs="Times New Roman"/>
          <w:sz w:val="24"/>
          <w:szCs w:val="24"/>
          <w:lang w:val="en-US"/>
        </w:rPr>
        <w:t xml:space="preserve"> assigned investigational product)</w:t>
      </w:r>
    </w:p>
    <w:p w14:paraId="33E4E812" w14:textId="41A7AEC4" w:rsidR="00DC687C" w:rsidRPr="007B140B" w:rsidRDefault="00715C37" w:rsidP="00DC687C">
      <w:pPr>
        <w:pStyle w:val="Liststycke"/>
        <w:numPr>
          <w:ilvl w:val="0"/>
          <w:numId w:val="2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Severe renal impairment (e</w:t>
      </w:r>
      <w:r w:rsidR="00DC687C" w:rsidRPr="007B140B">
        <w:rPr>
          <w:rFonts w:ascii="Times New Roman" w:hAnsi="Times New Roman" w:cs="Times New Roman"/>
          <w:sz w:val="24"/>
          <w:szCs w:val="24"/>
          <w:lang w:val="en-US"/>
        </w:rPr>
        <w:t>stimated glomerular filtration rate of &lt;3</w:t>
      </w:r>
      <w:r w:rsidR="00E4333A" w:rsidRPr="007B140B">
        <w:rPr>
          <w:rFonts w:ascii="Times New Roman" w:hAnsi="Times New Roman" w:cs="Times New Roman"/>
          <w:sz w:val="24"/>
          <w:szCs w:val="24"/>
          <w:lang w:val="en-US"/>
        </w:rPr>
        <w:t>5</w:t>
      </w:r>
      <w:r w:rsidR="00DC687C" w:rsidRPr="007B140B">
        <w:rPr>
          <w:rFonts w:ascii="Times New Roman" w:hAnsi="Times New Roman" w:cs="Times New Roman"/>
          <w:sz w:val="24"/>
          <w:szCs w:val="24"/>
          <w:lang w:val="en-US"/>
        </w:rPr>
        <w:t xml:space="preserve"> ml per minute per 1.73 m</w:t>
      </w:r>
      <w:r w:rsidR="00DC687C" w:rsidRPr="007B140B">
        <w:rPr>
          <w:rFonts w:ascii="Times New Roman" w:hAnsi="Times New Roman" w:cs="Times New Roman"/>
          <w:sz w:val="24"/>
          <w:szCs w:val="24"/>
          <w:vertAlign w:val="superscript"/>
          <w:lang w:val="en-US"/>
        </w:rPr>
        <w:t>2</w:t>
      </w:r>
      <w:r w:rsidR="0030740C" w:rsidRPr="007B140B">
        <w:rPr>
          <w:rFonts w:ascii="Times New Roman" w:hAnsi="Times New Roman" w:cs="Times New Roman"/>
          <w:sz w:val="24"/>
          <w:szCs w:val="24"/>
          <w:lang w:val="en-US"/>
        </w:rPr>
        <w:t xml:space="preserve"> of body surface area</w:t>
      </w:r>
      <w:r>
        <w:rPr>
          <w:rFonts w:ascii="Times New Roman" w:hAnsi="Times New Roman" w:cs="Times New Roman"/>
          <w:sz w:val="24"/>
          <w:szCs w:val="24"/>
          <w:lang w:val="en-US"/>
        </w:rPr>
        <w:t>)</w:t>
      </w:r>
    </w:p>
    <w:p w14:paraId="5EA21FC1" w14:textId="31FD999D" w:rsidR="00D333C6" w:rsidRDefault="00285089" w:rsidP="00030EEC">
      <w:pPr>
        <w:pStyle w:val="Liststycke"/>
        <w:numPr>
          <w:ilvl w:val="0"/>
          <w:numId w:val="21"/>
        </w:numPr>
        <w:autoSpaceDE w:val="0"/>
        <w:autoSpaceDN w:val="0"/>
        <w:adjustRightInd w:val="0"/>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Hypocalcemia</w:t>
      </w:r>
      <w:r w:rsidR="006F6C56">
        <w:rPr>
          <w:rFonts w:ascii="Times New Roman" w:hAnsi="Times New Roman" w:cs="Times New Roman"/>
          <w:sz w:val="24"/>
          <w:szCs w:val="24"/>
          <w:lang w:val="en-US"/>
        </w:rPr>
        <w:t>/hypercalcemia</w:t>
      </w:r>
      <w:r w:rsidRPr="007B140B">
        <w:rPr>
          <w:rFonts w:ascii="Times New Roman" w:hAnsi="Times New Roman" w:cs="Times New Roman"/>
          <w:sz w:val="24"/>
          <w:szCs w:val="24"/>
          <w:lang w:val="en-US"/>
        </w:rPr>
        <w:t xml:space="preserve"> (</w:t>
      </w:r>
      <w:r w:rsidR="005B592B">
        <w:rPr>
          <w:rFonts w:ascii="Times New Roman" w:hAnsi="Times New Roman" w:cs="Times New Roman"/>
          <w:sz w:val="24"/>
          <w:szCs w:val="24"/>
          <w:lang w:val="en-US"/>
        </w:rPr>
        <w:t>plasma calcium &lt;2.15 or &gt;2.50</w:t>
      </w:r>
      <w:r w:rsidR="00633E94" w:rsidRPr="007B140B">
        <w:rPr>
          <w:rFonts w:ascii="Times New Roman" w:hAnsi="Times New Roman" w:cs="Times New Roman"/>
          <w:sz w:val="24"/>
          <w:szCs w:val="24"/>
          <w:lang w:val="en-US"/>
        </w:rPr>
        <w:t xml:space="preserve"> </w:t>
      </w:r>
      <w:r w:rsidR="00DC687C" w:rsidRPr="007B140B">
        <w:rPr>
          <w:rFonts w:ascii="Times New Roman" w:hAnsi="Times New Roman" w:cs="Times New Roman"/>
          <w:sz w:val="24"/>
          <w:szCs w:val="24"/>
          <w:lang w:val="en-US"/>
        </w:rPr>
        <w:t>mmol/L</w:t>
      </w:r>
      <w:r w:rsidRPr="007B140B">
        <w:rPr>
          <w:rFonts w:ascii="Times New Roman" w:hAnsi="Times New Roman" w:cs="Times New Roman"/>
          <w:sz w:val="24"/>
          <w:szCs w:val="24"/>
          <w:lang w:val="en-US"/>
        </w:rPr>
        <w:t>)</w:t>
      </w:r>
      <w:r w:rsidR="00C74985" w:rsidRPr="007B140B" w:rsidDel="00C74985">
        <w:rPr>
          <w:rFonts w:ascii="Times New Roman" w:hAnsi="Times New Roman" w:cs="Times New Roman"/>
          <w:sz w:val="24"/>
          <w:szCs w:val="24"/>
          <w:lang w:val="en-US"/>
        </w:rPr>
        <w:t xml:space="preserve"> </w:t>
      </w:r>
    </w:p>
    <w:p w14:paraId="3C99E62F" w14:textId="56AC4080" w:rsidR="000A4C50" w:rsidRPr="00066B77" w:rsidRDefault="00F01070" w:rsidP="00066B77">
      <w:pPr>
        <w:pStyle w:val="Liststycke"/>
        <w:numPr>
          <w:ilvl w:val="0"/>
          <w:numId w:val="21"/>
        </w:numPr>
        <w:rPr>
          <w:rFonts w:ascii="Times New Roman" w:hAnsi="Times New Roman" w:cs="Times New Roman"/>
          <w:sz w:val="24"/>
          <w:szCs w:val="24"/>
          <w:lang w:val="en-US"/>
        </w:rPr>
      </w:pPr>
      <w:r>
        <w:rPr>
          <w:rFonts w:ascii="Times New Roman" w:hAnsi="Times New Roman" w:cs="Times New Roman"/>
          <w:sz w:val="24"/>
          <w:szCs w:val="24"/>
          <w:lang w:val="en-US"/>
        </w:rPr>
        <w:t xml:space="preserve">Decision of </w:t>
      </w:r>
      <w:r w:rsidR="00D333C6" w:rsidRPr="007B140B">
        <w:rPr>
          <w:rFonts w:ascii="Times New Roman" w:hAnsi="Times New Roman" w:cs="Times New Roman"/>
          <w:sz w:val="24"/>
          <w:szCs w:val="24"/>
          <w:lang w:val="en-US"/>
        </w:rPr>
        <w:t>sponsor</w:t>
      </w:r>
      <w:r>
        <w:rPr>
          <w:rFonts w:ascii="Times New Roman" w:hAnsi="Times New Roman" w:cs="Times New Roman"/>
          <w:sz w:val="24"/>
          <w:szCs w:val="24"/>
          <w:lang w:val="en-US"/>
        </w:rPr>
        <w:t>/principal investigator</w:t>
      </w:r>
      <w:r w:rsidR="004B5D7A">
        <w:rPr>
          <w:rFonts w:ascii="Times New Roman" w:hAnsi="Times New Roman" w:cs="Times New Roman"/>
          <w:sz w:val="24"/>
          <w:szCs w:val="24"/>
          <w:lang w:val="en-US"/>
        </w:rPr>
        <w:t xml:space="preserve"> for </w:t>
      </w:r>
      <w:r w:rsidR="00164081">
        <w:rPr>
          <w:rFonts w:ascii="Times New Roman" w:hAnsi="Times New Roman" w:cs="Times New Roman"/>
          <w:sz w:val="24"/>
          <w:szCs w:val="24"/>
          <w:lang w:val="en-US"/>
        </w:rPr>
        <w:t xml:space="preserve">other </w:t>
      </w:r>
      <w:r w:rsidR="004B5D7A">
        <w:rPr>
          <w:rFonts w:ascii="Times New Roman" w:hAnsi="Times New Roman" w:cs="Times New Roman"/>
          <w:sz w:val="24"/>
          <w:szCs w:val="24"/>
          <w:lang w:val="en-US"/>
        </w:rPr>
        <w:t>reason</w:t>
      </w:r>
    </w:p>
    <w:p w14:paraId="1F134059" w14:textId="77777777" w:rsidR="00887ABD" w:rsidRPr="007B140B" w:rsidRDefault="00887ABD" w:rsidP="00887ABD">
      <w:pPr>
        <w:autoSpaceDE w:val="0"/>
        <w:autoSpaceDN w:val="0"/>
        <w:adjustRightInd w:val="0"/>
        <w:spacing w:after="0" w:line="240" w:lineRule="auto"/>
        <w:rPr>
          <w:rFonts w:ascii="Times New Roman" w:hAnsi="Times New Roman" w:cs="Times New Roman"/>
          <w:sz w:val="24"/>
          <w:szCs w:val="24"/>
          <w:lang w:val="en-US"/>
        </w:rPr>
      </w:pPr>
    </w:p>
    <w:p w14:paraId="7CECAA43" w14:textId="6656E27C" w:rsidR="000A4C50" w:rsidRPr="007B140B" w:rsidRDefault="00F55823" w:rsidP="00274BC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It should be noted that p</w:t>
      </w:r>
      <w:r w:rsidR="00E813EC">
        <w:rPr>
          <w:rFonts w:ascii="Times New Roman" w:hAnsi="Times New Roman" w:cs="Times New Roman"/>
          <w:sz w:val="24"/>
          <w:szCs w:val="24"/>
          <w:lang w:val="en-US"/>
        </w:rPr>
        <w:t xml:space="preserve">remature unblinding is </w:t>
      </w:r>
      <w:r w:rsidR="00E813EC">
        <w:rPr>
          <w:rFonts w:ascii="Times New Roman" w:hAnsi="Times New Roman" w:cs="Times New Roman"/>
          <w:i/>
          <w:sz w:val="24"/>
          <w:szCs w:val="24"/>
          <w:lang w:val="en-US"/>
        </w:rPr>
        <w:t>not</w:t>
      </w:r>
      <w:r w:rsidR="00E813EC">
        <w:rPr>
          <w:rFonts w:ascii="Times New Roman" w:hAnsi="Times New Roman" w:cs="Times New Roman"/>
          <w:sz w:val="24"/>
          <w:szCs w:val="24"/>
          <w:lang w:val="en-US"/>
        </w:rPr>
        <w:t xml:space="preserve"> a criterion</w:t>
      </w:r>
      <w:r>
        <w:rPr>
          <w:rFonts w:ascii="Times New Roman" w:hAnsi="Times New Roman" w:cs="Times New Roman"/>
          <w:sz w:val="24"/>
          <w:szCs w:val="24"/>
          <w:lang w:val="en-US"/>
        </w:rPr>
        <w:t xml:space="preserve"> for discontinuing</w:t>
      </w:r>
      <w:r w:rsidR="00E813EC">
        <w:rPr>
          <w:rFonts w:ascii="Times New Roman" w:hAnsi="Times New Roman" w:cs="Times New Roman"/>
          <w:sz w:val="24"/>
          <w:szCs w:val="24"/>
          <w:lang w:val="en-US"/>
        </w:rPr>
        <w:t xml:space="preserve"> treatment. </w:t>
      </w:r>
      <w:r w:rsidR="00A95C41" w:rsidRPr="007B140B">
        <w:rPr>
          <w:rFonts w:ascii="Times New Roman" w:hAnsi="Times New Roman" w:cs="Times New Roman"/>
          <w:sz w:val="24"/>
          <w:szCs w:val="24"/>
          <w:lang w:val="en-US"/>
        </w:rPr>
        <w:t>A</w:t>
      </w:r>
      <w:r w:rsidR="000A4C50" w:rsidRPr="007B140B">
        <w:rPr>
          <w:rFonts w:ascii="Times New Roman" w:hAnsi="Times New Roman" w:cs="Times New Roman"/>
          <w:sz w:val="24"/>
          <w:szCs w:val="24"/>
          <w:lang w:val="en-US"/>
        </w:rPr>
        <w:t xml:space="preserve"> </w:t>
      </w:r>
      <w:r w:rsidR="00E74D71" w:rsidRPr="007B140B">
        <w:rPr>
          <w:rFonts w:ascii="Times New Roman" w:hAnsi="Times New Roman" w:cs="Times New Roman"/>
          <w:sz w:val="24"/>
          <w:szCs w:val="24"/>
          <w:lang w:val="en-US"/>
        </w:rPr>
        <w:t>participant’s</w:t>
      </w:r>
      <w:r w:rsidR="000A4C50" w:rsidRPr="007B140B">
        <w:rPr>
          <w:rFonts w:ascii="Times New Roman" w:hAnsi="Times New Roman" w:cs="Times New Roman"/>
          <w:sz w:val="24"/>
          <w:szCs w:val="24"/>
          <w:lang w:val="en-US"/>
        </w:rPr>
        <w:t xml:space="preserve"> follow-up will continue </w:t>
      </w:r>
      <w:r w:rsidR="00A95C41" w:rsidRPr="007B140B">
        <w:rPr>
          <w:rFonts w:ascii="Times New Roman" w:hAnsi="Times New Roman" w:cs="Times New Roman"/>
          <w:sz w:val="24"/>
          <w:szCs w:val="24"/>
          <w:lang w:val="en-US"/>
        </w:rPr>
        <w:t xml:space="preserve">even if treatment is discontinued, </w:t>
      </w:r>
      <w:r w:rsidR="000A4C50" w:rsidRPr="007B140B">
        <w:rPr>
          <w:rFonts w:ascii="Times New Roman" w:hAnsi="Times New Roman" w:cs="Times New Roman"/>
          <w:sz w:val="24"/>
          <w:szCs w:val="24"/>
          <w:lang w:val="en-US"/>
        </w:rPr>
        <w:t xml:space="preserve">unless the </w:t>
      </w:r>
      <w:r w:rsidR="00A238CA" w:rsidRPr="007B140B">
        <w:rPr>
          <w:rFonts w:ascii="Times New Roman" w:hAnsi="Times New Roman" w:cs="Times New Roman"/>
          <w:sz w:val="24"/>
          <w:szCs w:val="24"/>
          <w:lang w:val="en-US"/>
        </w:rPr>
        <w:t>participant</w:t>
      </w:r>
      <w:r w:rsidR="000A4C50" w:rsidRPr="007B140B">
        <w:rPr>
          <w:rFonts w:ascii="Times New Roman" w:hAnsi="Times New Roman" w:cs="Times New Roman"/>
          <w:sz w:val="24"/>
          <w:szCs w:val="24"/>
          <w:lang w:val="en-US"/>
        </w:rPr>
        <w:t xml:space="preserve"> wishes to withdraw from the study.</w:t>
      </w:r>
    </w:p>
    <w:p w14:paraId="06CAAC45" w14:textId="4C33FC9C" w:rsidR="007E162A" w:rsidRPr="007B140B" w:rsidRDefault="007E162A" w:rsidP="0083409E">
      <w:pPr>
        <w:rPr>
          <w:rFonts w:ascii="Times New Roman" w:hAnsi="Times New Roman" w:cs="Times New Roman"/>
          <w:sz w:val="24"/>
          <w:szCs w:val="24"/>
          <w:lang w:val="en-US"/>
        </w:rPr>
      </w:pPr>
    </w:p>
    <w:p w14:paraId="7BB1A7D8" w14:textId="77777777" w:rsidR="0094262E" w:rsidRPr="007B140B" w:rsidRDefault="0094262E" w:rsidP="00D36611">
      <w:pPr>
        <w:pStyle w:val="Formatmall3"/>
        <w:rPr>
          <w:rFonts w:cs="Times New Roman"/>
          <w:lang w:val="en-US"/>
        </w:rPr>
      </w:pPr>
      <w:bookmarkStart w:id="33" w:name="_Toc99001405"/>
      <w:r w:rsidRPr="007B140B">
        <w:rPr>
          <w:rFonts w:cs="Times New Roman"/>
          <w:lang w:val="en-US"/>
        </w:rPr>
        <w:t>Concomitant medications</w:t>
      </w:r>
      <w:bookmarkEnd w:id="33"/>
    </w:p>
    <w:p w14:paraId="170395BC" w14:textId="3650A438" w:rsidR="0094262E" w:rsidRPr="007B140B" w:rsidRDefault="00F05F00" w:rsidP="0094262E">
      <w:pPr>
        <w:rPr>
          <w:rFonts w:ascii="Times New Roman" w:hAnsi="Times New Roman" w:cs="Times New Roman"/>
          <w:sz w:val="24"/>
          <w:szCs w:val="24"/>
          <w:lang w:val="en-US"/>
        </w:rPr>
      </w:pPr>
      <w:r>
        <w:rPr>
          <w:rFonts w:ascii="Times New Roman" w:eastAsia="Times New Roman" w:hAnsi="Times New Roman" w:cs="Times New Roman"/>
          <w:sz w:val="24"/>
          <w:szCs w:val="24"/>
          <w:lang w:val="en-US" w:eastAsia="sv-SE"/>
        </w:rPr>
        <w:t>The u</w:t>
      </w:r>
      <w:r w:rsidR="00EB5E86" w:rsidRPr="007B140B">
        <w:rPr>
          <w:rFonts w:ascii="Times New Roman" w:eastAsia="Times New Roman" w:hAnsi="Times New Roman" w:cs="Times New Roman"/>
          <w:sz w:val="24"/>
          <w:szCs w:val="24"/>
          <w:lang w:val="en-US" w:eastAsia="sv-SE"/>
        </w:rPr>
        <w:t xml:space="preserve">se of </w:t>
      </w:r>
      <w:r w:rsidR="00D93765" w:rsidRPr="007B140B">
        <w:rPr>
          <w:rFonts w:ascii="Times New Roman" w:eastAsia="Times New Roman" w:hAnsi="Times New Roman" w:cs="Times New Roman"/>
          <w:iCs/>
          <w:sz w:val="24"/>
          <w:szCs w:val="24"/>
          <w:lang w:val="en-US" w:eastAsia="sv-SE"/>
        </w:rPr>
        <w:t xml:space="preserve">non-investigational </w:t>
      </w:r>
      <w:r w:rsidR="00767CB3" w:rsidRPr="007B140B">
        <w:rPr>
          <w:rFonts w:ascii="Times New Roman" w:eastAsia="Times New Roman" w:hAnsi="Times New Roman" w:cs="Times New Roman"/>
          <w:sz w:val="24"/>
          <w:szCs w:val="24"/>
          <w:lang w:val="en-US" w:eastAsia="sv-SE"/>
        </w:rPr>
        <w:t>bone-protective</w:t>
      </w:r>
      <w:r w:rsidR="00EB5E86" w:rsidRPr="007B140B">
        <w:rPr>
          <w:rFonts w:ascii="Times New Roman" w:eastAsia="Times New Roman" w:hAnsi="Times New Roman" w:cs="Times New Roman"/>
          <w:sz w:val="24"/>
          <w:szCs w:val="24"/>
          <w:lang w:val="en-US" w:eastAsia="sv-SE"/>
        </w:rPr>
        <w:t xml:space="preserve"> medications during follow-up </w:t>
      </w:r>
      <w:r w:rsidR="00DC7611" w:rsidRPr="007B140B">
        <w:rPr>
          <w:rFonts w:ascii="Times New Roman" w:eastAsia="Times New Roman" w:hAnsi="Times New Roman" w:cs="Times New Roman"/>
          <w:sz w:val="24"/>
          <w:szCs w:val="24"/>
          <w:lang w:val="en-US" w:eastAsia="sv-SE"/>
        </w:rPr>
        <w:t>will</w:t>
      </w:r>
      <w:r w:rsidR="00EB5E86" w:rsidRPr="007B140B">
        <w:rPr>
          <w:rFonts w:ascii="Times New Roman" w:eastAsia="Times New Roman" w:hAnsi="Times New Roman" w:cs="Times New Roman"/>
          <w:sz w:val="24"/>
          <w:szCs w:val="24"/>
          <w:lang w:val="en-US" w:eastAsia="sv-SE"/>
        </w:rPr>
        <w:t xml:space="preserve"> be </w:t>
      </w:r>
      <w:r w:rsidR="00C96DB3">
        <w:rPr>
          <w:rFonts w:ascii="Times New Roman" w:eastAsia="Times New Roman" w:hAnsi="Times New Roman" w:cs="Times New Roman"/>
          <w:sz w:val="24"/>
          <w:szCs w:val="24"/>
          <w:lang w:val="en-US" w:eastAsia="sv-SE"/>
        </w:rPr>
        <w:t>assessed</w:t>
      </w:r>
      <w:r w:rsidR="00EB5E86" w:rsidRPr="007B140B">
        <w:rPr>
          <w:rFonts w:ascii="Times New Roman" w:eastAsia="Times New Roman" w:hAnsi="Times New Roman" w:cs="Times New Roman"/>
          <w:sz w:val="24"/>
          <w:szCs w:val="24"/>
          <w:lang w:val="en-US" w:eastAsia="sv-SE"/>
        </w:rPr>
        <w:t xml:space="preserve">. </w:t>
      </w:r>
      <w:r w:rsidR="00D57C79">
        <w:rPr>
          <w:rFonts w:ascii="Times New Roman" w:eastAsia="Times New Roman" w:hAnsi="Times New Roman" w:cs="Times New Roman"/>
          <w:sz w:val="24"/>
          <w:szCs w:val="24"/>
          <w:lang w:val="en-US" w:eastAsia="sv-SE"/>
        </w:rPr>
        <w:t>The u</w:t>
      </w:r>
      <w:r w:rsidR="00981C29" w:rsidRPr="007B140B">
        <w:rPr>
          <w:rFonts w:ascii="Times New Roman" w:eastAsia="Times New Roman" w:hAnsi="Times New Roman" w:cs="Times New Roman"/>
          <w:sz w:val="24"/>
          <w:szCs w:val="24"/>
          <w:lang w:val="en-US" w:eastAsia="sv-SE"/>
        </w:rPr>
        <w:t>se o</w:t>
      </w:r>
      <w:r w:rsidR="00DC7611" w:rsidRPr="007B140B">
        <w:rPr>
          <w:rFonts w:ascii="Times New Roman" w:eastAsia="Times New Roman" w:hAnsi="Times New Roman" w:cs="Times New Roman"/>
          <w:sz w:val="24"/>
          <w:szCs w:val="24"/>
          <w:lang w:val="en-US" w:eastAsia="sv-SE"/>
        </w:rPr>
        <w:t xml:space="preserve">ther </w:t>
      </w:r>
      <w:r w:rsidR="00426E83" w:rsidRPr="007B140B">
        <w:rPr>
          <w:rFonts w:ascii="Times New Roman" w:eastAsia="Times New Roman" w:hAnsi="Times New Roman" w:cs="Times New Roman"/>
          <w:sz w:val="24"/>
          <w:szCs w:val="24"/>
          <w:lang w:val="en-US" w:eastAsia="sv-SE"/>
        </w:rPr>
        <w:t>medications</w:t>
      </w:r>
      <w:r w:rsidR="00981C29" w:rsidRPr="007B140B">
        <w:rPr>
          <w:rFonts w:ascii="Times New Roman" w:eastAsia="Times New Roman" w:hAnsi="Times New Roman" w:cs="Times New Roman"/>
          <w:sz w:val="24"/>
          <w:szCs w:val="24"/>
          <w:lang w:val="en-US" w:eastAsia="sv-SE"/>
        </w:rPr>
        <w:t xml:space="preserve"> </w:t>
      </w:r>
      <w:r w:rsidR="00426E83" w:rsidRPr="007B140B">
        <w:rPr>
          <w:rFonts w:ascii="Times New Roman" w:eastAsia="Times New Roman" w:hAnsi="Times New Roman" w:cs="Times New Roman"/>
          <w:sz w:val="24"/>
          <w:szCs w:val="24"/>
          <w:lang w:val="en-US" w:eastAsia="sv-SE"/>
        </w:rPr>
        <w:t xml:space="preserve">will not be </w:t>
      </w:r>
      <w:r w:rsidR="00C96DB3">
        <w:rPr>
          <w:rFonts w:ascii="Times New Roman" w:eastAsia="Times New Roman" w:hAnsi="Times New Roman" w:cs="Times New Roman"/>
          <w:sz w:val="24"/>
          <w:szCs w:val="24"/>
          <w:lang w:val="en-US" w:eastAsia="sv-SE"/>
        </w:rPr>
        <w:t>assessed</w:t>
      </w:r>
      <w:r w:rsidR="00426E83" w:rsidRPr="007B140B">
        <w:rPr>
          <w:rFonts w:ascii="Times New Roman" w:eastAsia="Times New Roman" w:hAnsi="Times New Roman" w:cs="Times New Roman"/>
          <w:sz w:val="24"/>
          <w:szCs w:val="24"/>
          <w:lang w:val="en-US" w:eastAsia="sv-SE"/>
        </w:rPr>
        <w:t xml:space="preserve">, </w:t>
      </w:r>
      <w:r w:rsidR="00981C29" w:rsidRPr="007B140B">
        <w:rPr>
          <w:rFonts w:ascii="Times New Roman" w:eastAsia="Times New Roman" w:hAnsi="Times New Roman" w:cs="Times New Roman"/>
          <w:sz w:val="24"/>
          <w:szCs w:val="24"/>
          <w:lang w:val="en-US" w:eastAsia="sv-SE"/>
        </w:rPr>
        <w:t>because</w:t>
      </w:r>
      <w:r w:rsidR="00426E83" w:rsidRPr="007B140B">
        <w:rPr>
          <w:rFonts w:ascii="Times New Roman" w:eastAsia="Times New Roman" w:hAnsi="Times New Roman" w:cs="Times New Roman"/>
          <w:sz w:val="24"/>
          <w:szCs w:val="24"/>
          <w:lang w:val="en-US" w:eastAsia="sv-SE"/>
        </w:rPr>
        <w:t xml:space="preserve"> this is a </w:t>
      </w:r>
      <w:r w:rsidR="00624C68">
        <w:rPr>
          <w:rFonts w:ascii="Times New Roman" w:eastAsia="Times New Roman" w:hAnsi="Times New Roman" w:cs="Times New Roman"/>
          <w:sz w:val="24"/>
          <w:szCs w:val="24"/>
          <w:lang w:val="en-US" w:eastAsia="sv-SE"/>
        </w:rPr>
        <w:t xml:space="preserve">post-marketing </w:t>
      </w:r>
      <w:r w:rsidR="00426E83" w:rsidRPr="007B140B">
        <w:rPr>
          <w:rFonts w:ascii="Times New Roman" w:eastAsia="Times New Roman" w:hAnsi="Times New Roman" w:cs="Times New Roman"/>
          <w:sz w:val="24"/>
          <w:szCs w:val="24"/>
          <w:lang w:val="en-US" w:eastAsia="sv-SE"/>
        </w:rPr>
        <w:t xml:space="preserve">trial and no </w:t>
      </w:r>
      <w:r w:rsidR="00F65632" w:rsidRPr="007B140B">
        <w:rPr>
          <w:rFonts w:ascii="Times New Roman" w:eastAsia="Times New Roman" w:hAnsi="Times New Roman" w:cs="Times New Roman"/>
          <w:sz w:val="24"/>
          <w:szCs w:val="24"/>
          <w:lang w:val="en-US" w:eastAsia="sv-SE"/>
        </w:rPr>
        <w:t xml:space="preserve">adverse </w:t>
      </w:r>
      <w:r w:rsidR="00283EA4" w:rsidRPr="007B140B">
        <w:rPr>
          <w:rFonts w:ascii="Times New Roman" w:eastAsia="Times New Roman" w:hAnsi="Times New Roman" w:cs="Times New Roman"/>
          <w:sz w:val="24"/>
          <w:szCs w:val="24"/>
          <w:lang w:val="en-US" w:eastAsia="sv-SE"/>
        </w:rPr>
        <w:t xml:space="preserve">drug </w:t>
      </w:r>
      <w:r w:rsidR="00F65632" w:rsidRPr="007B140B">
        <w:rPr>
          <w:rFonts w:ascii="Times New Roman" w:eastAsia="Times New Roman" w:hAnsi="Times New Roman" w:cs="Times New Roman"/>
          <w:sz w:val="24"/>
          <w:szCs w:val="24"/>
          <w:lang w:val="en-US" w:eastAsia="sv-SE"/>
        </w:rPr>
        <w:t>interactions are known to exist.</w:t>
      </w:r>
      <w:r w:rsidR="0037029D" w:rsidRPr="007B140B">
        <w:rPr>
          <w:rFonts w:ascii="Times New Roman" w:eastAsia="Times New Roman" w:hAnsi="Times New Roman" w:cs="Times New Roman"/>
          <w:sz w:val="24"/>
          <w:szCs w:val="24"/>
          <w:lang w:val="en-US" w:eastAsia="sv-SE"/>
        </w:rPr>
        <w:fldChar w:fldCharType="begin" w:fldLock="1"/>
      </w:r>
      <w:r w:rsidR="00D2485C">
        <w:rPr>
          <w:rFonts w:ascii="Times New Roman" w:eastAsia="Times New Roman" w:hAnsi="Times New Roman" w:cs="Times New Roman"/>
          <w:sz w:val="24"/>
          <w:szCs w:val="24"/>
          <w:lang w:val="en-US" w:eastAsia="sv-SE"/>
        </w:rPr>
        <w:instrText>ADDIN CSL_CITATION {"citationItems":[{"id":"ITEM-1","itemData":{"DOI":"10.1201/9780203971093.bmatt","id":"ITEM-1","issued":{"date-parts":[["0"]]},"title":"Aclasta: European Public Assessment Report (EPAR) - Product Information, Annex 1 - Summary of product characteristics (31/07/2019 Aclasta - EMEA/H/C/000595 - II/0072)","type":"article"},"uris":["http://www.mendeley.com/documents/?uuid=649b59e6-52cf-4c90-80d7-152dde40c643"]}],"mendeley":{"formattedCitation":"&lt;sup&gt;&lt;sup&gt;17&lt;/sup&gt;&lt;/sup&gt;","plainTextFormattedCitation":"17","previouslyFormattedCitation":"&lt;sup&gt;&lt;sup&gt;17&lt;/sup&gt;&lt;/sup&gt;"},"properties":{"noteIndex":0},"schema":"https://github.com/citation-style-language/schema/raw/master/csl-citation.json"}</w:instrText>
      </w:r>
      <w:r w:rsidR="0037029D" w:rsidRPr="007B140B">
        <w:rPr>
          <w:rFonts w:ascii="Times New Roman" w:eastAsia="Times New Roman" w:hAnsi="Times New Roman" w:cs="Times New Roman"/>
          <w:sz w:val="24"/>
          <w:szCs w:val="24"/>
          <w:lang w:val="en-US" w:eastAsia="sv-SE"/>
        </w:rPr>
        <w:fldChar w:fldCharType="separate"/>
      </w:r>
      <w:r w:rsidR="00D2485C" w:rsidRPr="00D2485C">
        <w:rPr>
          <w:rFonts w:ascii="Times New Roman" w:eastAsia="Times New Roman" w:hAnsi="Times New Roman" w:cs="Times New Roman"/>
          <w:noProof/>
          <w:sz w:val="24"/>
          <w:szCs w:val="24"/>
          <w:vertAlign w:val="superscript"/>
          <w:lang w:val="en-US" w:eastAsia="sv-SE"/>
        </w:rPr>
        <w:t>17</w:t>
      </w:r>
      <w:r w:rsidR="0037029D" w:rsidRPr="007B140B">
        <w:rPr>
          <w:rFonts w:ascii="Times New Roman" w:eastAsia="Times New Roman" w:hAnsi="Times New Roman" w:cs="Times New Roman"/>
          <w:sz w:val="24"/>
          <w:szCs w:val="24"/>
          <w:lang w:val="en-US" w:eastAsia="sv-SE"/>
        </w:rPr>
        <w:fldChar w:fldCharType="end"/>
      </w:r>
      <w:r w:rsidR="00EB5E86" w:rsidRPr="007B140B">
        <w:rPr>
          <w:rFonts w:ascii="Times New Roman" w:eastAsia="Times New Roman" w:hAnsi="Times New Roman" w:cs="Times New Roman"/>
          <w:sz w:val="24"/>
          <w:szCs w:val="24"/>
          <w:lang w:val="en-US" w:eastAsia="sv-SE"/>
        </w:rPr>
        <w:t xml:space="preserve"> </w:t>
      </w:r>
    </w:p>
    <w:p w14:paraId="0C6892DE" w14:textId="77777777" w:rsidR="00291A4F" w:rsidRPr="007B140B" w:rsidRDefault="00291A4F" w:rsidP="0094262E">
      <w:pPr>
        <w:rPr>
          <w:rFonts w:ascii="Times New Roman" w:hAnsi="Times New Roman" w:cs="Times New Roman"/>
          <w:sz w:val="24"/>
          <w:szCs w:val="24"/>
          <w:lang w:val="en-US"/>
        </w:rPr>
      </w:pPr>
    </w:p>
    <w:p w14:paraId="77E69460" w14:textId="62097336" w:rsidR="00884BA9" w:rsidRPr="007B140B" w:rsidRDefault="00884BA9" w:rsidP="00D36611">
      <w:pPr>
        <w:pStyle w:val="Formatmall4"/>
        <w:rPr>
          <w:rFonts w:cs="Times New Roman"/>
          <w:lang w:val="en-US"/>
        </w:rPr>
      </w:pPr>
      <w:bookmarkStart w:id="34" w:name="_Toc99001406"/>
      <w:r w:rsidRPr="007B140B">
        <w:rPr>
          <w:rFonts w:cs="Times New Roman"/>
          <w:lang w:val="en-US"/>
        </w:rPr>
        <w:t>Outcomes</w:t>
      </w:r>
      <w:bookmarkEnd w:id="34"/>
    </w:p>
    <w:p w14:paraId="7F71149D" w14:textId="77777777" w:rsidR="00B42029" w:rsidRPr="007B140B" w:rsidRDefault="00B42029" w:rsidP="00D36611">
      <w:pPr>
        <w:pStyle w:val="Formatmall3"/>
        <w:rPr>
          <w:rFonts w:cs="Times New Roman"/>
          <w:lang w:val="en-US"/>
        </w:rPr>
      </w:pPr>
      <w:bookmarkStart w:id="35" w:name="_Toc99001407"/>
      <w:r w:rsidRPr="007B140B">
        <w:rPr>
          <w:rFonts w:cs="Times New Roman"/>
          <w:lang w:val="en-US"/>
        </w:rPr>
        <w:t>Primary outcome</w:t>
      </w:r>
      <w:bookmarkEnd w:id="35"/>
    </w:p>
    <w:p w14:paraId="6BA02B57" w14:textId="4EB8D8A0" w:rsidR="005B2211" w:rsidRPr="007B140B" w:rsidRDefault="00A4387E" w:rsidP="0094262E">
      <w:pPr>
        <w:rPr>
          <w:rFonts w:ascii="Times New Roman" w:hAnsi="Times New Roman" w:cs="Times New Roman"/>
          <w:sz w:val="24"/>
          <w:szCs w:val="24"/>
          <w:lang w:val="en-US"/>
        </w:rPr>
      </w:pPr>
      <w:r w:rsidRPr="007B140B">
        <w:rPr>
          <w:rFonts w:ascii="Times New Roman" w:hAnsi="Times New Roman" w:cs="Times New Roman"/>
          <w:sz w:val="24"/>
          <w:szCs w:val="24"/>
          <w:lang w:val="en-US"/>
        </w:rPr>
        <w:t>D</w:t>
      </w:r>
      <w:r w:rsidR="00E32BA9" w:rsidRPr="007B140B">
        <w:rPr>
          <w:rFonts w:ascii="Times New Roman" w:hAnsi="Times New Roman" w:cs="Times New Roman"/>
          <w:sz w:val="24"/>
          <w:szCs w:val="24"/>
          <w:lang w:val="en-US"/>
        </w:rPr>
        <w:t>ue to the high clinical relevance of most fractures,</w:t>
      </w:r>
      <w:r w:rsidRPr="007B140B">
        <w:rPr>
          <w:rFonts w:ascii="Times New Roman" w:hAnsi="Times New Roman" w:cs="Times New Roman"/>
          <w:sz w:val="24"/>
          <w:szCs w:val="24"/>
          <w:lang w:val="en-US"/>
        </w:rPr>
        <w:t xml:space="preserve"> t</w:t>
      </w:r>
      <w:r w:rsidR="00B42029" w:rsidRPr="007B140B">
        <w:rPr>
          <w:rFonts w:ascii="Times New Roman" w:hAnsi="Times New Roman" w:cs="Times New Roman"/>
          <w:sz w:val="24"/>
          <w:szCs w:val="24"/>
          <w:lang w:val="en-US"/>
        </w:rPr>
        <w:t>he primary outc</w:t>
      </w:r>
      <w:r w:rsidR="00134F4B" w:rsidRPr="007B140B">
        <w:rPr>
          <w:rFonts w:ascii="Times New Roman" w:hAnsi="Times New Roman" w:cs="Times New Roman"/>
          <w:sz w:val="24"/>
          <w:szCs w:val="24"/>
          <w:lang w:val="en-US"/>
        </w:rPr>
        <w:t xml:space="preserve">ome </w:t>
      </w:r>
      <w:r w:rsidR="00294C96" w:rsidRPr="007B140B">
        <w:rPr>
          <w:rFonts w:ascii="Times New Roman" w:hAnsi="Times New Roman" w:cs="Times New Roman"/>
          <w:sz w:val="24"/>
          <w:szCs w:val="24"/>
          <w:lang w:val="en-US"/>
        </w:rPr>
        <w:t>will be</w:t>
      </w:r>
      <w:r w:rsidR="00134F4B" w:rsidRPr="007B140B">
        <w:rPr>
          <w:rFonts w:ascii="Times New Roman" w:hAnsi="Times New Roman" w:cs="Times New Roman"/>
          <w:sz w:val="24"/>
          <w:szCs w:val="24"/>
          <w:lang w:val="en-US"/>
        </w:rPr>
        <w:t xml:space="preserve"> time to </w:t>
      </w:r>
      <w:r w:rsidR="00283EA4" w:rsidRPr="007B140B">
        <w:rPr>
          <w:rFonts w:ascii="Times New Roman" w:hAnsi="Times New Roman" w:cs="Times New Roman"/>
          <w:sz w:val="24"/>
          <w:szCs w:val="24"/>
          <w:lang w:val="en-US"/>
        </w:rPr>
        <w:t xml:space="preserve">first </w:t>
      </w:r>
      <w:r w:rsidR="00B42029" w:rsidRPr="007B140B">
        <w:rPr>
          <w:rFonts w:ascii="Times New Roman" w:hAnsi="Times New Roman" w:cs="Times New Roman"/>
          <w:sz w:val="24"/>
          <w:szCs w:val="24"/>
          <w:lang w:val="en-US"/>
        </w:rPr>
        <w:t>new clinical fracture</w:t>
      </w:r>
      <w:r w:rsidR="00E4333A" w:rsidRPr="007B140B">
        <w:rPr>
          <w:rFonts w:ascii="Times New Roman" w:hAnsi="Times New Roman" w:cs="Times New Roman"/>
          <w:sz w:val="24"/>
          <w:szCs w:val="24"/>
          <w:lang w:val="en-US"/>
        </w:rPr>
        <w:t>. Clinical fracture will be</w:t>
      </w:r>
      <w:r w:rsidR="00283EA4" w:rsidRPr="007B140B">
        <w:rPr>
          <w:rFonts w:ascii="Times New Roman" w:hAnsi="Times New Roman" w:cs="Times New Roman"/>
          <w:sz w:val="24"/>
          <w:szCs w:val="24"/>
          <w:lang w:val="en-US"/>
        </w:rPr>
        <w:t xml:space="preserve"> defined as any fracture that comes to medical attention</w:t>
      </w:r>
      <w:r w:rsidR="00AA5BAA" w:rsidRPr="007B140B">
        <w:rPr>
          <w:rFonts w:ascii="Times New Roman" w:hAnsi="Times New Roman" w:cs="Times New Roman"/>
          <w:sz w:val="24"/>
          <w:szCs w:val="24"/>
          <w:lang w:val="en-US"/>
        </w:rPr>
        <w:t xml:space="preserve">, </w:t>
      </w:r>
      <w:r w:rsidR="00304B96" w:rsidRPr="007B140B">
        <w:rPr>
          <w:rFonts w:ascii="Times New Roman" w:hAnsi="Times New Roman" w:cs="Times New Roman"/>
          <w:sz w:val="24"/>
          <w:szCs w:val="24"/>
          <w:lang w:val="en-US"/>
        </w:rPr>
        <w:t>excluding fractures of</w:t>
      </w:r>
      <w:r w:rsidR="00291A4F" w:rsidRPr="007B140B">
        <w:rPr>
          <w:rFonts w:ascii="Times New Roman" w:hAnsi="Times New Roman" w:cs="Times New Roman"/>
          <w:sz w:val="24"/>
          <w:szCs w:val="24"/>
          <w:lang w:val="en-US"/>
        </w:rPr>
        <w:t xml:space="preserve"> the </w:t>
      </w:r>
      <w:r w:rsidR="00304B96" w:rsidRPr="007B140B">
        <w:rPr>
          <w:rFonts w:ascii="Times New Roman" w:hAnsi="Times New Roman" w:cs="Times New Roman"/>
          <w:sz w:val="24"/>
          <w:szCs w:val="24"/>
          <w:lang w:val="en-US"/>
        </w:rPr>
        <w:t>facial bones</w:t>
      </w:r>
      <w:r w:rsidR="00AA5BAA" w:rsidRPr="007B140B">
        <w:rPr>
          <w:rFonts w:ascii="Times New Roman" w:hAnsi="Times New Roman" w:cs="Times New Roman"/>
          <w:sz w:val="24"/>
          <w:szCs w:val="24"/>
          <w:lang w:val="en-US"/>
        </w:rPr>
        <w:t>, skull, hands, and feet</w:t>
      </w:r>
      <w:r w:rsidR="00E32BA9" w:rsidRPr="007B140B">
        <w:rPr>
          <w:rFonts w:ascii="Times New Roman" w:hAnsi="Times New Roman" w:cs="Times New Roman"/>
          <w:sz w:val="24"/>
          <w:szCs w:val="24"/>
          <w:lang w:val="en-US"/>
        </w:rPr>
        <w:t>, which are not generally considered osteoporotic</w:t>
      </w:r>
      <w:r w:rsidR="00B42029" w:rsidRPr="007B140B">
        <w:rPr>
          <w:rFonts w:ascii="Times New Roman" w:hAnsi="Times New Roman" w:cs="Times New Roman"/>
          <w:sz w:val="24"/>
          <w:szCs w:val="24"/>
          <w:lang w:val="en-US"/>
        </w:rPr>
        <w:t>.</w:t>
      </w:r>
      <w:r w:rsidR="00E32BA9" w:rsidRPr="007B140B">
        <w:rPr>
          <w:rFonts w:ascii="Times New Roman" w:hAnsi="Times New Roman" w:cs="Times New Roman"/>
          <w:sz w:val="24"/>
          <w:szCs w:val="24"/>
          <w:lang w:val="en-US"/>
        </w:rPr>
        <w:fldChar w:fldCharType="begin" w:fldLock="1"/>
      </w:r>
      <w:r w:rsidR="00424E99" w:rsidRPr="007B140B">
        <w:rPr>
          <w:rFonts w:ascii="Times New Roman" w:hAnsi="Times New Roman" w:cs="Times New Roman"/>
          <w:sz w:val="24"/>
          <w:szCs w:val="24"/>
          <w:lang w:val="en-US"/>
        </w:rPr>
        <w:instrText>ADDIN CSL_CITATION {"citationItems":[{"id":"ITEM-1","itemData":{"DOI":"10.1007/s11657-013-0136-1","ISBN":"1862-3514 (Electronic)","ISSN":"18623522","PMID":"24113837","abstract":"UNLABELLED: This report describes the epidemiology, burden, and treatment of osteoporosis in the 27 countries of the European Union (EU27).\\n\\nINTRODUCTION: Osteoporosis is characterized by reduced bone mass and disruption of bone architecture, resulting in increased risk of fragility fractures which represent the main clinical consequence of the disease. Fragility fractures are associated with substantial pain and suffering, disability and even death for affected patients and substantial costs to society. The aim of this report was to characterize the burden of osteoporosis in the EU27 in 2010 and beyond.\\n\\nMETHODS: The literature on fracture incidence and costs of fractures in the EU27 was reviewed and incorporated into a model estimating the clinical and economic burden of osteoporotic fractures in 2010.\\n\\nRESULTS: Twenty-two million women and 5.5 million men were estimated to have osteoporosis; and 3.5 million new fragility fractures were sustained, comprising 610,000 hip fractures, 520,000 vertebral fractures, 560,000 forearm fractures and 1,800,000 other fractures (i.e. fractures of the pelvis, rib, humerus, tibia, fibula, clavicle, scapula, sternum and other femoral fractures). The economic burden of incident and prior fragility fractures was estimated at &lt;euro&gt; 37 billion. Incident fractures represented 66 % of this cost, long-term fracture care 29 % and pharmacological prevention 5 %. Previous and incident fractures also accounted for 1,180,000 quality-adjusted life years lost during 2010. The costs are expected to increase by 25 % in 2025. The majority of individuals who have sustained an osteoporosis-related fracture or who are at high risk of fracture are untreated and the number of patients on treatment is declining.\\n\\nCONCLUSIONS: In spite of the high social and economic cost of osteoporosis, a substantial treatment gap and projected increase of the economic burden driven by the aging populations, the use of pharmacological interventions to prevent fractures has decreased in recent years, suggesting that a change in healthcare policy is warranted.","author":[{"dropping-particle":"","family":"Hernlund","given":"E.","non-dropping-particle":"","parse-names":false,"suffix":""},{"dropping-particle":"","family":"Svedbom","given":"A.","non-dropping-particle":"","parse-names":false,"suffix":""},{"dropping-particle":"","family":"Ivergård","given":"M.","non-dropping-particle":"","parse-names":false,"suffix":""},{"dropping-particle":"","family":"Compston","given":"J.","non-dropping-particle":"","parse-names":false,"suffix":""},{"dropping-particle":"","family":"Cooper","given":"C.","non-dropping-particle":"","parse-names":false,"suffix":""},{"dropping-particle":"","family":"Stenmark","given":"J.","non-dropping-particle":"","parse-names":false,"suffix":""},{"dropping-particle":"V.","family":"McCloskey","given":"E.","non-dropping-particle":"","parse-names":false,"suffix":""},{"dropping-particle":"","family":"Jönsson","given":"B.","non-dropping-particle":"","parse-names":false,"suffix":""},{"dropping-particle":"","family":"Kanis","given":"J. A.","non-dropping-particle":"","parse-names":false,"suffix":""}],"container-title":"Archives of Osteoporosis","id":"ITEM-1","issued":{"date-parts":[["2013"]]},"page":"136","title":"Osteoporosis in the European Union: medical management, epidemiology and economic burden: a report prepared in collaboration with the International Osteoporosis Foundation (IOF) and the European Federation of Pharmaceutical Industry Associations (EFPIA)","type":"article-journal","volume":"8"},"uris":["http://www.mendeley.com/documents/?uuid=06163511-c547-4bb9-8bce-8df6b029298d"]}],"mendeley":{"formattedCitation":"&lt;sup&gt;&lt;sup&gt;10&lt;/sup&gt;&lt;/sup&gt;","plainTextFormattedCitation":"10","previouslyFormattedCitation":"&lt;sup&gt;&lt;sup&gt;10&lt;/sup&gt;&lt;/sup&gt;"},"properties":{"noteIndex":0},"schema":"https://github.com/citation-style-language/schema/raw/master/csl-citation.json"}</w:instrText>
      </w:r>
      <w:r w:rsidR="00E32BA9" w:rsidRPr="007B140B">
        <w:rPr>
          <w:rFonts w:ascii="Times New Roman" w:hAnsi="Times New Roman" w:cs="Times New Roman"/>
          <w:sz w:val="24"/>
          <w:szCs w:val="24"/>
          <w:lang w:val="en-US"/>
        </w:rPr>
        <w:fldChar w:fldCharType="separate"/>
      </w:r>
      <w:r w:rsidR="0078211F" w:rsidRPr="007B140B">
        <w:rPr>
          <w:rFonts w:ascii="Times New Roman" w:hAnsi="Times New Roman" w:cs="Times New Roman"/>
          <w:noProof/>
          <w:sz w:val="24"/>
          <w:szCs w:val="24"/>
          <w:vertAlign w:val="superscript"/>
          <w:lang w:val="en-US"/>
        </w:rPr>
        <w:t>10</w:t>
      </w:r>
      <w:r w:rsidR="00E32BA9" w:rsidRPr="007B140B">
        <w:rPr>
          <w:rFonts w:ascii="Times New Roman" w:hAnsi="Times New Roman" w:cs="Times New Roman"/>
          <w:sz w:val="24"/>
          <w:szCs w:val="24"/>
          <w:lang w:val="en-US"/>
        </w:rPr>
        <w:fldChar w:fldCharType="end"/>
      </w:r>
      <w:r w:rsidR="00304B96" w:rsidRPr="007B140B">
        <w:rPr>
          <w:rFonts w:ascii="Times New Roman" w:hAnsi="Times New Roman" w:cs="Times New Roman"/>
          <w:sz w:val="24"/>
          <w:szCs w:val="24"/>
          <w:lang w:val="en-US"/>
        </w:rPr>
        <w:t xml:space="preserve"> </w:t>
      </w:r>
      <w:r w:rsidR="00E32BA9" w:rsidRPr="007B140B">
        <w:rPr>
          <w:rFonts w:ascii="Times New Roman" w:hAnsi="Times New Roman" w:cs="Times New Roman"/>
          <w:sz w:val="24"/>
          <w:szCs w:val="24"/>
          <w:lang w:val="en-US"/>
        </w:rPr>
        <w:t>For the same reason, p</w:t>
      </w:r>
      <w:r w:rsidR="00C40B05" w:rsidRPr="007B140B">
        <w:rPr>
          <w:rFonts w:ascii="Times New Roman" w:hAnsi="Times New Roman" w:cs="Times New Roman"/>
          <w:sz w:val="24"/>
          <w:szCs w:val="24"/>
          <w:lang w:val="en-US"/>
        </w:rPr>
        <w:t>athological fractures (e.g., due to cancer or osteomyelitis)</w:t>
      </w:r>
      <w:r w:rsidR="00283EA4" w:rsidRPr="007B140B">
        <w:rPr>
          <w:rFonts w:ascii="Times New Roman" w:hAnsi="Times New Roman" w:cs="Times New Roman"/>
          <w:sz w:val="24"/>
          <w:szCs w:val="24"/>
          <w:lang w:val="en-US"/>
        </w:rPr>
        <w:t xml:space="preserve"> will be excluded.</w:t>
      </w:r>
      <w:r w:rsidR="00C40B05" w:rsidRPr="007B140B">
        <w:rPr>
          <w:rFonts w:ascii="Times New Roman" w:hAnsi="Times New Roman" w:cs="Times New Roman"/>
          <w:sz w:val="24"/>
          <w:szCs w:val="24"/>
          <w:lang w:val="en-US"/>
        </w:rPr>
        <w:t xml:space="preserve"> High-energy fractures will </w:t>
      </w:r>
      <w:r w:rsidR="00AA5BAA" w:rsidRPr="007B140B">
        <w:rPr>
          <w:rFonts w:ascii="Times New Roman" w:hAnsi="Times New Roman" w:cs="Times New Roman"/>
          <w:sz w:val="24"/>
          <w:szCs w:val="24"/>
          <w:lang w:val="en-US"/>
        </w:rPr>
        <w:t>be in</w:t>
      </w:r>
      <w:r w:rsidR="00C40B05" w:rsidRPr="007B140B">
        <w:rPr>
          <w:rFonts w:ascii="Times New Roman" w:hAnsi="Times New Roman" w:cs="Times New Roman"/>
          <w:sz w:val="24"/>
          <w:szCs w:val="24"/>
          <w:lang w:val="en-US"/>
        </w:rPr>
        <w:t>cluded because these are also associated with low bone mineral density</w:t>
      </w:r>
      <w:r w:rsidRPr="007B140B">
        <w:rPr>
          <w:rFonts w:ascii="Times New Roman" w:hAnsi="Times New Roman" w:cs="Times New Roman"/>
          <w:sz w:val="24"/>
          <w:szCs w:val="24"/>
          <w:lang w:val="en-US"/>
        </w:rPr>
        <w:t>.</w:t>
      </w:r>
      <w:r w:rsidR="006C5B8C" w:rsidRPr="007B140B">
        <w:rPr>
          <w:rFonts w:ascii="Times New Roman" w:hAnsi="Times New Roman" w:cs="Times New Roman"/>
          <w:sz w:val="24"/>
          <w:szCs w:val="24"/>
          <w:lang w:val="en-US"/>
        </w:rPr>
        <w:fldChar w:fldCharType="begin" w:fldLock="1"/>
      </w:r>
      <w:r w:rsidR="00272560">
        <w:rPr>
          <w:rFonts w:ascii="Times New Roman" w:hAnsi="Times New Roman" w:cs="Times New Roman"/>
          <w:sz w:val="24"/>
          <w:szCs w:val="24"/>
          <w:lang w:val="en-US"/>
        </w:rPr>
        <w:instrText>ADDIN CSL_CITATION {"citationItems":[{"id":"ITEM-1","itemData":{"DOI":"10.1001/jama.298.20.2381","author":[{"dropping-particle":"","family":"Mackey","given":"D C","non-dropping-particle":"","parse-names":false,"suffix":""},{"dropping-particle":"","family":"Lui","given":"L Y","non-dropping-particle":"","parse-names":false,"suffix":""},{"dropping-particle":"","family":"Cawthon","given":"P M","non-dropping-particle":"","parse-names":false,"suffix":""},{"dropping-particle":"","family":"Bauer","given":"D C","non-dropping-particle":"","parse-names":false,"suffix":""},{"dropping-particle":"","family":"Nevitt","given":"M C","non-dropping-particle":"","parse-names":false,"suffix":""},{"dropping-particle":"","family":"Cauley","given":"J A","non-dropping-particle":"","parse-names":false,"suffix":""},{"dropping-particle":"","family":"Hillier","given":"T A","non-dropping-particle":"","parse-names":false,"suffix":""},{"dropping-particle":"","family":"Lewis","given":"C E","non-dropping-particle":"","parse-names":false,"suffix":""},{"dropping-particle":"","family":"Barrett-Connor","given":"E","non-dropping-particle":"","parse-names":false,"suffix":""},{"dropping-particle":"","family":"Cummings","given":"S R","non-dropping-particle":"","parse-names":false,"suffix":""}],"container-title":"JAMA","id":"ITEM-1","issue":"20","issued":{"date-parts":[["2007"]]},"page":"2381-2388","title":"High-trauma fractures and low bone mineral density in older women and men","type":"article-journal","volume":"298"},"uris":["http://www.mendeley.com/documents/?uuid=f31933ea-6e24-4477-bbf5-e89007c198e0"]},{"id":"ITEM-2","itemData":{"DOI":"10.1359/jbmr.1998.13.8.1337","ISSN":"08840431","abstract":"Fractures associated with severe trauma are generally excluded from estimates of the prevalence of osteoporotic fractures in the community. Because the degree of trauma is difficult to quantitate, low bone mass may contribute to fractures following severe trauma. We ascertained all fractures in a defined population and compared the bone mineral density (BMD) of women who sustained fractures in either 'low' or 'high' trauma events with the BMD of a random sample of women from the same population. BMD was measured by dual-energy X-ray absorptiometry and expressed as a standardized deviation (Z score) adjusted for age. The BMD Z scores (mean ± SEM) were reduced in both the low and high trauma groups, respectively: spine-posterior-anterior (- 0.50 ± 0.05 and -0.21 ± 0.08), spine-lateral (-0.28 ± 0.06 and -0.19 ± 0.10), femoral neck (-0.42 ± 0.04 and -0.26 ± 0.09), Ward's triangle (- 0.44 ± 0.04 and -0.28 ± 0.08), trochanter (-0.44 ± 0.05 and -0.32 ± 0.08), total body (-0.46 ± 0.06 and -0.32 ± 0.08), ultradistal radius (- 0.47 ± 0.05 and -0.42 ± 0.07), and midradius (-0.52 ± 0.06 and -0.33 ± 0.09). Except at the PA spine, the deficits were no smaller in the high trauma group. Compared with the population, the age-adjusted odds ratio for osteoporosis (t-score &lt; -2.5) at one or more scanning sites was 3.1 (95% confidence interval 1.9, 5.0) in the high trauma group and 2.7 (1.9, 3.8) in the low trauma group. The data suggest that the exclusion of high trauma fractures in women over 50 years of age may result in underestimation of the contribution of osteoporosis to fractures in the community. Bone density measurement of women over 50 years of age who sustain fractures may be warranted irrespective of the classification of trauma.","author":[{"dropping-particle":"","family":"Sanders","given":"K. M.","non-dropping-particle":"","parse-names":false,"suffix":""},{"dropping-particle":"","family":"Pasco","given":"J. A.","non-dropping-particle":"","parse-names":false,"suffix":""},{"dropping-particle":"","family":"Ugoni","given":"A. M.","non-dropping-particle":"","parse-names":false,"suffix":""},{"dropping-particle":"","family":"Nicholson","given":"G. C.","non-dropping-particle":"","parse-names":false,"suffix":""},{"dropping-particle":"","family":"Seeman","given":"E.","non-dropping-particle":"","parse-names":false,"suffix":""},{"dropping-particle":"","family":"Martin","given":"T. J.","non-dropping-particle":"","parse-names":false,"suffix":""},{"dropping-particle":"","family":"Skoric","given":"B.","non-dropping-particle":"","parse-names":false,"suffix":""},{"dropping-particle":"","family":"Panahi","given":"S.","non-dropping-particle":"","parse-names":false,"suffix":""},{"dropping-particle":"","family":"Kotowicz","given":"M. A.","non-dropping-particle":"","parse-names":false,"suffix":""}],"container-title":"Journal of Bone and Mineral Research","id":"ITEM-2","issue":"8","issued":{"date-parts":[["1998"]]},"page":"1337-1342","title":"The exclusion of high trauma fractures may underestimate the prevalence of bone fragility fractures in the community: The Geelong Osteoporosis Study","type":"article-journal","volume":"13"},"uris":["http://www.mendeley.com/documents/?uuid=471d2b83-0572-4fc7-82aa-612e576c2385"]}],"mendeley":{"formattedCitation":"&lt;sup&gt;&lt;sup&gt;11&lt;/sup&gt;,&lt;sup&gt;43&lt;/sup&gt;&lt;/sup&gt;","plainTextFormattedCitation":"11,43","previouslyFormattedCitation":"&lt;sup&gt;&lt;sup&gt;11&lt;/sup&gt;,&lt;sup&gt;43&lt;/sup&gt;&lt;/sup&gt;"},"properties":{"noteIndex":0},"schema":"https://github.com/citation-style-language/schema/raw/master/csl-citation.json"}</w:instrText>
      </w:r>
      <w:r w:rsidR="006C5B8C" w:rsidRPr="007B140B">
        <w:rPr>
          <w:rFonts w:ascii="Times New Roman" w:hAnsi="Times New Roman" w:cs="Times New Roman"/>
          <w:sz w:val="24"/>
          <w:szCs w:val="24"/>
          <w:lang w:val="en-US"/>
        </w:rPr>
        <w:fldChar w:fldCharType="separate"/>
      </w:r>
      <w:r w:rsidR="0081127D" w:rsidRPr="0081127D">
        <w:rPr>
          <w:rFonts w:ascii="Times New Roman" w:hAnsi="Times New Roman" w:cs="Times New Roman"/>
          <w:noProof/>
          <w:sz w:val="24"/>
          <w:szCs w:val="24"/>
          <w:vertAlign w:val="superscript"/>
          <w:lang w:val="en-US"/>
        </w:rPr>
        <w:t>11,43</w:t>
      </w:r>
      <w:r w:rsidR="006C5B8C" w:rsidRPr="007B140B">
        <w:rPr>
          <w:rFonts w:ascii="Times New Roman" w:hAnsi="Times New Roman" w:cs="Times New Roman"/>
          <w:sz w:val="24"/>
          <w:szCs w:val="24"/>
          <w:lang w:val="en-US"/>
        </w:rPr>
        <w:fldChar w:fldCharType="end"/>
      </w:r>
      <w:r w:rsidR="00961BF2" w:rsidRPr="007B140B">
        <w:rPr>
          <w:rStyle w:val="Kommentarsreferens"/>
          <w:rFonts w:ascii="Times New Roman" w:hAnsi="Times New Roman" w:cs="Times New Roman"/>
          <w:sz w:val="24"/>
          <w:szCs w:val="24"/>
          <w:lang w:val="en-US"/>
        </w:rPr>
        <w:t xml:space="preserve"> </w:t>
      </w:r>
    </w:p>
    <w:p w14:paraId="6571D6FF" w14:textId="07731D4F" w:rsidR="00291A4F" w:rsidRPr="007B140B" w:rsidRDefault="00DD161A" w:rsidP="00AF6DC3">
      <w:pPr>
        <w:rPr>
          <w:rFonts w:ascii="Times New Roman" w:hAnsi="Times New Roman" w:cs="Times New Roman"/>
          <w:sz w:val="24"/>
          <w:szCs w:val="24"/>
          <w:lang w:val="en-US"/>
        </w:rPr>
      </w:pPr>
      <w:r>
        <w:rPr>
          <w:rFonts w:ascii="Times New Roman" w:hAnsi="Times New Roman" w:cs="Times New Roman"/>
          <w:sz w:val="24"/>
          <w:szCs w:val="24"/>
          <w:lang w:val="en-US"/>
        </w:rPr>
        <w:t>F</w:t>
      </w:r>
      <w:r w:rsidR="00544D57" w:rsidRPr="007B140B">
        <w:rPr>
          <w:rFonts w:ascii="Times New Roman" w:hAnsi="Times New Roman" w:cs="Times New Roman"/>
          <w:sz w:val="24"/>
          <w:szCs w:val="24"/>
          <w:lang w:val="en-US"/>
        </w:rPr>
        <w:t xml:space="preserve">ractures will be traced </w:t>
      </w:r>
      <w:r w:rsidR="004F0AB0" w:rsidRPr="007B140B">
        <w:rPr>
          <w:rFonts w:ascii="Times New Roman" w:hAnsi="Times New Roman" w:cs="Times New Roman"/>
          <w:sz w:val="24"/>
          <w:szCs w:val="24"/>
          <w:lang w:val="en-US"/>
        </w:rPr>
        <w:t>centrally by the sponsor</w:t>
      </w:r>
      <w:r w:rsidR="00FD6D2C" w:rsidRPr="007B140B">
        <w:rPr>
          <w:rFonts w:ascii="Times New Roman" w:hAnsi="Times New Roman" w:cs="Times New Roman"/>
          <w:sz w:val="24"/>
          <w:szCs w:val="24"/>
          <w:lang w:val="en-US"/>
        </w:rPr>
        <w:t xml:space="preserve"> </w:t>
      </w:r>
      <w:r w:rsidR="005C3380">
        <w:rPr>
          <w:rFonts w:ascii="Times New Roman" w:hAnsi="Times New Roman" w:cs="Times New Roman"/>
          <w:sz w:val="24"/>
          <w:szCs w:val="24"/>
          <w:lang w:val="en-US"/>
        </w:rPr>
        <w:t xml:space="preserve">through the National Patient Register </w:t>
      </w:r>
      <w:r w:rsidR="00E4333A" w:rsidRPr="007B140B">
        <w:rPr>
          <w:rFonts w:ascii="Times New Roman" w:hAnsi="Times New Roman" w:cs="Times New Roman"/>
          <w:sz w:val="24"/>
          <w:szCs w:val="24"/>
          <w:lang w:val="en-US"/>
        </w:rPr>
        <w:t>using</w:t>
      </w:r>
      <w:r w:rsidR="000D423B">
        <w:rPr>
          <w:rFonts w:ascii="Times New Roman" w:hAnsi="Times New Roman" w:cs="Times New Roman"/>
          <w:sz w:val="24"/>
          <w:szCs w:val="24"/>
          <w:lang w:val="en-US"/>
        </w:rPr>
        <w:t xml:space="preserve"> </w:t>
      </w:r>
      <w:r w:rsidR="00893F25">
        <w:rPr>
          <w:rFonts w:ascii="Times New Roman" w:hAnsi="Times New Roman" w:cs="Times New Roman"/>
          <w:sz w:val="24"/>
          <w:szCs w:val="24"/>
          <w:lang w:val="en-US"/>
        </w:rPr>
        <w:t>ICD-10-SE</w:t>
      </w:r>
      <w:r w:rsidR="004F0AB0" w:rsidRPr="007B140B">
        <w:rPr>
          <w:rFonts w:ascii="Times New Roman" w:hAnsi="Times New Roman" w:cs="Times New Roman"/>
          <w:sz w:val="24"/>
          <w:szCs w:val="24"/>
          <w:lang w:val="en-US"/>
        </w:rPr>
        <w:t xml:space="preserve"> codes </w:t>
      </w:r>
      <w:r w:rsidR="005C3380" w:rsidRPr="00317646">
        <w:rPr>
          <w:rFonts w:ascii="Times New Roman" w:hAnsi="Times New Roman" w:cs="Times New Roman"/>
          <w:sz w:val="24"/>
          <w:szCs w:val="24"/>
          <w:lang w:val="en-US"/>
        </w:rPr>
        <w:t>S12-S52, S72, S82, M48.5, M49.5, M80.0A, M80.0J,</w:t>
      </w:r>
      <w:r w:rsidR="005C3380" w:rsidRPr="0045173A">
        <w:rPr>
          <w:rFonts w:ascii="Times New Roman" w:hAnsi="Times New Roman" w:cs="Times New Roman"/>
          <w:sz w:val="24"/>
          <w:szCs w:val="24"/>
          <w:lang w:val="en-US"/>
        </w:rPr>
        <w:t xml:space="preserve"> </w:t>
      </w:r>
      <w:r w:rsidR="005C3380">
        <w:rPr>
          <w:rFonts w:ascii="Times New Roman" w:hAnsi="Times New Roman" w:cs="Times New Roman"/>
          <w:sz w:val="24"/>
          <w:szCs w:val="24"/>
          <w:lang w:val="en-US"/>
        </w:rPr>
        <w:t>M80.0K</w:t>
      </w:r>
      <w:r w:rsidR="00604084">
        <w:rPr>
          <w:rFonts w:ascii="Times New Roman" w:hAnsi="Times New Roman" w:cs="Times New Roman"/>
          <w:sz w:val="24"/>
          <w:szCs w:val="24"/>
          <w:lang w:val="en-US"/>
        </w:rPr>
        <w:t>, and T08</w:t>
      </w:r>
      <w:r w:rsidR="006B593A" w:rsidRPr="007B140B">
        <w:rPr>
          <w:rFonts w:ascii="Times New Roman" w:hAnsi="Times New Roman" w:cs="Times New Roman"/>
          <w:sz w:val="24"/>
          <w:szCs w:val="24"/>
          <w:lang w:val="en-US"/>
        </w:rPr>
        <w:t xml:space="preserve">. </w:t>
      </w:r>
      <w:r w:rsidR="0008714D" w:rsidRPr="007B140B">
        <w:rPr>
          <w:rFonts w:ascii="Times New Roman" w:hAnsi="Times New Roman" w:cs="Times New Roman"/>
          <w:sz w:val="24"/>
          <w:szCs w:val="24"/>
          <w:lang w:val="en-US"/>
        </w:rPr>
        <w:t>Th</w:t>
      </w:r>
      <w:r w:rsidR="00A36748">
        <w:rPr>
          <w:rFonts w:ascii="Times New Roman" w:hAnsi="Times New Roman" w:cs="Times New Roman"/>
          <w:sz w:val="24"/>
          <w:szCs w:val="24"/>
          <w:lang w:val="en-US"/>
        </w:rPr>
        <w:t>e National Patient Register</w:t>
      </w:r>
      <w:r w:rsidR="0008714D" w:rsidRPr="007B140B">
        <w:rPr>
          <w:rFonts w:ascii="Times New Roman" w:hAnsi="Times New Roman" w:cs="Times New Roman"/>
          <w:sz w:val="24"/>
          <w:szCs w:val="24"/>
          <w:lang w:val="en-US"/>
        </w:rPr>
        <w:t xml:space="preserve"> records all diagnoses made in inpatient care in Sweden since 1987 and all outpatient secondary (</w:t>
      </w:r>
      <w:r w:rsidR="000D423B">
        <w:rPr>
          <w:rFonts w:ascii="Times New Roman" w:hAnsi="Times New Roman" w:cs="Times New Roman"/>
          <w:sz w:val="24"/>
          <w:szCs w:val="24"/>
          <w:lang w:val="en-US"/>
        </w:rPr>
        <w:t xml:space="preserve">i.e., </w:t>
      </w:r>
      <w:r w:rsidR="0008714D" w:rsidRPr="007B140B">
        <w:rPr>
          <w:rFonts w:ascii="Times New Roman" w:hAnsi="Times New Roman" w:cs="Times New Roman"/>
          <w:sz w:val="24"/>
          <w:szCs w:val="24"/>
          <w:lang w:val="en-US"/>
        </w:rPr>
        <w:t>non-primary) care since 2001.</w:t>
      </w:r>
      <w:r w:rsidR="0008714D" w:rsidRPr="007B140B">
        <w:rPr>
          <w:rFonts w:ascii="Times New Roman" w:hAnsi="Times New Roman" w:cs="Times New Roman"/>
          <w:sz w:val="24"/>
          <w:szCs w:val="24"/>
          <w:lang w:val="en-US"/>
        </w:rPr>
        <w:fldChar w:fldCharType="begin" w:fldLock="1"/>
      </w:r>
      <w:r w:rsidR="00272560">
        <w:rPr>
          <w:rFonts w:ascii="Times New Roman" w:hAnsi="Times New Roman" w:cs="Times New Roman"/>
          <w:sz w:val="24"/>
          <w:szCs w:val="24"/>
          <w:lang w:val="en-US"/>
        </w:rPr>
        <w:instrText>ADDIN CSL_CITATION {"citationItems":[{"id":"ITEM-1","itemData":{"DOI":"10.1186/1471-2458-11-450","ISBN":"1471-2458 (Electronic)\\n1471-2458 (Linking)","ISSN":"1471-2458","PMID":"21658213","abstract":"BACKGROUND: The Swedish National Inpatient Register (IPR), also called the Hospital Discharge Register, is a principal source of data for numerous research projects. The IPR is part of the National Patient Register. The Swedish IPR was launched in 1964 (psychiatric diagnoses from 1973) but complete coverage did not begin until 1987. Currently, more than 99% of all somatic (including surgery) and psychiatric hospital discharges are registered in the IPR. A previous validation of the IPR by the National Board of Health and Welfare showed that 85-95% of all diagnoses in the IPR are valid. The current paper describes the history, structure, coverage and quality of the Swedish IPR.\\n\\nMETHODS AND RESULTS: In January 2010, we searched the medical databases, Medline and HighWire, using the search algorithm \"validat* (inpatient or hospital discharge) Sweden\". We also contacted 218 members of the Swedish Society of Epidemiology and an additional 201 medical researchers to identify papers that had validated the IPR. In total, 132 papers were reviewed. The positive predictive value (PPV) was found to differ between diagnoses in the IPR, but is generally 85-95%.\\n\\nCONCLUSIONS: In conclusion, the validity of the Swedish IPR is high for many but not all diagnoses. The long follow-up makes the register particularly suitable for large-scale population-based research, but for certain research areas the use of other health registers, such as the Swedish Cancer Register, may be more suitable.","author":[{"dropping-particle":"","family":"Ludvigsson","given":"Jonas F","non-dropping-particle":"","parse-names":false,"suffix":""},{"dropping-particle":"","family":"Andersson","given":"Eva","non-dropping-particle":"","parse-names":false,"suffix":""},{"dropping-particle":"","family":"Ekbom","given":"Anders","non-dropping-particle":"","parse-names":false,"suffix":""},{"dropping-particle":"","family":"Feychting","given":"Maria","non-dropping-particle":"","parse-names":false,"suffix":""},{"dropping-particle":"","family":"Kim","given":"Jeong Lim","non-dropping-particle":"","parse-names":false,"suffix":""},{"dropping-particle":"","family":"Reuterwall","given":"Christina","non-dropping-particle":"","parse-names":false,"suffix":""},{"dropping-particle":"","family":"Heurgren","given":"Mona","non-dropping-particle":"","parse-names":false,"suffix":""},{"dropping-particle":"","family":"Olausson","given":"Petra Otterblad","non-dropping-particle":"","parse-names":false,"suffix":""}],"container-title":"BMC public health","id":"ITEM-1","issue":"Jun 9","issued":{"date-parts":[["2011"]]},"page":"450","title":"External review and validation of the Swedish national inpatient register","type":"article-journal","volume":"11"},"uris":["http://www.mendeley.com/documents/?uuid=b1653809-be45-4c84-8c0d-85559a06147b"]}],"mendeley":{"formattedCitation":"&lt;sup&gt;&lt;sup&gt;44&lt;/sup&gt;&lt;/sup&gt;","plainTextFormattedCitation":"44","previouslyFormattedCitation":"&lt;sup&gt;&lt;sup&gt;44&lt;/sup&gt;&lt;/sup&gt;"},"properties":{"noteIndex":0},"schema":"https://github.com/citation-style-language/schema/raw/master/csl-citation.json"}</w:instrText>
      </w:r>
      <w:r w:rsidR="0008714D" w:rsidRPr="007B140B">
        <w:rPr>
          <w:rFonts w:ascii="Times New Roman" w:hAnsi="Times New Roman" w:cs="Times New Roman"/>
          <w:sz w:val="24"/>
          <w:szCs w:val="24"/>
          <w:lang w:val="en-US"/>
        </w:rPr>
        <w:fldChar w:fldCharType="separate"/>
      </w:r>
      <w:r w:rsidR="0081127D" w:rsidRPr="0081127D">
        <w:rPr>
          <w:rFonts w:ascii="Times New Roman" w:hAnsi="Times New Roman" w:cs="Times New Roman"/>
          <w:noProof/>
          <w:sz w:val="24"/>
          <w:szCs w:val="24"/>
          <w:vertAlign w:val="superscript"/>
          <w:lang w:val="en-US"/>
        </w:rPr>
        <w:t>44</w:t>
      </w:r>
      <w:r w:rsidR="0008714D" w:rsidRPr="007B140B">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Data on fracture</w:t>
      </w:r>
      <w:r w:rsidR="007152B9">
        <w:rPr>
          <w:rFonts w:ascii="Times New Roman" w:hAnsi="Times New Roman" w:cs="Times New Roman"/>
          <w:sz w:val="24"/>
          <w:szCs w:val="24"/>
          <w:lang w:val="en-US"/>
        </w:rPr>
        <w:t>s</w:t>
      </w:r>
      <w:r>
        <w:rPr>
          <w:rFonts w:ascii="Times New Roman" w:hAnsi="Times New Roman" w:cs="Times New Roman"/>
          <w:sz w:val="24"/>
          <w:szCs w:val="24"/>
          <w:lang w:val="en-US"/>
        </w:rPr>
        <w:t xml:space="preserve"> will also be collected </w:t>
      </w:r>
      <w:r w:rsidR="005B2211">
        <w:rPr>
          <w:rFonts w:ascii="Times New Roman" w:hAnsi="Times New Roman" w:cs="Times New Roman"/>
          <w:sz w:val="24"/>
          <w:szCs w:val="24"/>
          <w:lang w:val="en-US"/>
        </w:rPr>
        <w:t xml:space="preserve">locally at each study center using medical records and </w:t>
      </w:r>
      <w:r w:rsidR="007152B9">
        <w:rPr>
          <w:rFonts w:ascii="Times New Roman" w:hAnsi="Times New Roman" w:cs="Times New Roman"/>
          <w:sz w:val="24"/>
          <w:szCs w:val="24"/>
          <w:lang w:val="en-US"/>
        </w:rPr>
        <w:t xml:space="preserve">the </w:t>
      </w:r>
      <w:r>
        <w:rPr>
          <w:rFonts w:ascii="Times New Roman" w:hAnsi="Times New Roman" w:cs="Times New Roman"/>
          <w:sz w:val="24"/>
          <w:szCs w:val="24"/>
          <w:lang w:val="en-US"/>
        </w:rPr>
        <w:t>Swedish Fracture Register</w:t>
      </w:r>
      <w:r w:rsidR="00A36748">
        <w:rPr>
          <w:rFonts w:ascii="Times New Roman" w:hAnsi="Times New Roman" w:cs="Times New Roman"/>
          <w:sz w:val="24"/>
          <w:szCs w:val="24"/>
          <w:lang w:val="en-US"/>
        </w:rPr>
        <w:t xml:space="preserve"> </w:t>
      </w:r>
      <w:r w:rsidR="005B2211">
        <w:rPr>
          <w:rFonts w:ascii="Times New Roman" w:hAnsi="Times New Roman" w:cs="Times New Roman"/>
          <w:sz w:val="24"/>
          <w:szCs w:val="24"/>
          <w:lang w:val="en-US"/>
        </w:rPr>
        <w:t>(</w:t>
      </w:r>
      <w:r w:rsidR="00A36748">
        <w:rPr>
          <w:rFonts w:ascii="Times New Roman" w:hAnsi="Times New Roman" w:cs="Times New Roman"/>
          <w:sz w:val="24"/>
          <w:szCs w:val="24"/>
          <w:lang w:val="en-US"/>
        </w:rPr>
        <w:t>same ICD-10-SE codes</w:t>
      </w:r>
      <w:r w:rsidR="005B2211">
        <w:rPr>
          <w:rFonts w:ascii="Times New Roman" w:hAnsi="Times New Roman" w:cs="Times New Roman"/>
          <w:sz w:val="24"/>
          <w:szCs w:val="24"/>
          <w:lang w:val="en-US"/>
        </w:rPr>
        <w:t xml:space="preserve"> as above)</w:t>
      </w:r>
      <w:r>
        <w:rPr>
          <w:rFonts w:ascii="Times New Roman" w:hAnsi="Times New Roman" w:cs="Times New Roman"/>
          <w:sz w:val="24"/>
          <w:szCs w:val="24"/>
          <w:lang w:val="en-US"/>
        </w:rPr>
        <w:t>.</w:t>
      </w:r>
      <w:r w:rsidR="009168FD">
        <w:rPr>
          <w:rFonts w:ascii="Times New Roman" w:hAnsi="Times New Roman" w:cs="Times New Roman"/>
          <w:sz w:val="24"/>
          <w:szCs w:val="24"/>
          <w:lang w:val="en-US"/>
        </w:rPr>
        <w:t xml:space="preserve"> Fractures </w:t>
      </w:r>
      <w:r w:rsidR="005B2211">
        <w:rPr>
          <w:rFonts w:ascii="Times New Roman" w:hAnsi="Times New Roman" w:cs="Times New Roman"/>
          <w:sz w:val="24"/>
          <w:szCs w:val="24"/>
          <w:lang w:val="en-US"/>
        </w:rPr>
        <w:t xml:space="preserve">identified through registers </w:t>
      </w:r>
      <w:r w:rsidR="009168FD">
        <w:rPr>
          <w:rFonts w:ascii="Times New Roman" w:hAnsi="Times New Roman" w:cs="Times New Roman"/>
          <w:sz w:val="24"/>
          <w:szCs w:val="24"/>
          <w:lang w:val="en-US"/>
        </w:rPr>
        <w:t>will be verified through medical records.</w:t>
      </w:r>
    </w:p>
    <w:p w14:paraId="7D39D63C" w14:textId="77777777" w:rsidR="00AF6DC3" w:rsidRPr="007B140B" w:rsidRDefault="00AF6DC3" w:rsidP="00AF6DC3">
      <w:pPr>
        <w:rPr>
          <w:rFonts w:ascii="Times New Roman" w:hAnsi="Times New Roman" w:cs="Times New Roman"/>
          <w:sz w:val="24"/>
          <w:szCs w:val="24"/>
          <w:lang w:val="en-US"/>
        </w:rPr>
      </w:pPr>
    </w:p>
    <w:p w14:paraId="45AE6FB0" w14:textId="77777777" w:rsidR="0094262E" w:rsidRPr="007B140B" w:rsidRDefault="0094262E" w:rsidP="00D36611">
      <w:pPr>
        <w:pStyle w:val="Formatmall3"/>
        <w:rPr>
          <w:rFonts w:cs="Times New Roman"/>
          <w:lang w:val="en-US"/>
        </w:rPr>
      </w:pPr>
      <w:bookmarkStart w:id="36" w:name="_Toc99001408"/>
      <w:r w:rsidRPr="007B140B">
        <w:rPr>
          <w:rFonts w:cs="Times New Roman"/>
          <w:lang w:val="en-US"/>
        </w:rPr>
        <w:t>Secondary outcomes</w:t>
      </w:r>
      <w:bookmarkEnd w:id="36"/>
    </w:p>
    <w:p w14:paraId="521E0ECE" w14:textId="66380EAD" w:rsidR="00A6180C" w:rsidRPr="007B140B" w:rsidRDefault="0094262E" w:rsidP="0094262E">
      <w:pPr>
        <w:rPr>
          <w:rFonts w:ascii="Times New Roman" w:hAnsi="Times New Roman" w:cs="Times New Roman"/>
          <w:sz w:val="24"/>
          <w:szCs w:val="24"/>
          <w:lang w:val="en-US"/>
        </w:rPr>
      </w:pPr>
      <w:bookmarkStart w:id="37" w:name="_Toc27746967"/>
      <w:r w:rsidRPr="007B140B">
        <w:rPr>
          <w:rFonts w:ascii="Times New Roman" w:hAnsi="Times New Roman" w:cs="Times New Roman"/>
          <w:sz w:val="24"/>
          <w:szCs w:val="24"/>
          <w:lang w:val="en-US"/>
        </w:rPr>
        <w:t>The secondary outcomes</w:t>
      </w:r>
      <w:r w:rsidR="00BF7831">
        <w:rPr>
          <w:rFonts w:ascii="Times New Roman" w:hAnsi="Times New Roman" w:cs="Times New Roman"/>
          <w:sz w:val="24"/>
          <w:szCs w:val="24"/>
          <w:lang w:val="en-US"/>
        </w:rPr>
        <w:t xml:space="preserve"> </w:t>
      </w:r>
      <w:r w:rsidR="00A6180C" w:rsidRPr="007B140B">
        <w:rPr>
          <w:rFonts w:ascii="Times New Roman" w:hAnsi="Times New Roman" w:cs="Times New Roman"/>
          <w:sz w:val="24"/>
          <w:szCs w:val="24"/>
          <w:lang w:val="en-US"/>
        </w:rPr>
        <w:t>are as follows</w:t>
      </w:r>
      <w:r w:rsidR="00753233">
        <w:rPr>
          <w:rFonts w:ascii="Times New Roman" w:hAnsi="Times New Roman" w:cs="Times New Roman"/>
          <w:sz w:val="24"/>
          <w:szCs w:val="24"/>
          <w:lang w:val="en-US"/>
        </w:rPr>
        <w:t xml:space="preserve"> (ICD-10-SE)</w:t>
      </w:r>
      <w:r w:rsidR="00A6180C" w:rsidRPr="007B140B">
        <w:rPr>
          <w:rFonts w:ascii="Times New Roman" w:hAnsi="Times New Roman" w:cs="Times New Roman"/>
          <w:sz w:val="24"/>
          <w:szCs w:val="24"/>
          <w:lang w:val="en-US"/>
        </w:rPr>
        <w:t>:</w:t>
      </w:r>
      <w:r w:rsidR="00753233" w:rsidRPr="00753233">
        <w:rPr>
          <w:rFonts w:ascii="Times New Roman" w:hAnsi="Times New Roman" w:cs="Times New Roman"/>
          <w:sz w:val="24"/>
          <w:szCs w:val="24"/>
          <w:lang w:val="en-US"/>
        </w:rPr>
        <w:t xml:space="preserve"> </w:t>
      </w:r>
    </w:p>
    <w:p w14:paraId="4628F878" w14:textId="551602C4" w:rsidR="00E7370D" w:rsidRDefault="00E7370D" w:rsidP="00541A88">
      <w:pPr>
        <w:pStyle w:val="Liststycke"/>
        <w:numPr>
          <w:ilvl w:val="0"/>
          <w:numId w:val="9"/>
        </w:numPr>
        <w:rPr>
          <w:rFonts w:ascii="Times New Roman" w:hAnsi="Times New Roman" w:cs="Times New Roman"/>
          <w:sz w:val="24"/>
          <w:szCs w:val="24"/>
          <w:lang w:val="en-US"/>
        </w:rPr>
      </w:pPr>
      <w:r>
        <w:rPr>
          <w:rFonts w:ascii="Times New Roman" w:hAnsi="Times New Roman" w:cs="Times New Roman"/>
          <w:sz w:val="24"/>
          <w:szCs w:val="24"/>
          <w:lang w:val="en-US"/>
        </w:rPr>
        <w:t>Time to first non-vertebral fracture</w:t>
      </w:r>
      <w:r w:rsidR="00E118D7">
        <w:rPr>
          <w:rFonts w:ascii="Times New Roman" w:hAnsi="Times New Roman" w:cs="Times New Roman"/>
          <w:sz w:val="24"/>
          <w:szCs w:val="24"/>
          <w:lang w:val="en-US"/>
        </w:rPr>
        <w:t xml:space="preserve"> (S22.2, S22.3, S22.4-S22.8, S32.1-S32.5, S42, S52, S72, S82)</w:t>
      </w:r>
    </w:p>
    <w:p w14:paraId="07BCC6E4" w14:textId="4A40974C" w:rsidR="00E7370D" w:rsidRPr="00F40793" w:rsidRDefault="00E7370D">
      <w:pPr>
        <w:pStyle w:val="Liststycke"/>
        <w:numPr>
          <w:ilvl w:val="0"/>
          <w:numId w:val="9"/>
        </w:numPr>
        <w:rPr>
          <w:rFonts w:ascii="Times New Roman" w:hAnsi="Times New Roman" w:cs="Times New Roman"/>
          <w:sz w:val="24"/>
          <w:szCs w:val="24"/>
          <w:lang w:val="en-US"/>
        </w:rPr>
      </w:pPr>
      <w:r w:rsidRPr="007B140B">
        <w:rPr>
          <w:rFonts w:ascii="Times New Roman" w:hAnsi="Times New Roman" w:cs="Times New Roman"/>
          <w:sz w:val="24"/>
          <w:szCs w:val="24"/>
          <w:lang w:val="en-US"/>
        </w:rPr>
        <w:t>Time to first new non-hip, non-vertebral fracture</w:t>
      </w:r>
      <w:r w:rsidR="00E118D7">
        <w:rPr>
          <w:rFonts w:ascii="Times New Roman" w:hAnsi="Times New Roman" w:cs="Times New Roman"/>
          <w:sz w:val="24"/>
          <w:szCs w:val="24"/>
          <w:lang w:val="en-US"/>
        </w:rPr>
        <w:t xml:space="preserve"> (S22.2-S22.8, S32.1-S32.5, S42, S52, S72.3-S72.4, S82)</w:t>
      </w:r>
    </w:p>
    <w:p w14:paraId="2583E14A" w14:textId="110BA197" w:rsidR="00541A88" w:rsidRPr="007B140B" w:rsidRDefault="00541A88" w:rsidP="00541A88">
      <w:pPr>
        <w:pStyle w:val="Liststycke"/>
        <w:numPr>
          <w:ilvl w:val="0"/>
          <w:numId w:val="9"/>
        </w:num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Time to </w:t>
      </w:r>
      <w:r w:rsidR="00A4387E" w:rsidRPr="007B140B">
        <w:rPr>
          <w:rFonts w:ascii="Times New Roman" w:hAnsi="Times New Roman" w:cs="Times New Roman"/>
          <w:sz w:val="24"/>
          <w:szCs w:val="24"/>
          <w:lang w:val="en-US"/>
        </w:rPr>
        <w:t xml:space="preserve">first </w:t>
      </w:r>
      <w:r w:rsidRPr="007B140B">
        <w:rPr>
          <w:rFonts w:ascii="Times New Roman" w:hAnsi="Times New Roman" w:cs="Times New Roman"/>
          <w:sz w:val="24"/>
          <w:szCs w:val="24"/>
          <w:lang w:val="en-US"/>
        </w:rPr>
        <w:t>hip fracture</w:t>
      </w:r>
      <w:r w:rsidR="00E118D7">
        <w:rPr>
          <w:rFonts w:ascii="Times New Roman" w:hAnsi="Times New Roman" w:cs="Times New Roman"/>
          <w:sz w:val="24"/>
          <w:szCs w:val="24"/>
          <w:lang w:val="en-US"/>
        </w:rPr>
        <w:t xml:space="preserve"> (S72.0-S72.2)</w:t>
      </w:r>
    </w:p>
    <w:p w14:paraId="090AC112" w14:textId="7A316C6D" w:rsidR="001F59A6" w:rsidRPr="007B140B" w:rsidRDefault="001F59A6" w:rsidP="001F59A6">
      <w:pPr>
        <w:pStyle w:val="Liststycke"/>
        <w:numPr>
          <w:ilvl w:val="0"/>
          <w:numId w:val="9"/>
        </w:num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Time to first </w:t>
      </w:r>
      <w:r w:rsidR="006E08C9" w:rsidRPr="007B140B">
        <w:rPr>
          <w:rFonts w:ascii="Times New Roman" w:hAnsi="Times New Roman" w:cs="Times New Roman"/>
          <w:sz w:val="24"/>
          <w:szCs w:val="24"/>
          <w:lang w:val="en-US"/>
        </w:rPr>
        <w:t xml:space="preserve">new </w:t>
      </w:r>
      <w:r w:rsidRPr="007B140B">
        <w:rPr>
          <w:rFonts w:ascii="Times New Roman" w:hAnsi="Times New Roman" w:cs="Times New Roman"/>
          <w:sz w:val="24"/>
          <w:szCs w:val="24"/>
          <w:lang w:val="en-US"/>
        </w:rPr>
        <w:t>forearm fracture</w:t>
      </w:r>
      <w:r w:rsidR="00E118D7">
        <w:rPr>
          <w:rFonts w:ascii="Times New Roman" w:hAnsi="Times New Roman" w:cs="Times New Roman"/>
          <w:sz w:val="24"/>
          <w:szCs w:val="24"/>
          <w:lang w:val="en-US"/>
        </w:rPr>
        <w:t xml:space="preserve"> (S52)</w:t>
      </w:r>
    </w:p>
    <w:p w14:paraId="5962970E" w14:textId="0B0F5091" w:rsidR="00F82794" w:rsidRPr="007B140B" w:rsidRDefault="00F82794" w:rsidP="00317646">
      <w:pPr>
        <w:pStyle w:val="Liststycke"/>
        <w:numPr>
          <w:ilvl w:val="0"/>
          <w:numId w:val="9"/>
        </w:numPr>
        <w:rPr>
          <w:rFonts w:ascii="Times New Roman" w:hAnsi="Times New Roman" w:cs="Times New Roman"/>
          <w:sz w:val="24"/>
          <w:szCs w:val="24"/>
          <w:lang w:val="en-US"/>
        </w:rPr>
      </w:pPr>
      <w:r w:rsidRPr="007B140B">
        <w:rPr>
          <w:rFonts w:ascii="Times New Roman" w:hAnsi="Times New Roman" w:cs="Times New Roman"/>
          <w:sz w:val="24"/>
          <w:szCs w:val="24"/>
          <w:lang w:val="en-US"/>
        </w:rPr>
        <w:lastRenderedPageBreak/>
        <w:t>Time to first clinical vertebral fracture</w:t>
      </w:r>
      <w:r w:rsidR="00E118D7">
        <w:rPr>
          <w:rFonts w:ascii="Times New Roman" w:hAnsi="Times New Roman" w:cs="Times New Roman"/>
          <w:sz w:val="24"/>
          <w:szCs w:val="24"/>
          <w:lang w:val="en-US"/>
        </w:rPr>
        <w:t xml:space="preserve"> (S12, S22.0</w:t>
      </w:r>
      <w:r w:rsidR="008809FC">
        <w:rPr>
          <w:rFonts w:ascii="Times New Roman" w:hAnsi="Times New Roman" w:cs="Times New Roman"/>
          <w:sz w:val="24"/>
          <w:szCs w:val="24"/>
          <w:lang w:val="en-US"/>
        </w:rPr>
        <w:t>, S22.1, S32.0</w:t>
      </w:r>
      <w:r w:rsidR="00317646">
        <w:rPr>
          <w:rFonts w:ascii="Times New Roman" w:hAnsi="Times New Roman" w:cs="Times New Roman"/>
          <w:sz w:val="24"/>
          <w:szCs w:val="24"/>
          <w:lang w:val="en-US"/>
        </w:rPr>
        <w:t xml:space="preserve">, </w:t>
      </w:r>
      <w:r w:rsidR="00317646" w:rsidRPr="00317646">
        <w:rPr>
          <w:rFonts w:ascii="Times New Roman" w:hAnsi="Times New Roman" w:cs="Times New Roman"/>
          <w:sz w:val="24"/>
          <w:szCs w:val="24"/>
          <w:lang w:val="en-US"/>
        </w:rPr>
        <w:t>M48.5, M</w:t>
      </w:r>
      <w:r w:rsidR="00326B71">
        <w:rPr>
          <w:rFonts w:ascii="Times New Roman" w:hAnsi="Times New Roman" w:cs="Times New Roman"/>
          <w:sz w:val="24"/>
          <w:szCs w:val="24"/>
          <w:lang w:val="en-US"/>
        </w:rPr>
        <w:t>49.5, M80.0A, M80.0J, M80.0K</w:t>
      </w:r>
      <w:r w:rsidR="006D2ADD">
        <w:rPr>
          <w:rFonts w:ascii="Times New Roman" w:hAnsi="Times New Roman" w:cs="Times New Roman"/>
          <w:sz w:val="24"/>
          <w:szCs w:val="24"/>
          <w:lang w:val="en-US"/>
        </w:rPr>
        <w:t>, T08</w:t>
      </w:r>
      <w:r w:rsidR="00E118D7">
        <w:rPr>
          <w:rFonts w:ascii="Times New Roman" w:hAnsi="Times New Roman" w:cs="Times New Roman"/>
          <w:sz w:val="24"/>
          <w:szCs w:val="24"/>
          <w:lang w:val="en-US"/>
        </w:rPr>
        <w:t>)</w:t>
      </w:r>
    </w:p>
    <w:p w14:paraId="599A909B" w14:textId="64D40F7D" w:rsidR="00A6180C" w:rsidRPr="007B140B" w:rsidRDefault="00294C96" w:rsidP="00363CEE">
      <w:pPr>
        <w:pStyle w:val="Liststycke"/>
        <w:numPr>
          <w:ilvl w:val="0"/>
          <w:numId w:val="9"/>
        </w:numPr>
        <w:rPr>
          <w:rFonts w:ascii="Times New Roman" w:hAnsi="Times New Roman" w:cs="Times New Roman"/>
          <w:sz w:val="24"/>
          <w:szCs w:val="24"/>
          <w:lang w:val="en-US"/>
        </w:rPr>
      </w:pPr>
      <w:r w:rsidRPr="007B140B">
        <w:rPr>
          <w:rFonts w:ascii="Times New Roman" w:hAnsi="Times New Roman" w:cs="Times New Roman"/>
          <w:sz w:val="24"/>
          <w:szCs w:val="24"/>
          <w:lang w:val="en-US"/>
        </w:rPr>
        <w:t>Time to death</w:t>
      </w:r>
    </w:p>
    <w:p w14:paraId="3F084311" w14:textId="30656E60" w:rsidR="00A6180C" w:rsidRPr="007B140B" w:rsidRDefault="00294C96" w:rsidP="00363CEE">
      <w:pPr>
        <w:pStyle w:val="Liststycke"/>
        <w:numPr>
          <w:ilvl w:val="0"/>
          <w:numId w:val="9"/>
        </w:numPr>
        <w:rPr>
          <w:rFonts w:ascii="Times New Roman" w:hAnsi="Times New Roman" w:cs="Times New Roman"/>
          <w:sz w:val="24"/>
          <w:szCs w:val="24"/>
          <w:lang w:val="en-US"/>
        </w:rPr>
      </w:pPr>
      <w:r w:rsidRPr="007B140B">
        <w:rPr>
          <w:rFonts w:ascii="Times New Roman" w:hAnsi="Times New Roman" w:cs="Times New Roman"/>
          <w:sz w:val="24"/>
          <w:szCs w:val="24"/>
          <w:lang w:val="en-US"/>
        </w:rPr>
        <w:t>Time to</w:t>
      </w:r>
      <w:r w:rsidR="00A6180C" w:rsidRPr="007B140B">
        <w:rPr>
          <w:rFonts w:ascii="Times New Roman" w:hAnsi="Times New Roman" w:cs="Times New Roman"/>
          <w:sz w:val="24"/>
          <w:szCs w:val="24"/>
          <w:lang w:val="en-US"/>
        </w:rPr>
        <w:t xml:space="preserve"> </w:t>
      </w:r>
      <w:r w:rsidR="00A4387E" w:rsidRPr="007B140B">
        <w:rPr>
          <w:rFonts w:ascii="Times New Roman" w:hAnsi="Times New Roman" w:cs="Times New Roman"/>
          <w:sz w:val="24"/>
          <w:szCs w:val="24"/>
          <w:lang w:val="en-US"/>
        </w:rPr>
        <w:t xml:space="preserve">first </w:t>
      </w:r>
      <w:r w:rsidR="002E2039">
        <w:rPr>
          <w:rFonts w:ascii="Times New Roman" w:hAnsi="Times New Roman" w:cs="Times New Roman"/>
          <w:sz w:val="24"/>
          <w:szCs w:val="24"/>
          <w:lang w:val="en-US"/>
        </w:rPr>
        <w:t xml:space="preserve">new </w:t>
      </w:r>
      <w:r w:rsidR="0010116C" w:rsidRPr="007B140B">
        <w:rPr>
          <w:rFonts w:ascii="Times New Roman" w:hAnsi="Times New Roman" w:cs="Times New Roman"/>
          <w:sz w:val="24"/>
          <w:szCs w:val="24"/>
          <w:lang w:val="en-US"/>
        </w:rPr>
        <w:t xml:space="preserve">cardiovascular </w:t>
      </w:r>
      <w:r w:rsidR="00541A88" w:rsidRPr="007B140B">
        <w:rPr>
          <w:rFonts w:ascii="Times New Roman" w:hAnsi="Times New Roman" w:cs="Times New Roman"/>
          <w:sz w:val="24"/>
          <w:szCs w:val="24"/>
          <w:lang w:val="en-US"/>
        </w:rPr>
        <w:t>event</w:t>
      </w:r>
      <w:r w:rsidR="0010116C" w:rsidRPr="007B140B">
        <w:rPr>
          <w:rFonts w:ascii="Times New Roman" w:hAnsi="Times New Roman" w:cs="Times New Roman"/>
          <w:sz w:val="24"/>
          <w:szCs w:val="24"/>
          <w:lang w:val="en-US"/>
        </w:rPr>
        <w:t xml:space="preserve"> (</w:t>
      </w:r>
      <w:r w:rsidR="001E62B4" w:rsidRPr="007B140B">
        <w:rPr>
          <w:rFonts w:ascii="Times New Roman" w:hAnsi="Times New Roman" w:cs="Times New Roman"/>
          <w:sz w:val="24"/>
          <w:szCs w:val="24"/>
          <w:lang w:val="en-US"/>
        </w:rPr>
        <w:t xml:space="preserve">stroke or </w:t>
      </w:r>
      <w:r w:rsidR="00A6180C" w:rsidRPr="007B140B">
        <w:rPr>
          <w:rFonts w:ascii="Times New Roman" w:hAnsi="Times New Roman" w:cs="Times New Roman"/>
          <w:sz w:val="24"/>
          <w:szCs w:val="24"/>
          <w:lang w:val="en-US"/>
        </w:rPr>
        <w:t>myocardial inf</w:t>
      </w:r>
      <w:r w:rsidR="001E62B4" w:rsidRPr="007B140B">
        <w:rPr>
          <w:rFonts w:ascii="Times New Roman" w:hAnsi="Times New Roman" w:cs="Times New Roman"/>
          <w:sz w:val="24"/>
          <w:szCs w:val="24"/>
          <w:lang w:val="en-US"/>
        </w:rPr>
        <w:t>arction</w:t>
      </w:r>
      <w:r w:rsidR="00541A88" w:rsidRPr="007B140B">
        <w:rPr>
          <w:rFonts w:ascii="Times New Roman" w:hAnsi="Times New Roman" w:cs="Times New Roman"/>
          <w:sz w:val="24"/>
          <w:szCs w:val="24"/>
          <w:lang w:val="en-US"/>
        </w:rPr>
        <w:t>)</w:t>
      </w:r>
      <w:r w:rsidR="008809FC">
        <w:rPr>
          <w:rFonts w:ascii="Times New Roman" w:hAnsi="Times New Roman" w:cs="Times New Roman"/>
          <w:sz w:val="24"/>
          <w:szCs w:val="24"/>
          <w:lang w:val="en-US"/>
        </w:rPr>
        <w:t xml:space="preserve"> (I21, </w:t>
      </w:r>
      <w:r w:rsidR="008809FC" w:rsidRPr="007B140B">
        <w:rPr>
          <w:rFonts w:ascii="Times New Roman" w:hAnsi="Times New Roman" w:cs="Times New Roman"/>
          <w:sz w:val="24"/>
          <w:szCs w:val="24"/>
          <w:lang w:val="en-US"/>
        </w:rPr>
        <w:t>I60-I64</w:t>
      </w:r>
      <w:r w:rsidR="008809FC">
        <w:rPr>
          <w:rFonts w:ascii="Times New Roman" w:hAnsi="Times New Roman" w:cs="Times New Roman"/>
          <w:sz w:val="24"/>
          <w:szCs w:val="24"/>
          <w:lang w:val="en-US"/>
        </w:rPr>
        <w:t>)</w:t>
      </w:r>
    </w:p>
    <w:p w14:paraId="60D39EA5" w14:textId="58ADB87D" w:rsidR="00A6180C" w:rsidRPr="007B140B" w:rsidRDefault="00294C96" w:rsidP="00DB0CAF">
      <w:pPr>
        <w:pStyle w:val="Liststycke"/>
        <w:numPr>
          <w:ilvl w:val="0"/>
          <w:numId w:val="9"/>
        </w:numPr>
        <w:rPr>
          <w:rFonts w:ascii="Times New Roman" w:hAnsi="Times New Roman" w:cs="Times New Roman"/>
          <w:sz w:val="24"/>
          <w:szCs w:val="24"/>
          <w:lang w:val="en-US"/>
        </w:rPr>
      </w:pPr>
      <w:r w:rsidRPr="007B140B">
        <w:rPr>
          <w:rFonts w:ascii="Times New Roman" w:hAnsi="Times New Roman" w:cs="Times New Roman"/>
          <w:sz w:val="24"/>
          <w:szCs w:val="24"/>
          <w:lang w:val="en-US"/>
        </w:rPr>
        <w:t>Time to</w:t>
      </w:r>
      <w:r w:rsidR="00A6180C" w:rsidRPr="007B140B">
        <w:rPr>
          <w:rFonts w:ascii="Times New Roman" w:hAnsi="Times New Roman" w:cs="Times New Roman"/>
          <w:sz w:val="24"/>
          <w:szCs w:val="24"/>
          <w:lang w:val="en-US"/>
        </w:rPr>
        <w:t xml:space="preserve"> </w:t>
      </w:r>
      <w:r w:rsidR="00A4387E" w:rsidRPr="007B140B">
        <w:rPr>
          <w:rFonts w:ascii="Times New Roman" w:hAnsi="Times New Roman" w:cs="Times New Roman"/>
          <w:sz w:val="24"/>
          <w:szCs w:val="24"/>
          <w:lang w:val="en-US"/>
        </w:rPr>
        <w:t xml:space="preserve">first </w:t>
      </w:r>
      <w:r w:rsidR="0087299D" w:rsidRPr="007B140B">
        <w:rPr>
          <w:rFonts w:ascii="Times New Roman" w:hAnsi="Times New Roman" w:cs="Times New Roman"/>
          <w:sz w:val="24"/>
          <w:szCs w:val="24"/>
          <w:lang w:val="en-US"/>
        </w:rPr>
        <w:t xml:space="preserve">new </w:t>
      </w:r>
      <w:r w:rsidR="0094262E" w:rsidRPr="007B140B">
        <w:rPr>
          <w:rFonts w:ascii="Times New Roman" w:hAnsi="Times New Roman" w:cs="Times New Roman"/>
          <w:sz w:val="24"/>
          <w:szCs w:val="24"/>
          <w:lang w:val="en-US"/>
        </w:rPr>
        <w:t>cancer</w:t>
      </w:r>
      <w:r w:rsidR="00BE433B" w:rsidRPr="007B140B">
        <w:rPr>
          <w:rFonts w:ascii="Times New Roman" w:hAnsi="Times New Roman" w:cs="Times New Roman"/>
          <w:sz w:val="24"/>
          <w:szCs w:val="24"/>
          <w:lang w:val="en-US"/>
        </w:rPr>
        <w:t xml:space="preserve"> diagnosis</w:t>
      </w:r>
      <w:r w:rsidR="00386E2B">
        <w:rPr>
          <w:rFonts w:ascii="Times New Roman" w:hAnsi="Times New Roman" w:cs="Times New Roman"/>
          <w:sz w:val="24"/>
          <w:szCs w:val="24"/>
          <w:lang w:val="en-US"/>
        </w:rPr>
        <w:t>, excluding non-melanoma skin cancer</w:t>
      </w:r>
      <w:r w:rsidR="00DB0CAF">
        <w:rPr>
          <w:rFonts w:ascii="Times New Roman" w:hAnsi="Times New Roman" w:cs="Times New Roman"/>
          <w:sz w:val="24"/>
          <w:szCs w:val="24"/>
          <w:lang w:val="en-US"/>
        </w:rPr>
        <w:t xml:space="preserve"> (</w:t>
      </w:r>
      <w:r w:rsidR="00417208">
        <w:rPr>
          <w:rFonts w:ascii="Times New Roman" w:hAnsi="Times New Roman" w:cs="Times New Roman"/>
          <w:sz w:val="24"/>
          <w:szCs w:val="24"/>
          <w:lang w:val="en-US"/>
        </w:rPr>
        <w:t>C</w:t>
      </w:r>
      <w:r w:rsidR="00386E2B">
        <w:rPr>
          <w:rFonts w:ascii="Times New Roman" w:hAnsi="Times New Roman" w:cs="Times New Roman"/>
          <w:sz w:val="24"/>
          <w:szCs w:val="24"/>
          <w:lang w:val="en-US"/>
        </w:rPr>
        <w:t>00-C43, C45-C97</w:t>
      </w:r>
      <w:r w:rsidR="00DB0CAF">
        <w:rPr>
          <w:rFonts w:ascii="Times New Roman" w:hAnsi="Times New Roman" w:cs="Times New Roman"/>
          <w:sz w:val="24"/>
          <w:szCs w:val="24"/>
          <w:lang w:val="en-US"/>
        </w:rPr>
        <w:t>)</w:t>
      </w:r>
    </w:p>
    <w:p w14:paraId="54E8751B" w14:textId="16876D4A" w:rsidR="006E66D3" w:rsidRPr="007B140B" w:rsidRDefault="00B5665B" w:rsidP="00314A43">
      <w:pPr>
        <w:pStyle w:val="Liststycke"/>
        <w:numPr>
          <w:ilvl w:val="0"/>
          <w:numId w:val="9"/>
        </w:numPr>
        <w:rPr>
          <w:rFonts w:ascii="Times New Roman" w:hAnsi="Times New Roman" w:cs="Times New Roman"/>
          <w:sz w:val="24"/>
          <w:szCs w:val="24"/>
          <w:lang w:val="en-US"/>
        </w:rPr>
      </w:pPr>
      <w:r>
        <w:rPr>
          <w:rFonts w:ascii="Times New Roman" w:hAnsi="Times New Roman" w:cs="Times New Roman"/>
          <w:sz w:val="24"/>
          <w:szCs w:val="24"/>
          <w:lang w:val="en-US"/>
        </w:rPr>
        <w:t>Time to first</w:t>
      </w:r>
      <w:r w:rsidR="006E66D3" w:rsidRPr="007B140B">
        <w:rPr>
          <w:rFonts w:ascii="Times New Roman" w:hAnsi="Times New Roman" w:cs="Times New Roman"/>
          <w:sz w:val="24"/>
          <w:szCs w:val="24"/>
          <w:lang w:val="en-US"/>
        </w:rPr>
        <w:t xml:space="preserve"> fall</w:t>
      </w:r>
      <w:r w:rsidR="00314A43">
        <w:rPr>
          <w:rFonts w:ascii="Times New Roman" w:hAnsi="Times New Roman" w:cs="Times New Roman"/>
          <w:sz w:val="24"/>
          <w:szCs w:val="24"/>
          <w:lang w:val="en-US"/>
        </w:rPr>
        <w:t xml:space="preserve"> from standing height or less</w:t>
      </w:r>
      <w:r w:rsidR="007B150F">
        <w:rPr>
          <w:rFonts w:ascii="Times New Roman" w:hAnsi="Times New Roman" w:cs="Times New Roman"/>
          <w:sz w:val="24"/>
          <w:szCs w:val="24"/>
          <w:lang w:val="en-US"/>
        </w:rPr>
        <w:t xml:space="preserve"> </w:t>
      </w:r>
      <w:r w:rsidR="00314A43">
        <w:rPr>
          <w:rFonts w:ascii="Times New Roman" w:hAnsi="Times New Roman" w:cs="Times New Roman"/>
          <w:sz w:val="24"/>
          <w:szCs w:val="24"/>
          <w:lang w:val="en-US"/>
        </w:rPr>
        <w:t>(</w:t>
      </w:r>
      <w:r w:rsidR="00314A43" w:rsidRPr="00314A43">
        <w:rPr>
          <w:rFonts w:ascii="Times New Roman" w:hAnsi="Times New Roman" w:cs="Times New Roman"/>
          <w:sz w:val="24"/>
          <w:szCs w:val="24"/>
          <w:lang w:val="en-US"/>
        </w:rPr>
        <w:t>W00,</w:t>
      </w:r>
      <w:r w:rsidR="00314A43">
        <w:rPr>
          <w:rFonts w:ascii="Times New Roman" w:hAnsi="Times New Roman" w:cs="Times New Roman"/>
          <w:sz w:val="24"/>
          <w:szCs w:val="24"/>
          <w:lang w:val="en-US"/>
        </w:rPr>
        <w:t xml:space="preserve"> </w:t>
      </w:r>
      <w:r w:rsidR="00314A43" w:rsidRPr="00314A43">
        <w:rPr>
          <w:rFonts w:ascii="Times New Roman" w:hAnsi="Times New Roman" w:cs="Times New Roman"/>
          <w:sz w:val="24"/>
          <w:szCs w:val="24"/>
          <w:lang w:val="en-US"/>
        </w:rPr>
        <w:t>W01,</w:t>
      </w:r>
      <w:r w:rsidR="00314A43">
        <w:rPr>
          <w:rFonts w:ascii="Times New Roman" w:hAnsi="Times New Roman" w:cs="Times New Roman"/>
          <w:sz w:val="24"/>
          <w:szCs w:val="24"/>
          <w:lang w:val="en-US"/>
        </w:rPr>
        <w:t xml:space="preserve"> </w:t>
      </w:r>
      <w:r w:rsidR="00314A43" w:rsidRPr="00314A43">
        <w:rPr>
          <w:rFonts w:ascii="Times New Roman" w:hAnsi="Times New Roman" w:cs="Times New Roman"/>
          <w:sz w:val="24"/>
          <w:szCs w:val="24"/>
          <w:lang w:val="en-US"/>
        </w:rPr>
        <w:t>W03,</w:t>
      </w:r>
      <w:r w:rsidR="00314A43">
        <w:rPr>
          <w:rFonts w:ascii="Times New Roman" w:hAnsi="Times New Roman" w:cs="Times New Roman"/>
          <w:sz w:val="24"/>
          <w:szCs w:val="24"/>
          <w:lang w:val="en-US"/>
        </w:rPr>
        <w:t xml:space="preserve"> </w:t>
      </w:r>
      <w:r w:rsidR="00314A43" w:rsidRPr="00314A43">
        <w:rPr>
          <w:rFonts w:ascii="Times New Roman" w:hAnsi="Times New Roman" w:cs="Times New Roman"/>
          <w:sz w:val="24"/>
          <w:szCs w:val="24"/>
          <w:lang w:val="en-US"/>
        </w:rPr>
        <w:t>W04,</w:t>
      </w:r>
      <w:r w:rsidR="00314A43">
        <w:rPr>
          <w:rFonts w:ascii="Times New Roman" w:hAnsi="Times New Roman" w:cs="Times New Roman"/>
          <w:sz w:val="24"/>
          <w:szCs w:val="24"/>
          <w:lang w:val="en-US"/>
        </w:rPr>
        <w:t xml:space="preserve"> </w:t>
      </w:r>
      <w:r w:rsidR="00314A43" w:rsidRPr="00314A43">
        <w:rPr>
          <w:rFonts w:ascii="Times New Roman" w:hAnsi="Times New Roman" w:cs="Times New Roman"/>
          <w:sz w:val="24"/>
          <w:szCs w:val="24"/>
          <w:lang w:val="en-US"/>
        </w:rPr>
        <w:t>W18</w:t>
      </w:r>
      <w:r w:rsidR="00314A43">
        <w:rPr>
          <w:rFonts w:ascii="Times New Roman" w:hAnsi="Times New Roman" w:cs="Times New Roman"/>
          <w:sz w:val="24"/>
          <w:szCs w:val="24"/>
          <w:lang w:val="en-US"/>
        </w:rPr>
        <w:t xml:space="preserve">) </w:t>
      </w:r>
      <w:r w:rsidR="00322E48" w:rsidRPr="007B140B">
        <w:rPr>
          <w:rFonts w:ascii="Times New Roman" w:hAnsi="Times New Roman" w:cs="Times New Roman"/>
          <w:sz w:val="24"/>
          <w:szCs w:val="24"/>
          <w:lang w:val="en-US"/>
        </w:rPr>
        <w:t>not resulting in fracture</w:t>
      </w:r>
    </w:p>
    <w:bookmarkEnd w:id="37"/>
    <w:p w14:paraId="4155725F" w14:textId="0F7180CB" w:rsidR="00C043DC" w:rsidRDefault="00AA7FAD">
      <w:pPr>
        <w:rPr>
          <w:rFonts w:ascii="Times New Roman" w:hAnsi="Times New Roman" w:cs="Times New Roman"/>
          <w:sz w:val="24"/>
          <w:szCs w:val="24"/>
          <w:lang w:val="en-US"/>
        </w:rPr>
      </w:pPr>
      <w:r>
        <w:rPr>
          <w:rFonts w:ascii="Times New Roman" w:hAnsi="Times New Roman" w:cs="Times New Roman"/>
          <w:sz w:val="24"/>
          <w:szCs w:val="24"/>
          <w:lang w:val="en-US"/>
        </w:rPr>
        <w:t>Hip fractures are included among non-vertebral fractures</w:t>
      </w:r>
      <w:r w:rsidR="009D6ABC">
        <w:rPr>
          <w:rFonts w:ascii="Times New Roman" w:hAnsi="Times New Roman" w:cs="Times New Roman"/>
          <w:sz w:val="24"/>
          <w:szCs w:val="24"/>
          <w:lang w:val="en-US"/>
        </w:rPr>
        <w:t>,</w:t>
      </w:r>
      <w:r>
        <w:rPr>
          <w:rFonts w:ascii="Times New Roman" w:hAnsi="Times New Roman" w:cs="Times New Roman"/>
          <w:sz w:val="24"/>
          <w:szCs w:val="24"/>
          <w:lang w:val="en-US"/>
        </w:rPr>
        <w:t xml:space="preserve"> and f</w:t>
      </w:r>
      <w:r w:rsidR="00A73108">
        <w:rPr>
          <w:rFonts w:ascii="Times New Roman" w:hAnsi="Times New Roman" w:cs="Times New Roman"/>
          <w:sz w:val="24"/>
          <w:szCs w:val="24"/>
          <w:lang w:val="en-US"/>
        </w:rPr>
        <w:t xml:space="preserve">orearm fractures are included </w:t>
      </w:r>
      <w:r>
        <w:rPr>
          <w:rFonts w:ascii="Times New Roman" w:hAnsi="Times New Roman" w:cs="Times New Roman"/>
          <w:sz w:val="24"/>
          <w:szCs w:val="24"/>
          <w:lang w:val="en-US"/>
        </w:rPr>
        <w:t>among</w:t>
      </w:r>
      <w:r w:rsidR="00A73108">
        <w:rPr>
          <w:rFonts w:ascii="Times New Roman" w:hAnsi="Times New Roman" w:cs="Times New Roman"/>
          <w:sz w:val="24"/>
          <w:szCs w:val="24"/>
          <w:lang w:val="en-US"/>
        </w:rPr>
        <w:t xml:space="preserve"> non-h</w:t>
      </w:r>
      <w:r w:rsidR="0072062D">
        <w:rPr>
          <w:rFonts w:ascii="Times New Roman" w:hAnsi="Times New Roman" w:cs="Times New Roman"/>
          <w:sz w:val="24"/>
          <w:szCs w:val="24"/>
          <w:lang w:val="en-US"/>
        </w:rPr>
        <w:t>ip, non-vertebral fractures. However,</w:t>
      </w:r>
      <w:r w:rsidR="00A7310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hip fractures and </w:t>
      </w:r>
      <w:r w:rsidR="00A73108">
        <w:rPr>
          <w:rFonts w:ascii="Times New Roman" w:hAnsi="Times New Roman" w:cs="Times New Roman"/>
          <w:sz w:val="24"/>
          <w:szCs w:val="24"/>
          <w:lang w:val="en-US"/>
        </w:rPr>
        <w:t xml:space="preserve">forearm fractures will also be assessed separately </w:t>
      </w:r>
      <w:r w:rsidR="009513E5">
        <w:rPr>
          <w:rFonts w:ascii="Times New Roman" w:hAnsi="Times New Roman" w:cs="Times New Roman"/>
          <w:sz w:val="24"/>
          <w:szCs w:val="24"/>
          <w:lang w:val="en-US"/>
        </w:rPr>
        <w:t>because these</w:t>
      </w:r>
      <w:r w:rsidR="00A73108">
        <w:rPr>
          <w:rFonts w:ascii="Times New Roman" w:hAnsi="Times New Roman" w:cs="Times New Roman"/>
          <w:sz w:val="24"/>
          <w:szCs w:val="24"/>
          <w:lang w:val="en-US"/>
        </w:rPr>
        <w:t xml:space="preserve"> </w:t>
      </w:r>
      <w:r>
        <w:rPr>
          <w:rFonts w:ascii="Times New Roman" w:hAnsi="Times New Roman" w:cs="Times New Roman"/>
          <w:sz w:val="24"/>
          <w:szCs w:val="24"/>
          <w:lang w:val="en-US"/>
        </w:rPr>
        <w:t>are</w:t>
      </w:r>
      <w:r w:rsidR="00A73108">
        <w:rPr>
          <w:rFonts w:ascii="Times New Roman" w:hAnsi="Times New Roman" w:cs="Times New Roman"/>
          <w:sz w:val="24"/>
          <w:szCs w:val="24"/>
          <w:lang w:val="en-US"/>
        </w:rPr>
        <w:t xml:space="preserve"> common and classic osteoporotic fracture</w:t>
      </w:r>
      <w:r>
        <w:rPr>
          <w:rFonts w:ascii="Times New Roman" w:hAnsi="Times New Roman" w:cs="Times New Roman"/>
          <w:sz w:val="24"/>
          <w:szCs w:val="24"/>
          <w:lang w:val="en-US"/>
        </w:rPr>
        <w:t>s</w:t>
      </w:r>
      <w:r w:rsidR="00A73108">
        <w:rPr>
          <w:rFonts w:ascii="Times New Roman" w:hAnsi="Times New Roman" w:cs="Times New Roman"/>
          <w:sz w:val="24"/>
          <w:szCs w:val="24"/>
          <w:lang w:val="en-US"/>
        </w:rPr>
        <w:t xml:space="preserve">. </w:t>
      </w:r>
    </w:p>
    <w:p w14:paraId="60B92499" w14:textId="72365F96" w:rsidR="00AA5BAA" w:rsidRPr="00AA72F8" w:rsidRDefault="001A7789">
      <w:pPr>
        <w:rPr>
          <w:rFonts w:ascii="Times New Roman" w:hAnsi="Times New Roman" w:cs="Times New Roman"/>
          <w:sz w:val="24"/>
          <w:szCs w:val="24"/>
          <w:lang w:val="en-US"/>
        </w:rPr>
      </w:pPr>
      <w:r>
        <w:rPr>
          <w:rFonts w:ascii="Times New Roman" w:hAnsi="Times New Roman" w:cs="Times New Roman"/>
          <w:sz w:val="24"/>
          <w:szCs w:val="24"/>
          <w:lang w:val="en-US"/>
        </w:rPr>
        <w:t>Fractures, m</w:t>
      </w:r>
      <w:r w:rsidR="0053120F" w:rsidRPr="007B140B">
        <w:rPr>
          <w:rFonts w:ascii="Times New Roman" w:hAnsi="Times New Roman" w:cs="Times New Roman"/>
          <w:sz w:val="24"/>
          <w:szCs w:val="24"/>
          <w:lang w:val="en-US"/>
        </w:rPr>
        <w:t>yocardial infarction</w:t>
      </w:r>
      <w:r w:rsidR="00A90404">
        <w:rPr>
          <w:rFonts w:ascii="Times New Roman" w:hAnsi="Times New Roman" w:cs="Times New Roman"/>
          <w:sz w:val="24"/>
          <w:szCs w:val="24"/>
          <w:lang w:val="en-US"/>
        </w:rPr>
        <w:t xml:space="preserve">, </w:t>
      </w:r>
      <w:r w:rsidR="0053120F" w:rsidRPr="007B140B">
        <w:rPr>
          <w:rFonts w:ascii="Times New Roman" w:hAnsi="Times New Roman" w:cs="Times New Roman"/>
          <w:sz w:val="24"/>
          <w:szCs w:val="24"/>
          <w:lang w:val="en-US"/>
        </w:rPr>
        <w:t>stroke</w:t>
      </w:r>
      <w:r w:rsidR="00A90404">
        <w:rPr>
          <w:rFonts w:ascii="Times New Roman" w:hAnsi="Times New Roman" w:cs="Times New Roman"/>
          <w:sz w:val="24"/>
          <w:szCs w:val="24"/>
          <w:lang w:val="en-US"/>
        </w:rPr>
        <w:t>, cancer</w:t>
      </w:r>
      <w:r w:rsidR="005D747B">
        <w:rPr>
          <w:rFonts w:ascii="Times New Roman" w:hAnsi="Times New Roman" w:cs="Times New Roman"/>
          <w:sz w:val="24"/>
          <w:szCs w:val="24"/>
          <w:lang w:val="en-US"/>
        </w:rPr>
        <w:t>, and falls</w:t>
      </w:r>
      <w:r w:rsidR="00544D57" w:rsidRPr="007B140B">
        <w:rPr>
          <w:rFonts w:ascii="Times New Roman" w:hAnsi="Times New Roman" w:cs="Times New Roman"/>
          <w:sz w:val="24"/>
          <w:szCs w:val="24"/>
          <w:lang w:val="en-US"/>
        </w:rPr>
        <w:t xml:space="preserve"> will be </w:t>
      </w:r>
      <w:r w:rsidR="0053120F" w:rsidRPr="007B140B">
        <w:rPr>
          <w:rFonts w:ascii="Times New Roman" w:hAnsi="Times New Roman" w:cs="Times New Roman"/>
          <w:sz w:val="24"/>
          <w:szCs w:val="24"/>
          <w:lang w:val="en-US"/>
        </w:rPr>
        <w:t xml:space="preserve">traced </w:t>
      </w:r>
      <w:r w:rsidR="005E27EE">
        <w:rPr>
          <w:rFonts w:ascii="Times New Roman" w:hAnsi="Times New Roman" w:cs="Times New Roman"/>
          <w:sz w:val="24"/>
          <w:szCs w:val="24"/>
          <w:lang w:val="en-US"/>
        </w:rPr>
        <w:t>through</w:t>
      </w:r>
      <w:r w:rsidR="005E27EE" w:rsidRPr="007B140B">
        <w:rPr>
          <w:rFonts w:ascii="Times New Roman" w:hAnsi="Times New Roman" w:cs="Times New Roman"/>
          <w:sz w:val="24"/>
          <w:szCs w:val="24"/>
          <w:lang w:val="en-US"/>
        </w:rPr>
        <w:t xml:space="preserve"> the National Patient Register</w:t>
      </w:r>
      <w:r w:rsidR="005E27EE">
        <w:rPr>
          <w:rFonts w:ascii="Times New Roman" w:hAnsi="Times New Roman" w:cs="Times New Roman"/>
          <w:sz w:val="24"/>
          <w:szCs w:val="24"/>
          <w:lang w:val="en-US"/>
        </w:rPr>
        <w:t xml:space="preserve"> </w:t>
      </w:r>
      <w:r w:rsidR="009513E5">
        <w:rPr>
          <w:rFonts w:ascii="Times New Roman" w:hAnsi="Times New Roman" w:cs="Times New Roman"/>
          <w:sz w:val="24"/>
          <w:szCs w:val="24"/>
          <w:lang w:val="en-US"/>
        </w:rPr>
        <w:t xml:space="preserve">using the above-mentioned </w:t>
      </w:r>
      <w:r w:rsidR="00893F25">
        <w:rPr>
          <w:rFonts w:ascii="Times New Roman" w:hAnsi="Times New Roman" w:cs="Times New Roman"/>
          <w:sz w:val="24"/>
          <w:szCs w:val="24"/>
          <w:lang w:val="en-US"/>
        </w:rPr>
        <w:t>ICD-10-SE</w:t>
      </w:r>
      <w:r w:rsidR="0053120F" w:rsidRPr="007B140B">
        <w:rPr>
          <w:rFonts w:ascii="Times New Roman" w:hAnsi="Times New Roman" w:cs="Times New Roman"/>
          <w:sz w:val="24"/>
          <w:szCs w:val="24"/>
          <w:lang w:val="en-US"/>
        </w:rPr>
        <w:t xml:space="preserve"> codes</w:t>
      </w:r>
      <w:r w:rsidR="00A90404">
        <w:rPr>
          <w:rFonts w:ascii="Times New Roman" w:hAnsi="Times New Roman" w:cs="Times New Roman"/>
          <w:sz w:val="24"/>
          <w:szCs w:val="24"/>
          <w:lang w:val="en-US"/>
        </w:rPr>
        <w:t>.</w:t>
      </w:r>
      <w:r w:rsidR="00A25EAF">
        <w:rPr>
          <w:rFonts w:ascii="Times New Roman" w:hAnsi="Times New Roman" w:cs="Times New Roman"/>
          <w:sz w:val="24"/>
          <w:szCs w:val="24"/>
          <w:lang w:val="en-US"/>
        </w:rPr>
        <w:t xml:space="preserve"> F</w:t>
      </w:r>
      <w:r w:rsidR="00207126">
        <w:rPr>
          <w:rFonts w:ascii="Times New Roman" w:hAnsi="Times New Roman" w:cs="Times New Roman"/>
          <w:sz w:val="24"/>
          <w:szCs w:val="24"/>
          <w:lang w:val="en-US"/>
        </w:rPr>
        <w:t>ractures will also be traced</w:t>
      </w:r>
      <w:r w:rsidR="00A25EAF">
        <w:rPr>
          <w:rFonts w:ascii="Times New Roman" w:hAnsi="Times New Roman" w:cs="Times New Roman"/>
          <w:sz w:val="24"/>
          <w:szCs w:val="24"/>
          <w:lang w:val="en-US"/>
        </w:rPr>
        <w:t xml:space="preserve"> through medical records and the Swedish Fracture Register</w:t>
      </w:r>
      <w:r w:rsidR="00BC6C6A">
        <w:rPr>
          <w:rFonts w:ascii="Times New Roman" w:hAnsi="Times New Roman" w:cs="Times New Roman"/>
          <w:sz w:val="24"/>
          <w:szCs w:val="24"/>
          <w:lang w:val="en-US"/>
        </w:rPr>
        <w:t xml:space="preserve"> (same ICD-10-SE codes)</w:t>
      </w:r>
      <w:r w:rsidR="00A25EAF">
        <w:rPr>
          <w:rFonts w:ascii="Times New Roman" w:hAnsi="Times New Roman" w:cs="Times New Roman"/>
          <w:sz w:val="24"/>
          <w:szCs w:val="24"/>
          <w:lang w:val="en-US"/>
        </w:rPr>
        <w:t>.</w:t>
      </w:r>
      <w:r w:rsidR="00A90404">
        <w:rPr>
          <w:rFonts w:ascii="Times New Roman" w:hAnsi="Times New Roman" w:cs="Times New Roman"/>
          <w:sz w:val="24"/>
          <w:szCs w:val="24"/>
          <w:lang w:val="en-US"/>
        </w:rPr>
        <w:t xml:space="preserve"> </w:t>
      </w:r>
      <w:r w:rsidR="00544D57" w:rsidRPr="007B140B">
        <w:rPr>
          <w:rFonts w:ascii="Times New Roman" w:hAnsi="Times New Roman" w:cs="Times New Roman"/>
          <w:sz w:val="24"/>
          <w:szCs w:val="24"/>
          <w:lang w:val="en-US"/>
        </w:rPr>
        <w:t xml:space="preserve">Deaths will be identified </w:t>
      </w:r>
      <w:r w:rsidR="005000B9">
        <w:rPr>
          <w:rFonts w:ascii="Times New Roman" w:hAnsi="Times New Roman" w:cs="Times New Roman"/>
          <w:sz w:val="24"/>
          <w:szCs w:val="24"/>
          <w:lang w:val="en-US"/>
        </w:rPr>
        <w:t xml:space="preserve">centrally by the sponsor </w:t>
      </w:r>
      <w:r w:rsidR="0008714D" w:rsidRPr="007B140B">
        <w:rPr>
          <w:rFonts w:ascii="Times New Roman" w:hAnsi="Times New Roman" w:cs="Times New Roman"/>
          <w:sz w:val="24"/>
          <w:szCs w:val="24"/>
          <w:lang w:val="en-US"/>
        </w:rPr>
        <w:t>through</w:t>
      </w:r>
      <w:r w:rsidR="00544D57" w:rsidRPr="007B140B">
        <w:rPr>
          <w:rFonts w:ascii="Times New Roman" w:hAnsi="Times New Roman" w:cs="Times New Roman"/>
          <w:sz w:val="24"/>
          <w:szCs w:val="24"/>
          <w:lang w:val="en-US"/>
        </w:rPr>
        <w:t xml:space="preserve"> the Swedish Cause of Death</w:t>
      </w:r>
      <w:r w:rsidR="0008714D" w:rsidRPr="007B140B">
        <w:rPr>
          <w:rFonts w:ascii="Times New Roman" w:hAnsi="Times New Roman" w:cs="Times New Roman"/>
          <w:sz w:val="24"/>
          <w:szCs w:val="24"/>
          <w:lang w:val="en-US"/>
        </w:rPr>
        <w:t xml:space="preserve"> </w:t>
      </w:r>
      <w:r w:rsidR="00544D57" w:rsidRPr="007B140B">
        <w:rPr>
          <w:rFonts w:ascii="Times New Roman" w:hAnsi="Times New Roman" w:cs="Times New Roman"/>
          <w:sz w:val="24"/>
          <w:szCs w:val="24"/>
          <w:lang w:val="en-US"/>
        </w:rPr>
        <w:t>Register</w:t>
      </w:r>
      <w:r w:rsidR="009168FD" w:rsidRPr="007B140B">
        <w:rPr>
          <w:rFonts w:ascii="Times New Roman" w:hAnsi="Times New Roman" w:cs="Times New Roman"/>
          <w:sz w:val="24"/>
          <w:szCs w:val="24"/>
          <w:lang w:val="en-US"/>
        </w:rPr>
        <w:fldChar w:fldCharType="begin" w:fldLock="1"/>
      </w:r>
      <w:r w:rsidR="00272560">
        <w:rPr>
          <w:rFonts w:ascii="Times New Roman" w:hAnsi="Times New Roman" w:cs="Times New Roman"/>
          <w:sz w:val="24"/>
          <w:szCs w:val="24"/>
          <w:lang w:val="en-US"/>
        </w:rPr>
        <w:instrText>ADDIN CSL_CITATION {"citationItems":[{"id":"ITEM-1","itemData":{"DOI":"10.1007/s10654-017-0316-1","ISSN":"15737284","PMID":"28983736","abstract":"Sweden has a long tradition of recording cause of death data. The Swedish cause of death register is a high quality virtually complete register of all deaths in Sweden since 1952. Although originally created for official statistics, it is a highly important data source for medical research since it can be linked to many other national registers, which contain data on social and health factors in the Swedish population. For the appropriate use of this register, it is fundamental to understand its origins and composition. In this paper we describe the origins and composition of the Swedish cause of death register, set out the key strengths and weaknesses of the register, and present the main causes of death across age groups and over time in Sweden. This paper provides a guide and reference to individuals and organisations interested in data from the Swedish cause of death register.","author":[{"dropping-particle":"","family":"Brooke","given":"Hannah Louise","non-dropping-particle":"","parse-names":false,"suffix":""},{"dropping-particle":"","family":"Talbäck","given":"Mats","non-dropping-particle":"","parse-names":false,"suffix":""},{"dropping-particle":"","family":"Hörnblad","given":"Jesper","non-dropping-particle":"","parse-names":false,"suffix":""},{"dropping-particle":"","family":"Johansson","given":"Lars Age","non-dropping-particle":"","parse-names":false,"suffix":""},{"dropping-particle":"","family":"Ludvigsson","given":"Jonas Filip","non-dropping-particle":"","parse-names":false,"suffix":""},{"dropping-particle":"","family":"Druid","given":"Henrik","non-dropping-particle":"","parse-names":false,"suffix":""},{"dropping-particle":"","family":"Feychting","given":"Maria","non-dropping-particle":"","parse-names":false,"suffix":""},{"dropping-particle":"","family":"Ljung","given":"Rickard","non-dropping-particle":"","parse-names":false,"suffix":""}],"container-title":"European Journal of Epidemiology","id":"ITEM-1","issue":"9","issued":{"date-parts":[["2017"]]},"page":"765-773","title":"The Swedish cause of death register","type":"article-journal","volume":"32"},"uris":["http://www.mendeley.com/documents/?uuid=3bd3bbab-2aaa-4168-ade5-4bfecccb4ab2"]}],"mendeley":{"formattedCitation":"&lt;sup&gt;&lt;sup&gt;45&lt;/sup&gt;&lt;/sup&gt;","plainTextFormattedCitation":"45","previouslyFormattedCitation":"&lt;sup&gt;&lt;sup&gt;45&lt;/sup&gt;&lt;/sup&gt;"},"properties":{"noteIndex":0},"schema":"https://github.com/citation-style-language/schema/raw/master/csl-citation.json"}</w:instrText>
      </w:r>
      <w:r w:rsidR="009168FD" w:rsidRPr="007B140B">
        <w:rPr>
          <w:rFonts w:ascii="Times New Roman" w:hAnsi="Times New Roman" w:cs="Times New Roman"/>
          <w:sz w:val="24"/>
          <w:szCs w:val="24"/>
          <w:lang w:val="en-US"/>
        </w:rPr>
        <w:fldChar w:fldCharType="separate"/>
      </w:r>
      <w:r w:rsidR="0081127D" w:rsidRPr="0081127D">
        <w:rPr>
          <w:rFonts w:ascii="Times New Roman" w:hAnsi="Times New Roman" w:cs="Times New Roman"/>
          <w:noProof/>
          <w:sz w:val="24"/>
          <w:szCs w:val="24"/>
          <w:vertAlign w:val="superscript"/>
          <w:lang w:val="en-US"/>
        </w:rPr>
        <w:t>45</w:t>
      </w:r>
      <w:r w:rsidR="009168FD" w:rsidRPr="007B140B">
        <w:rPr>
          <w:rFonts w:ascii="Times New Roman" w:hAnsi="Times New Roman" w:cs="Times New Roman"/>
          <w:sz w:val="24"/>
          <w:szCs w:val="24"/>
          <w:lang w:val="en-US"/>
        </w:rPr>
        <w:fldChar w:fldCharType="end"/>
      </w:r>
      <w:r w:rsidR="009168FD">
        <w:rPr>
          <w:rFonts w:ascii="Times New Roman" w:hAnsi="Times New Roman" w:cs="Times New Roman"/>
          <w:sz w:val="24"/>
          <w:szCs w:val="24"/>
          <w:lang w:val="en-US"/>
        </w:rPr>
        <w:t xml:space="preserve"> </w:t>
      </w:r>
      <w:r w:rsidR="00F905D0">
        <w:rPr>
          <w:rFonts w:ascii="Times New Roman" w:hAnsi="Times New Roman" w:cs="Times New Roman"/>
          <w:sz w:val="24"/>
          <w:szCs w:val="24"/>
          <w:lang w:val="en-US"/>
        </w:rPr>
        <w:t xml:space="preserve">and locally at study centers </w:t>
      </w:r>
      <w:r w:rsidR="00140C16" w:rsidRPr="006D01F4">
        <w:rPr>
          <w:rFonts w:ascii="Times New Roman" w:hAnsi="Times New Roman" w:cs="Times New Roman"/>
          <w:sz w:val="24"/>
          <w:szCs w:val="24"/>
          <w:lang w:val="en-US"/>
        </w:rPr>
        <w:t>through medical records</w:t>
      </w:r>
      <w:r w:rsidR="00140C16">
        <w:rPr>
          <w:rFonts w:ascii="Times New Roman" w:hAnsi="Times New Roman" w:cs="Times New Roman"/>
          <w:sz w:val="24"/>
          <w:szCs w:val="24"/>
          <w:lang w:val="en-US"/>
        </w:rPr>
        <w:t xml:space="preserve"> and</w:t>
      </w:r>
      <w:r w:rsidR="00140C16" w:rsidRPr="007B140B">
        <w:rPr>
          <w:rFonts w:ascii="Times New Roman" w:hAnsi="Times New Roman" w:cs="Times New Roman"/>
          <w:sz w:val="24"/>
          <w:szCs w:val="24"/>
          <w:lang w:val="en-US"/>
        </w:rPr>
        <w:t xml:space="preserve"> </w:t>
      </w:r>
      <w:r w:rsidR="00544D57" w:rsidRPr="007B140B">
        <w:rPr>
          <w:rFonts w:ascii="Times New Roman" w:hAnsi="Times New Roman" w:cs="Times New Roman"/>
          <w:sz w:val="24"/>
          <w:szCs w:val="24"/>
          <w:lang w:val="en-US"/>
        </w:rPr>
        <w:t>reports from family members.</w:t>
      </w:r>
      <w:r w:rsidR="00535219" w:rsidRPr="007B140B">
        <w:rPr>
          <w:rFonts w:ascii="Times New Roman" w:hAnsi="Times New Roman" w:cs="Times New Roman"/>
          <w:sz w:val="24"/>
          <w:szCs w:val="24"/>
          <w:lang w:val="en-US"/>
        </w:rPr>
        <w:t xml:space="preserve"> </w:t>
      </w:r>
      <w:r w:rsidR="00763DB0">
        <w:rPr>
          <w:rFonts w:ascii="Times New Roman" w:hAnsi="Times New Roman" w:cs="Times New Roman"/>
          <w:sz w:val="24"/>
          <w:szCs w:val="24"/>
          <w:lang w:val="en-US"/>
        </w:rPr>
        <w:t xml:space="preserve">Apart from </w:t>
      </w:r>
      <w:r w:rsidR="00A25EAF">
        <w:rPr>
          <w:rFonts w:ascii="Times New Roman" w:hAnsi="Times New Roman" w:cs="Times New Roman"/>
          <w:sz w:val="24"/>
          <w:szCs w:val="24"/>
          <w:lang w:val="en-US"/>
        </w:rPr>
        <w:t>fractures</w:t>
      </w:r>
      <w:r w:rsidR="00763DB0">
        <w:rPr>
          <w:rFonts w:ascii="Times New Roman" w:hAnsi="Times New Roman" w:cs="Times New Roman"/>
          <w:sz w:val="24"/>
          <w:szCs w:val="24"/>
          <w:lang w:val="en-US"/>
        </w:rPr>
        <w:t xml:space="preserve">, the secondary outcomes will </w:t>
      </w:r>
      <w:r w:rsidR="00A25EAF">
        <w:rPr>
          <w:rFonts w:ascii="Times New Roman" w:hAnsi="Times New Roman" w:cs="Times New Roman"/>
          <w:sz w:val="24"/>
          <w:szCs w:val="24"/>
          <w:lang w:val="en-US"/>
        </w:rPr>
        <w:t xml:space="preserve">not </w:t>
      </w:r>
      <w:r w:rsidR="00763DB0">
        <w:rPr>
          <w:rFonts w:ascii="Times New Roman" w:hAnsi="Times New Roman" w:cs="Times New Roman"/>
          <w:sz w:val="24"/>
          <w:szCs w:val="24"/>
          <w:lang w:val="en-US"/>
        </w:rPr>
        <w:t>be verified through medical records</w:t>
      </w:r>
      <w:r w:rsidR="00901587">
        <w:rPr>
          <w:rFonts w:ascii="Times New Roman" w:hAnsi="Times New Roman" w:cs="Times New Roman"/>
          <w:sz w:val="24"/>
          <w:szCs w:val="24"/>
          <w:lang w:val="en-US"/>
        </w:rPr>
        <w:t>, so that the burden on investigators is reduced</w:t>
      </w:r>
      <w:r w:rsidR="00763DB0">
        <w:rPr>
          <w:rFonts w:ascii="Times New Roman" w:hAnsi="Times New Roman" w:cs="Times New Roman"/>
          <w:sz w:val="24"/>
          <w:szCs w:val="24"/>
          <w:lang w:val="en-US"/>
        </w:rPr>
        <w:t>.</w:t>
      </w:r>
    </w:p>
    <w:p w14:paraId="1193593E" w14:textId="14280AA6" w:rsidR="009C347C" w:rsidRPr="007B140B" w:rsidRDefault="009C347C" w:rsidP="0094262E">
      <w:pPr>
        <w:rPr>
          <w:rFonts w:ascii="Times New Roman" w:hAnsi="Times New Roman" w:cs="Times New Roman"/>
          <w:iCs/>
          <w:color w:val="000000" w:themeColor="text1"/>
          <w:sz w:val="24"/>
          <w:szCs w:val="24"/>
          <w:lang w:val="en-US"/>
        </w:rPr>
      </w:pPr>
    </w:p>
    <w:p w14:paraId="5F2D3FBF" w14:textId="51F7F201" w:rsidR="009C347C" w:rsidRPr="007B140B" w:rsidRDefault="00823A8A" w:rsidP="00D36611">
      <w:pPr>
        <w:pStyle w:val="Formatmall3"/>
        <w:rPr>
          <w:rFonts w:cs="Times New Roman"/>
          <w:lang w:val="en-US"/>
        </w:rPr>
      </w:pPr>
      <w:bookmarkStart w:id="38" w:name="_Toc99001409"/>
      <w:r w:rsidRPr="007B140B">
        <w:rPr>
          <w:rFonts w:cs="Times New Roman"/>
          <w:lang w:val="en-US"/>
        </w:rPr>
        <w:t>Exploratory outcome</w:t>
      </w:r>
      <w:r w:rsidR="00B84DFD" w:rsidRPr="007B140B">
        <w:rPr>
          <w:rFonts w:cs="Times New Roman"/>
          <w:lang w:val="en-US"/>
        </w:rPr>
        <w:t>s</w:t>
      </w:r>
      <w:bookmarkEnd w:id="38"/>
    </w:p>
    <w:p w14:paraId="0087C44D" w14:textId="3C71444A" w:rsidR="00B84DFD" w:rsidRPr="007B140B" w:rsidRDefault="00CC3A7B" w:rsidP="00823A8A">
      <w:pPr>
        <w:rPr>
          <w:rFonts w:ascii="Times New Roman" w:hAnsi="Times New Roman" w:cs="Times New Roman"/>
          <w:sz w:val="24"/>
          <w:szCs w:val="24"/>
          <w:lang w:val="en-US"/>
        </w:rPr>
      </w:pPr>
      <w:r>
        <w:rPr>
          <w:rFonts w:ascii="Times New Roman" w:hAnsi="Times New Roman" w:cs="Times New Roman"/>
          <w:sz w:val="24"/>
          <w:szCs w:val="24"/>
          <w:lang w:val="en-US"/>
        </w:rPr>
        <w:t>Four</w:t>
      </w:r>
      <w:r w:rsidRPr="007B140B">
        <w:rPr>
          <w:rFonts w:ascii="Times New Roman" w:hAnsi="Times New Roman" w:cs="Times New Roman"/>
          <w:sz w:val="24"/>
          <w:szCs w:val="24"/>
          <w:lang w:val="en-US"/>
        </w:rPr>
        <w:t xml:space="preserve"> </w:t>
      </w:r>
      <w:r w:rsidR="00823A8A" w:rsidRPr="007B140B">
        <w:rPr>
          <w:rFonts w:ascii="Times New Roman" w:hAnsi="Times New Roman" w:cs="Times New Roman"/>
          <w:sz w:val="24"/>
          <w:szCs w:val="24"/>
          <w:lang w:val="en-US"/>
        </w:rPr>
        <w:t>exploratory outcome</w:t>
      </w:r>
      <w:r w:rsidR="007E66E4" w:rsidRPr="007B140B">
        <w:rPr>
          <w:rFonts w:ascii="Times New Roman" w:hAnsi="Times New Roman" w:cs="Times New Roman"/>
          <w:sz w:val="24"/>
          <w:szCs w:val="24"/>
          <w:lang w:val="en-US"/>
        </w:rPr>
        <w:t>s</w:t>
      </w:r>
      <w:r w:rsidR="00823A8A" w:rsidRPr="007B140B">
        <w:rPr>
          <w:rFonts w:ascii="Times New Roman" w:hAnsi="Times New Roman" w:cs="Times New Roman"/>
          <w:sz w:val="24"/>
          <w:szCs w:val="24"/>
          <w:lang w:val="en-US"/>
        </w:rPr>
        <w:t xml:space="preserve"> will be assessed: </w:t>
      </w:r>
    </w:p>
    <w:p w14:paraId="4F49380B" w14:textId="77777777" w:rsidR="00B84DFD" w:rsidRPr="007B140B" w:rsidRDefault="00B84DFD" w:rsidP="00823A8A">
      <w:pPr>
        <w:pStyle w:val="Liststycke"/>
        <w:numPr>
          <w:ilvl w:val="0"/>
          <w:numId w:val="28"/>
        </w:numPr>
        <w:rPr>
          <w:rFonts w:ascii="Times New Roman" w:hAnsi="Times New Roman" w:cs="Times New Roman"/>
          <w:sz w:val="24"/>
          <w:szCs w:val="24"/>
          <w:lang w:val="en-US"/>
        </w:rPr>
      </w:pPr>
      <w:r w:rsidRPr="007B140B">
        <w:rPr>
          <w:rFonts w:ascii="Times New Roman" w:hAnsi="Times New Roman" w:cs="Times New Roman"/>
          <w:sz w:val="24"/>
          <w:szCs w:val="24"/>
          <w:lang w:val="en-US"/>
        </w:rPr>
        <w:t>Change in body height (cm) from baseline to 24 months</w:t>
      </w:r>
    </w:p>
    <w:p w14:paraId="05DBAE66" w14:textId="77777777" w:rsidR="00136117" w:rsidRDefault="00B84DFD" w:rsidP="00823A8A">
      <w:pPr>
        <w:pStyle w:val="Liststycke"/>
        <w:numPr>
          <w:ilvl w:val="0"/>
          <w:numId w:val="28"/>
        </w:numPr>
        <w:rPr>
          <w:rFonts w:ascii="Times New Roman" w:hAnsi="Times New Roman" w:cs="Times New Roman"/>
          <w:sz w:val="24"/>
          <w:szCs w:val="24"/>
          <w:lang w:val="en-US"/>
        </w:rPr>
      </w:pPr>
      <w:r w:rsidRPr="007B140B">
        <w:rPr>
          <w:rFonts w:ascii="Times New Roman" w:hAnsi="Times New Roman" w:cs="Times New Roman"/>
          <w:sz w:val="24"/>
          <w:szCs w:val="24"/>
          <w:lang w:val="en-US"/>
        </w:rPr>
        <w:t>C</w:t>
      </w:r>
      <w:r w:rsidR="009C347C" w:rsidRPr="007B140B">
        <w:rPr>
          <w:rFonts w:ascii="Times New Roman" w:hAnsi="Times New Roman" w:cs="Times New Roman"/>
          <w:sz w:val="24"/>
          <w:szCs w:val="24"/>
          <w:lang w:val="en-US"/>
        </w:rPr>
        <w:t>hange in non-dominant hand grip strength (kg) from baseline to 24 months</w:t>
      </w:r>
    </w:p>
    <w:p w14:paraId="5A242B10" w14:textId="20E09A7C" w:rsidR="00B94ABF" w:rsidRDefault="00823A8A" w:rsidP="009C347C">
      <w:pPr>
        <w:rPr>
          <w:rFonts w:ascii="Times New Roman" w:hAnsi="Times New Roman" w:cs="Times New Roman"/>
          <w:iCs/>
          <w:color w:val="000000" w:themeColor="text1"/>
          <w:sz w:val="24"/>
          <w:szCs w:val="24"/>
          <w:lang w:val="en-US"/>
        </w:rPr>
      </w:pPr>
      <w:r w:rsidRPr="007B140B">
        <w:rPr>
          <w:rFonts w:ascii="Times New Roman" w:hAnsi="Times New Roman" w:cs="Times New Roman"/>
          <w:sz w:val="24"/>
          <w:szCs w:val="24"/>
          <w:lang w:val="en-US"/>
        </w:rPr>
        <w:t xml:space="preserve">Body </w:t>
      </w:r>
      <w:r w:rsidRPr="007B140B">
        <w:rPr>
          <w:rFonts w:ascii="Times New Roman" w:hAnsi="Times New Roman" w:cs="Times New Roman"/>
          <w:iCs/>
          <w:color w:val="000000" w:themeColor="text1"/>
          <w:sz w:val="24"/>
          <w:szCs w:val="24"/>
          <w:lang w:val="en-US"/>
        </w:rPr>
        <w:t xml:space="preserve">height (without shoes) will be measured </w:t>
      </w:r>
      <w:r w:rsidR="005F51A7" w:rsidRPr="007B140B">
        <w:rPr>
          <w:rFonts w:ascii="Times New Roman" w:hAnsi="Times New Roman" w:cs="Times New Roman"/>
          <w:iCs/>
          <w:color w:val="000000" w:themeColor="text1"/>
          <w:sz w:val="24"/>
          <w:szCs w:val="24"/>
          <w:lang w:val="en-US"/>
        </w:rPr>
        <w:t xml:space="preserve">in centimeters using stadiometers </w:t>
      </w:r>
      <w:r w:rsidRPr="007B140B">
        <w:rPr>
          <w:rFonts w:ascii="Times New Roman" w:hAnsi="Times New Roman" w:cs="Times New Roman"/>
          <w:iCs/>
          <w:color w:val="000000" w:themeColor="text1"/>
          <w:sz w:val="24"/>
          <w:szCs w:val="24"/>
          <w:lang w:val="en-US"/>
        </w:rPr>
        <w:t>at baseline and at 2</w:t>
      </w:r>
      <w:r w:rsidR="00E973B5">
        <w:rPr>
          <w:rFonts w:ascii="Times New Roman" w:hAnsi="Times New Roman" w:cs="Times New Roman"/>
          <w:iCs/>
          <w:color w:val="000000" w:themeColor="text1"/>
          <w:sz w:val="24"/>
          <w:szCs w:val="24"/>
          <w:lang w:val="en-US"/>
        </w:rPr>
        <w:t>4</w:t>
      </w:r>
      <w:r w:rsidRPr="007B140B">
        <w:rPr>
          <w:rFonts w:ascii="Times New Roman" w:hAnsi="Times New Roman" w:cs="Times New Roman"/>
          <w:iCs/>
          <w:color w:val="000000" w:themeColor="text1"/>
          <w:sz w:val="24"/>
          <w:szCs w:val="24"/>
          <w:lang w:val="en-US"/>
        </w:rPr>
        <w:t xml:space="preserve"> </w:t>
      </w:r>
      <w:r w:rsidR="00E973B5">
        <w:rPr>
          <w:rFonts w:ascii="Times New Roman" w:hAnsi="Times New Roman" w:cs="Times New Roman"/>
          <w:iCs/>
          <w:color w:val="000000" w:themeColor="text1"/>
          <w:sz w:val="24"/>
          <w:szCs w:val="24"/>
          <w:lang w:val="en-US"/>
        </w:rPr>
        <w:t>months</w:t>
      </w:r>
      <w:r w:rsidRPr="007B140B">
        <w:rPr>
          <w:rFonts w:ascii="Times New Roman" w:hAnsi="Times New Roman" w:cs="Times New Roman"/>
          <w:iCs/>
          <w:color w:val="000000" w:themeColor="text1"/>
          <w:sz w:val="24"/>
          <w:szCs w:val="24"/>
          <w:lang w:val="en-US"/>
        </w:rPr>
        <w:t xml:space="preserve">. </w:t>
      </w:r>
      <w:r w:rsidR="00B84DFD" w:rsidRPr="007B140B">
        <w:rPr>
          <w:rFonts w:ascii="Times New Roman" w:hAnsi="Times New Roman" w:cs="Times New Roman"/>
          <w:iCs/>
          <w:color w:val="000000" w:themeColor="text1"/>
          <w:sz w:val="24"/>
          <w:szCs w:val="24"/>
          <w:lang w:val="en-US"/>
        </w:rPr>
        <w:t xml:space="preserve">Hand-grip strength will be measured </w:t>
      </w:r>
      <w:r w:rsidR="00815C84">
        <w:rPr>
          <w:rFonts w:ascii="Times New Roman" w:hAnsi="Times New Roman" w:cs="Times New Roman"/>
          <w:iCs/>
          <w:color w:val="000000" w:themeColor="text1"/>
          <w:sz w:val="24"/>
          <w:szCs w:val="24"/>
          <w:lang w:val="en-US"/>
        </w:rPr>
        <w:t xml:space="preserve">in kilograms </w:t>
      </w:r>
      <w:r w:rsidR="00B84DFD" w:rsidRPr="007B140B">
        <w:rPr>
          <w:rFonts w:ascii="Times New Roman" w:hAnsi="Times New Roman" w:cs="Times New Roman"/>
          <w:iCs/>
          <w:color w:val="000000" w:themeColor="text1"/>
          <w:sz w:val="24"/>
          <w:szCs w:val="24"/>
          <w:lang w:val="en-US"/>
        </w:rPr>
        <w:t>using dynamometers.</w:t>
      </w:r>
      <w:r w:rsidR="0094605C">
        <w:rPr>
          <w:rFonts w:ascii="Times New Roman" w:hAnsi="Times New Roman" w:cs="Times New Roman"/>
          <w:iCs/>
          <w:color w:val="000000" w:themeColor="text1"/>
          <w:sz w:val="24"/>
          <w:szCs w:val="24"/>
          <w:lang w:val="en-US"/>
        </w:rPr>
        <w:t xml:space="preserve"> Each participant will make two attempts, and the maximum value will be </w:t>
      </w:r>
      <w:r w:rsidR="009F42E9">
        <w:rPr>
          <w:rFonts w:ascii="Times New Roman" w:hAnsi="Times New Roman" w:cs="Times New Roman"/>
          <w:iCs/>
          <w:color w:val="000000" w:themeColor="text1"/>
          <w:sz w:val="24"/>
          <w:szCs w:val="24"/>
          <w:lang w:val="en-US"/>
        </w:rPr>
        <w:t>analyzed</w:t>
      </w:r>
      <w:r w:rsidR="0094605C">
        <w:rPr>
          <w:rFonts w:ascii="Times New Roman" w:hAnsi="Times New Roman" w:cs="Times New Roman"/>
          <w:iCs/>
          <w:color w:val="000000" w:themeColor="text1"/>
          <w:sz w:val="24"/>
          <w:szCs w:val="24"/>
          <w:lang w:val="en-US"/>
        </w:rPr>
        <w:t>.</w:t>
      </w:r>
      <w:r w:rsidR="00094AD7" w:rsidRPr="007B140B">
        <w:rPr>
          <w:rFonts w:ascii="Times New Roman" w:hAnsi="Times New Roman" w:cs="Times New Roman"/>
          <w:iCs/>
          <w:color w:val="000000" w:themeColor="text1"/>
          <w:sz w:val="24"/>
          <w:szCs w:val="24"/>
          <w:lang w:val="en-US"/>
        </w:rPr>
        <w:t xml:space="preserve"> Values will be rounded to one decimal place.</w:t>
      </w:r>
      <w:r w:rsidR="000D367F" w:rsidRPr="007B140B">
        <w:rPr>
          <w:rFonts w:ascii="Times New Roman" w:hAnsi="Times New Roman" w:cs="Times New Roman"/>
          <w:iCs/>
          <w:color w:val="000000" w:themeColor="text1"/>
          <w:sz w:val="24"/>
          <w:szCs w:val="24"/>
          <w:lang w:val="en-US"/>
        </w:rPr>
        <w:t xml:space="preserve"> </w:t>
      </w:r>
    </w:p>
    <w:p w14:paraId="070ADB02" w14:textId="567140A9" w:rsidR="009C347C" w:rsidRPr="007B140B" w:rsidRDefault="00D118C2" w:rsidP="009C347C">
      <w:pPr>
        <w:rPr>
          <w:rFonts w:ascii="Times New Roman" w:hAnsi="Times New Roman" w:cs="Times New Roman"/>
          <w:sz w:val="24"/>
          <w:szCs w:val="24"/>
          <w:lang w:val="en-US"/>
        </w:rPr>
      </w:pPr>
      <w:r>
        <w:rPr>
          <w:rFonts w:ascii="Times New Roman" w:hAnsi="Times New Roman" w:cs="Times New Roman"/>
          <w:iCs/>
          <w:color w:val="000000" w:themeColor="text1"/>
          <w:sz w:val="24"/>
          <w:szCs w:val="24"/>
          <w:lang w:val="en-US"/>
        </w:rPr>
        <w:t>The EQ-5D scale will be used to assess health-related quality of life because it is short, generic (</w:t>
      </w:r>
      <w:r w:rsidR="00700DAE">
        <w:rPr>
          <w:rFonts w:ascii="Times New Roman" w:hAnsi="Times New Roman" w:cs="Times New Roman"/>
          <w:iCs/>
          <w:color w:val="000000" w:themeColor="text1"/>
          <w:sz w:val="24"/>
          <w:szCs w:val="24"/>
          <w:lang w:val="en-US"/>
        </w:rPr>
        <w:t>rather than</w:t>
      </w:r>
      <w:r>
        <w:rPr>
          <w:rFonts w:ascii="Times New Roman" w:hAnsi="Times New Roman" w:cs="Times New Roman"/>
          <w:iCs/>
          <w:color w:val="000000" w:themeColor="text1"/>
          <w:sz w:val="24"/>
          <w:szCs w:val="24"/>
          <w:lang w:val="en-US"/>
        </w:rPr>
        <w:t xml:space="preserve"> disease-specific)</w:t>
      </w:r>
      <w:r w:rsidR="009B40E3">
        <w:rPr>
          <w:rFonts w:ascii="Times New Roman" w:hAnsi="Times New Roman" w:cs="Times New Roman"/>
          <w:iCs/>
          <w:color w:val="000000" w:themeColor="text1"/>
          <w:sz w:val="24"/>
          <w:szCs w:val="24"/>
          <w:lang w:val="en-US"/>
        </w:rPr>
        <w:t>,</w:t>
      </w:r>
      <w:r>
        <w:rPr>
          <w:rFonts w:ascii="Times New Roman" w:hAnsi="Times New Roman" w:cs="Times New Roman"/>
          <w:iCs/>
          <w:color w:val="000000" w:themeColor="text1"/>
          <w:sz w:val="24"/>
          <w:szCs w:val="24"/>
          <w:lang w:val="en-US"/>
        </w:rPr>
        <w:t xml:space="preserve"> and widely used. T</w:t>
      </w:r>
      <w:r w:rsidR="00B94ABF">
        <w:rPr>
          <w:rFonts w:ascii="Times New Roman" w:hAnsi="Times New Roman" w:cs="Times New Roman"/>
          <w:sz w:val="24"/>
          <w:szCs w:val="24"/>
          <w:lang w:val="en-US"/>
        </w:rPr>
        <w:t>wo previous trials of zoledronic acid</w:t>
      </w:r>
      <w:r>
        <w:rPr>
          <w:rFonts w:ascii="Times New Roman" w:hAnsi="Times New Roman" w:cs="Times New Roman"/>
          <w:sz w:val="24"/>
          <w:szCs w:val="24"/>
          <w:lang w:val="en-US"/>
        </w:rPr>
        <w:t xml:space="preserve"> used the 3-level version the EQ-5D (i.e., </w:t>
      </w:r>
      <w:r w:rsidR="00663129">
        <w:rPr>
          <w:rFonts w:ascii="Times New Roman" w:hAnsi="Times New Roman" w:cs="Times New Roman"/>
          <w:sz w:val="24"/>
          <w:szCs w:val="24"/>
          <w:lang w:val="en-US"/>
        </w:rPr>
        <w:t xml:space="preserve">the </w:t>
      </w:r>
      <w:r>
        <w:rPr>
          <w:rFonts w:ascii="Times New Roman" w:hAnsi="Times New Roman" w:cs="Times New Roman"/>
          <w:sz w:val="24"/>
          <w:szCs w:val="24"/>
          <w:lang w:val="en-US"/>
        </w:rPr>
        <w:t>EQ-5D-3L)</w:t>
      </w:r>
      <w:r w:rsidR="00CB1AFE">
        <w:rPr>
          <w:rFonts w:ascii="Times New Roman" w:hAnsi="Times New Roman" w:cs="Times New Roman"/>
          <w:sz w:val="24"/>
          <w:szCs w:val="24"/>
          <w:lang w:val="en-US"/>
        </w:rPr>
        <w:t>.</w:t>
      </w:r>
      <w:r w:rsidR="002038A6">
        <w:rPr>
          <w:rFonts w:ascii="Times New Roman" w:hAnsi="Times New Roman" w:cs="Times New Roman"/>
          <w:sz w:val="24"/>
          <w:szCs w:val="24"/>
          <w:lang w:val="en-US"/>
        </w:rPr>
        <w:fldChar w:fldCharType="begin" w:fldLock="1"/>
      </w:r>
      <w:r w:rsidR="00B04D41">
        <w:rPr>
          <w:rFonts w:ascii="Times New Roman" w:hAnsi="Times New Roman" w:cs="Times New Roman"/>
          <w:sz w:val="24"/>
          <w:szCs w:val="24"/>
          <w:lang w:val="en-US"/>
        </w:rPr>
        <w:instrText>ADDIN CSL_CITATION {"citationItems":[{"id":"ITEM-1","itemData":{"DOI":"10.1007/s00198-010-1514-9","ISSN":"14332965","abstract":"Summary: This study evaluated the benefits of ZOL versus placebo on health-related quality of life (HRQoL) among patients from HORIZON-RFT. At month 24 and end of the study visit, ZOL significantly improved patients' overall health state compared to placebo as assessed by the EQ-5D VAS. Introduction: To evaluate the benefits of zoledronic acid (ZOL) versus placebo on health-related quality of life (HRQoL) among patients from The Health Outcomes and Reduced Incidence With Zoledronic Acid Once Yearly Recurrent Fracture Trial (HORIZON-RFT). Methods: In this randomized, double-blind, placebo-controlled trial, 2,127 patients were randomized to receive annual infusion of ZOL 5 mg (n = 1,065) or placebo (n = 1,062) within 90 days after surgical repair of low-trauma hip fracture. HRQoL was measured using EQ-5D Visual Analogue Scale (VAS) and utility scores (EuroQol instrument) at months 6, 12, 24, 36, and end of the study visit. Analysis of covariance model included baseline EQ-5D value, region, and treatment as explanatory variables. Results: At baseline, patients (mean age 75 years; 24% men and 76% women) were well matched between treatment groups with mean EQ-5D VAS of 65.82 in ZOL and 65.70 in placebo group. At the end of the study, mean change from baseline in EQ-5D VAS was greater for ZOL vs. placebo in all patients (7.67 ± 0.56 vs. 5.42 ± 0.56), and in subgroups of patients experiencing clinical vertebral fractures (8.86 ± 4.91 vs. -1.69 ± 3.42), non-vertebral fractures (5.03 ± 2.48 vs. -1.07 ± 2.16), and clinical fractures (5.19 ± 2.25 vs. -0.72 ± 1.82) with treatment difference significantly in favor of ZOL. EQ-5D utility scores were comparable for ZOL and placebo groups, but more patients on placebo consistently had extreme difficulty in mobility (1.74% for ZOL vs. 2.13% for placebo; p = 0.6238), self-care (4.92% vs. 6.69%; p = 0.1013), and usual activities (10.28% vs. 12.91%; p = 0.0775). Conclusion: ZOL significantly improves HRQoL in patients with low-trauma hip fracture. © 2011 International Osteoporosis Foundation and National Osteoporosis Foundation.","author":[{"dropping-particle":"","family":"Adachi","given":"J. D.","non-dropping-particle":"","parse-names":false,"suffix":""},{"dropping-particle":"","family":"Lyles","given":"K. W.","non-dropping-particle":"","parse-names":false,"suffix":""},{"dropping-particle":"","family":"Colón-Emeric","given":"C. S.","non-dropping-particle":"","parse-names":false,"suffix":""},{"dropping-particle":"","family":"Boonen","given":"S.","non-dropping-particle":"","parse-names":false,"suffix":""},{"dropping-particle":"","family":"Pieper","given":"C. F.","non-dropping-particle":"","parse-names":false,"suffix":""},{"dropping-particle":"","family":"Mautalen","given":"C.","non-dropping-particle":"","parse-names":false,"suffix":""},{"dropping-particle":"","family":"Hyldstrup","given":"L.","non-dropping-particle":"","parse-names":false,"suffix":""},{"dropping-particle":"","family":"Recknor","given":"C.","non-dropping-particle":"","parse-names":false,"suffix":""},{"dropping-particle":"","family":"Nordsletten","given":"L.","non-dropping-particle":"","parse-names":false,"suffix":""},{"dropping-particle":"","family":"Moore","given":"K. A.","non-dropping-particle":"","parse-names":false,"suffix":""},{"dropping-particle":"","family":"Bucci-Rechtweg","given":"C.","non-dropping-particle":"","parse-names":false,"suffix":""},{"dropping-particle":"","family":"Su","given":"G.","non-dropping-particle":"","parse-names":false,"suffix":""},{"dropping-particle":"","family":"Eriksen","given":"E. F.","non-dropping-particle":"","parse-names":false,"suffix":""},{"dropping-particle":"","family":"Magaziner","given":"J. S.","non-dropping-particle":"","parse-names":false,"suffix":""}],"container-title":"Osteoporosis International","id":"ITEM-1","issue":"9","issued":{"date-parts":[["2011"]]},"page":"2539-2549","title":"Zoledronic acid results in better health-related quality of life following hip fracture: The HORIZON-Recurrent Fracture Trial","type":"article-journal","volume":"22"},"uris":["http://www.mendeley.com/documents/?uuid=46961322-a685-4b9d-838e-0be04c89ba5c"]},{"id":"ITEM-2","itemData":{"DOI":"10.1056/NEJMoa1204061","ISBN":"0028-4793","ISSN":"1533-4406","PMID":"23113482","abstract":"Fractures in men are a major health issue, and data on the antifracture efficacy of therapies for osteoporosis in men are limited. We studied the effect of zoledronic acid on fracture risk among men with osteoporosis.","author":[{"dropping-particle":"","family":"Boonen","given":"Steven","non-dropping-particle":"","parse-names":false,"suffix":""},{"dropping-particle":"","family":"Reginster","given":"Jean Yves","non-dropping-particle":"","parse-names":false,"suffix":""},{"dropping-particle":"","family":"Kaufman","given":"Jean Marc","non-dropping-particle":"","parse-names":false,"suffix":""},{"dropping-particle":"","family":"Lippuner","given":"Kurt","non-dropping-particle":"","parse-names":false,"suffix":""},{"dropping-particle":"","family":"Zanchetta","given":"Jose","non-dropping-particle":"","parse-names":false,"suffix":""},{"dropping-particle":"","family":"Langdahl","given":"Bente","non-dropping-particle":"","parse-names":false,"suffix":""},{"dropping-particle":"","family":"Rizzoli","given":"Rene","non-dropping-particle":"","parse-names":false,"suffix":""},{"dropping-particle":"","family":"Lipschitz","given":"Stanley","non-dropping-particle":"","parse-names":false,"suffix":""},{"dropping-particle":"","family":"Dimai","given":"Hans Peter","non-dropping-particle":"","parse-names":false,"suffix":""},{"dropping-particle":"","family":"Witvrouw","given":"Richard","non-dropping-particle":"","parse-names":false,"suffix":""},{"dropping-particle":"","family":"Eriksen","given":"Erik","non-dropping-particle":"","parse-names":false,"suffix":""},{"dropping-particle":"","family":"Brixen","given":"Kim","non-dropping-particle":"","parse-names":false,"suffix":""},{"dropping-particle":"","family":"Russo","given":"Luis","non-dropping-particle":"","parse-names":false,"suffix":""},{"dropping-particle":"","family":"Claessens","given":"Frank","non-dropping-particle":"","parse-names":false,"suffix":""},{"dropping-particle":"","family":"Papanastasiou","given":"Philemon","non-dropping-particle":"","parse-names":false,"suffix":""},{"dropping-particle":"","family":"Antunez","given":"Oscar","non-dropping-particle":"","parse-names":false,"suffix":""},{"dropping-particle":"","family":"Su","given":"Guoqin","non-dropping-particle":"","parse-names":false,"suffix":""},{"dropping-particle":"","family":"Bucci-Rechtweg","given":"Christina","non-dropping-particle":"","parse-names":false,"suffix":""},{"dropping-particle":"","family":"Hruska","given":"Josef","non-dropping-particle":"","parse-names":false,"suffix":""},{"dropping-particle":"","family":"Incera","given":"Elodie","non-dropping-particle":"","parse-names":false,"suffix":""},{"dropping-particle":"","family":"Vanderschueren","given":"Dirk","non-dropping-particle":"","parse-names":false,"suffix":""},{"dropping-particle":"","family":"Orwoll","given":"Eric","non-dropping-particle":"","parse-names":false,"suffix":""}],"container-title":"New England Journal of Medicine","id":"ITEM-2","issued":{"date-parts":[["2012"]]},"page":"1714-23","title":"Fracture risk and zoledronic acid therapy in men with osteoporosis.","type":"article-journal","volume":"367"},"uris":["http://www.mendeley.com/documents/?uuid=468f639f-e766-4ff9-83b2-83686de955c1"]}],"mendeley":{"formattedCitation":"&lt;sup&gt;&lt;sup&gt;22&lt;/sup&gt;,&lt;sup&gt;36&lt;/sup&gt;&lt;/sup&gt;","plainTextFormattedCitation":"22,36","previouslyFormattedCitation":"&lt;sup&gt;&lt;sup&gt;22&lt;/sup&gt;,&lt;sup&gt;36&lt;/sup&gt;&lt;/sup&gt;"},"properties":{"noteIndex":0},"schema":"https://github.com/citation-style-language/schema/raw/master/csl-citation.json"}</w:instrText>
      </w:r>
      <w:r w:rsidR="002038A6">
        <w:rPr>
          <w:rFonts w:ascii="Times New Roman" w:hAnsi="Times New Roman" w:cs="Times New Roman"/>
          <w:sz w:val="24"/>
          <w:szCs w:val="24"/>
          <w:lang w:val="en-US"/>
        </w:rPr>
        <w:fldChar w:fldCharType="separate"/>
      </w:r>
      <w:r w:rsidR="00D858E3" w:rsidRPr="00D858E3">
        <w:rPr>
          <w:rFonts w:ascii="Times New Roman" w:hAnsi="Times New Roman" w:cs="Times New Roman"/>
          <w:noProof/>
          <w:sz w:val="24"/>
          <w:szCs w:val="24"/>
          <w:vertAlign w:val="superscript"/>
          <w:lang w:val="en-US"/>
        </w:rPr>
        <w:t>22,36</w:t>
      </w:r>
      <w:r w:rsidR="002038A6">
        <w:rPr>
          <w:rFonts w:ascii="Times New Roman" w:hAnsi="Times New Roman" w:cs="Times New Roman"/>
          <w:sz w:val="24"/>
          <w:szCs w:val="24"/>
          <w:lang w:val="en-US"/>
        </w:rPr>
        <w:fldChar w:fldCharType="end"/>
      </w:r>
      <w:r w:rsidR="00B94ABF">
        <w:rPr>
          <w:rFonts w:ascii="Times New Roman" w:hAnsi="Times New Roman" w:cs="Times New Roman"/>
          <w:sz w:val="24"/>
          <w:szCs w:val="24"/>
          <w:lang w:val="en-US"/>
        </w:rPr>
        <w:t xml:space="preserve"> </w:t>
      </w:r>
      <w:r w:rsidR="00CB1AFE">
        <w:rPr>
          <w:rFonts w:ascii="Times New Roman" w:hAnsi="Times New Roman" w:cs="Times New Roman"/>
          <w:sz w:val="24"/>
          <w:szCs w:val="24"/>
          <w:lang w:val="en-US"/>
        </w:rPr>
        <w:t>We will use</w:t>
      </w:r>
      <w:r>
        <w:rPr>
          <w:rFonts w:ascii="Times New Roman" w:hAnsi="Times New Roman" w:cs="Times New Roman"/>
          <w:sz w:val="24"/>
          <w:szCs w:val="24"/>
          <w:lang w:val="en-US"/>
        </w:rPr>
        <w:t xml:space="preserve"> th</w:t>
      </w:r>
      <w:r>
        <w:rPr>
          <w:rFonts w:ascii="Times New Roman" w:hAnsi="Times New Roman" w:cs="Times New Roman"/>
          <w:iCs/>
          <w:color w:val="000000" w:themeColor="text1"/>
          <w:sz w:val="24"/>
          <w:szCs w:val="24"/>
          <w:lang w:val="en-US"/>
        </w:rPr>
        <w:t>e 5-level version (</w:t>
      </w:r>
      <w:r>
        <w:rPr>
          <w:rFonts w:ascii="Times New Roman" w:hAnsi="Times New Roman" w:cs="Times New Roman"/>
          <w:sz w:val="24"/>
          <w:szCs w:val="24"/>
          <w:lang w:val="en-US"/>
        </w:rPr>
        <w:t xml:space="preserve">EQ-5D-5L) </w:t>
      </w:r>
      <w:r w:rsidR="002038A6">
        <w:rPr>
          <w:rFonts w:ascii="Times New Roman" w:hAnsi="Times New Roman" w:cs="Times New Roman"/>
          <w:sz w:val="24"/>
          <w:szCs w:val="24"/>
          <w:lang w:val="en-US"/>
        </w:rPr>
        <w:t xml:space="preserve">so that </w:t>
      </w:r>
      <w:r w:rsidR="00B94ABF">
        <w:rPr>
          <w:rFonts w:ascii="Times New Roman" w:hAnsi="Times New Roman" w:cs="Times New Roman"/>
          <w:sz w:val="24"/>
          <w:szCs w:val="24"/>
          <w:lang w:val="en-US"/>
        </w:rPr>
        <w:t xml:space="preserve">smaller </w:t>
      </w:r>
      <w:r w:rsidR="002038A6">
        <w:rPr>
          <w:rFonts w:ascii="Times New Roman" w:hAnsi="Times New Roman" w:cs="Times New Roman"/>
          <w:sz w:val="24"/>
          <w:szCs w:val="24"/>
          <w:lang w:val="en-US"/>
        </w:rPr>
        <w:t xml:space="preserve">differences in patient-reported health </w:t>
      </w:r>
      <w:r w:rsidR="005C0F20">
        <w:rPr>
          <w:rFonts w:ascii="Times New Roman" w:hAnsi="Times New Roman" w:cs="Times New Roman"/>
          <w:sz w:val="24"/>
          <w:szCs w:val="24"/>
          <w:lang w:val="en-US"/>
        </w:rPr>
        <w:t xml:space="preserve">status </w:t>
      </w:r>
      <w:r w:rsidR="002038A6">
        <w:rPr>
          <w:rFonts w:ascii="Times New Roman" w:hAnsi="Times New Roman" w:cs="Times New Roman"/>
          <w:sz w:val="24"/>
          <w:szCs w:val="24"/>
          <w:lang w:val="en-US"/>
        </w:rPr>
        <w:t>can be detected</w:t>
      </w:r>
      <w:r w:rsidR="00B94ABF">
        <w:rPr>
          <w:rFonts w:ascii="Times New Roman" w:hAnsi="Times New Roman" w:cs="Times New Roman"/>
          <w:sz w:val="24"/>
          <w:szCs w:val="24"/>
          <w:lang w:val="en-US"/>
        </w:rPr>
        <w:t xml:space="preserve">. The </w:t>
      </w:r>
      <w:r w:rsidR="000B59D9">
        <w:rPr>
          <w:rFonts w:ascii="Times New Roman" w:hAnsi="Times New Roman" w:cs="Times New Roman"/>
          <w:sz w:val="24"/>
          <w:szCs w:val="24"/>
          <w:lang w:val="en-US"/>
        </w:rPr>
        <w:t>summary score will be derived from the Swedish Time Trade-off, experience-based</w:t>
      </w:r>
      <w:r w:rsidR="002B1F23">
        <w:rPr>
          <w:rFonts w:ascii="Times New Roman" w:hAnsi="Times New Roman" w:cs="Times New Roman"/>
          <w:sz w:val="24"/>
          <w:szCs w:val="24"/>
          <w:lang w:val="en-US"/>
        </w:rPr>
        <w:t xml:space="preserve"> </w:t>
      </w:r>
      <w:r w:rsidR="000B59D9">
        <w:rPr>
          <w:rFonts w:ascii="Times New Roman" w:hAnsi="Times New Roman" w:cs="Times New Roman"/>
          <w:sz w:val="24"/>
          <w:szCs w:val="24"/>
          <w:lang w:val="en-US"/>
        </w:rPr>
        <w:t>value set.</w:t>
      </w:r>
      <w:r w:rsidR="000B59D9">
        <w:rPr>
          <w:rFonts w:ascii="Times New Roman" w:hAnsi="Times New Roman" w:cs="Times New Roman"/>
          <w:sz w:val="24"/>
          <w:szCs w:val="24"/>
          <w:lang w:val="en-US"/>
        </w:rPr>
        <w:fldChar w:fldCharType="begin" w:fldLock="1"/>
      </w:r>
      <w:r w:rsidR="00272560">
        <w:rPr>
          <w:rFonts w:ascii="Times New Roman" w:hAnsi="Times New Roman" w:cs="Times New Roman"/>
          <w:sz w:val="24"/>
          <w:szCs w:val="24"/>
          <w:lang w:val="en-US"/>
        </w:rPr>
        <w:instrText>ADDIN CSL_CITATION {"citationItems":[{"id":"ITEM-1","itemData":{"DOI":"10.1007/s40273-020-00905-7","ISBN":"0123456789","ISSN":"11792027","PMID":"32307663","abstract":"Background and Objective: Although value sets for the five-level version of the generic health-related quality-of-life instrument EQ-5D are emerging, there is still no value set available in the literature based on time trade-off valuations made by individuals experiencing the valued health states. The aim of this study was to estimate experience-based value sets for the EQ-5D-5L for Sweden using time trade-off and visual analogue scale valuation methods. Methods: In a large, cross-sectional, population-based, self-administered postal health survey, the EQ-5D-5L descriptive system, EQ visual analogue scale and a time trade-off question were included. Time trade-off and visual analogue scale valuations of the respondent’s current health status were used in statistical modelling to estimate a single-index value of health for each of the 3125 health states. Ordinary least-squares and generalised linear models were estimated with the main effect within each of the five dimensions represented by 20 dummy variables reflecting the additional decrement in value for levels 2–5 when the severity increases by one level sequentially beginning from having no problem. Interaction variables representing the occurrence of severity levels in at least one of the dimensions were tested: severity level 2 or worse (N2); severity level 3 or worse (N3); severity level 4 or worse (N4); severity level 5 (N5). Results: A total of 896 health states (28.7% of the 3125 possible EQ-5D-5L health states) were reported by the 25,867 respondents. Visual analogue scale (n = 23,899) and time trade-off (n = 13,381) responders reported valuations of their currently experienced health state. The preferred regression models used ordinary least-squares estimation for both time trade-off and visual analogue scale values and showed consistency in all coefficients after combining certain levels. Levels 4 and 5 for the dimensions of mobility, self-care and usual activities were combined in the time trade-off model. Including the interaction variable N5, indicating severity level 5 in at least one of the five dimensions, made it possible to distinguish between the two worst severity levels where no other dimension is at level 5 as this coefficient is applied only once. In the visual analogue scale regression model, levels 4 and 5 of the mobility dimension were combined. The interaction variables N2–N4 were included, indicating that each of these terms reflect a statistically significant decrement i…","author":[{"dropping-particle":"","family":"Burström","given":"Kristina","non-dropping-particle":"","parse-names":false,"suffix":""},{"dropping-particle":"","family":"Teni","given":"Fitsum Sebsibe","non-dropping-particle":"","parse-names":false,"suffix":""},{"dropping-particle":"","family":"Gerdtham","given":"Ulf G.","non-dropping-particle":"","parse-names":false,"suffix":""},{"dropping-particle":"","family":"Leidl","given":"Reiner","non-dropping-particle":"","parse-names":false,"suffix":""},{"dropping-particle":"","family":"Helgesson","given":"Gert","non-dropping-particle":"","parse-names":false,"suffix":""},{"dropping-particle":"","family":"Rolfson","given":"Ola","non-dropping-particle":"","parse-names":false,"suffix":""},{"dropping-particle":"","family":"Henriksson","given":"Martin","non-dropping-particle":"","parse-names":false,"suffix":""}],"container-title":"PharmacoEconomics","id":"ITEM-1","issued":{"date-parts":[["2020"]]},"note":"Found: läkartidningen (google)","title":"Experience-based Swedish TTO and VAS value sets for EQ-5D-5L health states","type":"article-journal"},"uris":["http://www.mendeley.com/documents/?uuid=78f14ca5-40f6-467e-95b3-52319520a2bc"]}],"mendeley":{"formattedCitation":"&lt;sup&gt;&lt;sup&gt;46&lt;/sup&gt;&lt;/sup&gt;","plainTextFormattedCitation":"46","previouslyFormattedCitation":"&lt;sup&gt;&lt;sup&gt;46&lt;/sup&gt;&lt;/sup&gt;"},"properties":{"noteIndex":0},"schema":"https://github.com/citation-style-language/schema/raw/master/csl-citation.json"}</w:instrText>
      </w:r>
      <w:r w:rsidR="000B59D9">
        <w:rPr>
          <w:rFonts w:ascii="Times New Roman" w:hAnsi="Times New Roman" w:cs="Times New Roman"/>
          <w:sz w:val="24"/>
          <w:szCs w:val="24"/>
          <w:lang w:val="en-US"/>
        </w:rPr>
        <w:fldChar w:fldCharType="separate"/>
      </w:r>
      <w:r w:rsidR="0081127D" w:rsidRPr="0081127D">
        <w:rPr>
          <w:rFonts w:ascii="Times New Roman" w:hAnsi="Times New Roman" w:cs="Times New Roman"/>
          <w:noProof/>
          <w:sz w:val="24"/>
          <w:szCs w:val="24"/>
          <w:vertAlign w:val="superscript"/>
          <w:lang w:val="en-US"/>
        </w:rPr>
        <w:t>46</w:t>
      </w:r>
      <w:r w:rsidR="000B59D9">
        <w:rPr>
          <w:rFonts w:ascii="Times New Roman" w:hAnsi="Times New Roman" w:cs="Times New Roman"/>
          <w:sz w:val="24"/>
          <w:szCs w:val="24"/>
          <w:lang w:val="en-US"/>
        </w:rPr>
        <w:fldChar w:fldCharType="end"/>
      </w:r>
      <w:r w:rsidR="002B1F23">
        <w:rPr>
          <w:rFonts w:ascii="Times New Roman" w:hAnsi="Times New Roman" w:cs="Times New Roman"/>
          <w:sz w:val="24"/>
          <w:szCs w:val="24"/>
          <w:lang w:val="en-US"/>
        </w:rPr>
        <w:t xml:space="preserve"> The term “experience-based” refers to the </w:t>
      </w:r>
      <w:r w:rsidR="00865107">
        <w:rPr>
          <w:rFonts w:ascii="Times New Roman" w:hAnsi="Times New Roman" w:cs="Times New Roman"/>
          <w:sz w:val="24"/>
          <w:szCs w:val="24"/>
          <w:lang w:val="en-US"/>
        </w:rPr>
        <w:t>instruction that respondents</w:t>
      </w:r>
      <w:r w:rsidR="002B1F23">
        <w:rPr>
          <w:rFonts w:ascii="Times New Roman" w:hAnsi="Times New Roman" w:cs="Times New Roman"/>
          <w:sz w:val="24"/>
          <w:szCs w:val="24"/>
          <w:lang w:val="en-US"/>
        </w:rPr>
        <w:t xml:space="preserve"> rat</w:t>
      </w:r>
      <w:r w:rsidR="00865107">
        <w:rPr>
          <w:rFonts w:ascii="Times New Roman" w:hAnsi="Times New Roman" w:cs="Times New Roman"/>
          <w:sz w:val="24"/>
          <w:szCs w:val="24"/>
          <w:lang w:val="en-US"/>
        </w:rPr>
        <w:t>e</w:t>
      </w:r>
      <w:r w:rsidR="002B1F23">
        <w:rPr>
          <w:rFonts w:ascii="Times New Roman" w:hAnsi="Times New Roman" w:cs="Times New Roman"/>
          <w:sz w:val="24"/>
          <w:szCs w:val="24"/>
          <w:lang w:val="en-US"/>
        </w:rPr>
        <w:t xml:space="preserve"> their current health state, rather than </w:t>
      </w:r>
      <w:r w:rsidR="005F51A7">
        <w:rPr>
          <w:rFonts w:ascii="Times New Roman" w:hAnsi="Times New Roman" w:cs="Times New Roman"/>
          <w:sz w:val="24"/>
          <w:szCs w:val="24"/>
          <w:lang w:val="en-US"/>
        </w:rPr>
        <w:t>a</w:t>
      </w:r>
      <w:r w:rsidR="00663129">
        <w:rPr>
          <w:rFonts w:ascii="Times New Roman" w:hAnsi="Times New Roman" w:cs="Times New Roman"/>
          <w:sz w:val="24"/>
          <w:szCs w:val="24"/>
          <w:lang w:val="en-US"/>
        </w:rPr>
        <w:t xml:space="preserve"> </w:t>
      </w:r>
      <w:r w:rsidR="005F51A7">
        <w:rPr>
          <w:rFonts w:ascii="Times New Roman" w:hAnsi="Times New Roman" w:cs="Times New Roman"/>
          <w:sz w:val="24"/>
          <w:szCs w:val="24"/>
          <w:lang w:val="en-US"/>
        </w:rPr>
        <w:t>hypothetical health state</w:t>
      </w:r>
      <w:r w:rsidR="002B1F23">
        <w:rPr>
          <w:rFonts w:ascii="Times New Roman" w:hAnsi="Times New Roman" w:cs="Times New Roman"/>
          <w:sz w:val="24"/>
          <w:szCs w:val="24"/>
          <w:lang w:val="en-US"/>
        </w:rPr>
        <w:t>.</w:t>
      </w:r>
      <w:r w:rsidR="002B1F23">
        <w:rPr>
          <w:rFonts w:ascii="Times New Roman" w:hAnsi="Times New Roman" w:cs="Times New Roman"/>
          <w:sz w:val="24"/>
          <w:szCs w:val="24"/>
          <w:lang w:val="en-US"/>
        </w:rPr>
        <w:fldChar w:fldCharType="begin" w:fldLock="1"/>
      </w:r>
      <w:r w:rsidR="00272560">
        <w:rPr>
          <w:rFonts w:ascii="Times New Roman" w:hAnsi="Times New Roman" w:cs="Times New Roman"/>
          <w:sz w:val="24"/>
          <w:szCs w:val="24"/>
          <w:lang w:val="en-US"/>
        </w:rPr>
        <w:instrText>ADDIN CSL_CITATION {"citationItems":[{"id":"ITEM-1","itemData":{"DOI":"10.1007/s40273-020-00905-7","ISBN":"0123456789","ISSN":"11792027","PMID":"32307663","abstract":"Background and Objective: Although value sets for the five-level version of the generic health-related quality-of-life instrument EQ-5D are emerging, there is still no value set available in the literature based on time trade-off valuations made by individuals experiencing the valued health states. The aim of this study was to estimate experience-based value sets for the EQ-5D-5L for Sweden using time trade-off and visual analogue scale valuation methods. Methods: In a large, cross-sectional, population-based, self-administered postal health survey, the EQ-5D-5L descriptive system, EQ visual analogue scale and a time trade-off question were included. Time trade-off and visual analogue scale valuations of the respondent’s current health status were used in statistical modelling to estimate a single-index value of health for each of the 3125 health states. Ordinary least-squares and generalised linear models were estimated with the main effect within each of the five dimensions represented by 20 dummy variables reflecting the additional decrement in value for levels 2–5 when the severity increases by one level sequentially beginning from having no problem. Interaction variables representing the occurrence of severity levels in at least one of the dimensions were tested: severity level 2 or worse (N2); severity level 3 or worse (N3); severity level 4 or worse (N4); severity level 5 (N5). Results: A total of 896 health states (28.7% of the 3125 possible EQ-5D-5L health states) were reported by the 25,867 respondents. Visual analogue scale (n = 23,899) and time trade-off (n = 13,381) responders reported valuations of their currently experienced health state. The preferred regression models used ordinary least-squares estimation for both time trade-off and visual analogue scale values and showed consistency in all coefficients after combining certain levels. Levels 4 and 5 for the dimensions of mobility, self-care and usual activities were combined in the time trade-off model. Including the interaction variable N5, indicating severity level 5 in at least one of the five dimensions, made it possible to distinguish between the two worst severity levels where no other dimension is at level 5 as this coefficient is applied only once. In the visual analogue scale regression model, levels 4 and 5 of the mobility dimension were combined. The interaction variables N2–N4 were included, indicating that each of these terms reflect a statistically significant decrement i…","author":[{"dropping-particle":"","family":"Burström","given":"Kristina","non-dropping-particle":"","parse-names":false,"suffix":""},{"dropping-particle":"","family":"Teni","given":"Fitsum Sebsibe","non-dropping-particle":"","parse-names":false,"suffix":""},{"dropping-particle":"","family":"Gerdtham","given":"Ulf G.","non-dropping-particle":"","parse-names":false,"suffix":""},{"dropping-particle":"","family":"Leidl","given":"Reiner","non-dropping-particle":"","parse-names":false,"suffix":""},{"dropping-particle":"","family":"Helgesson","given":"Gert","non-dropping-particle":"","parse-names":false,"suffix":""},{"dropping-particle":"","family":"Rolfson","given":"Ola","non-dropping-particle":"","parse-names":false,"suffix":""},{"dropping-particle":"","family":"Henriksson","given":"Martin","non-dropping-particle":"","parse-names":false,"suffix":""}],"container-title":"PharmacoEconomics","id":"ITEM-1","issued":{"date-parts":[["2020"]]},"note":"Found: läkartidningen (google)","title":"Experience-based Swedish TTO and VAS value sets for EQ-5D-5L health states","type":"article-journal"},"uris":["http://www.mendeley.com/documents/?uuid=78f14ca5-40f6-467e-95b3-52319520a2bc"]}],"mendeley":{"formattedCitation":"&lt;sup&gt;&lt;sup&gt;46&lt;/sup&gt;&lt;/sup&gt;","plainTextFormattedCitation":"46","previouslyFormattedCitation":"&lt;sup&gt;&lt;sup&gt;46&lt;/sup&gt;&lt;/sup&gt;"},"properties":{"noteIndex":0},"schema":"https://github.com/citation-style-language/schema/raw/master/csl-citation.json"}</w:instrText>
      </w:r>
      <w:r w:rsidR="002B1F23">
        <w:rPr>
          <w:rFonts w:ascii="Times New Roman" w:hAnsi="Times New Roman" w:cs="Times New Roman"/>
          <w:sz w:val="24"/>
          <w:szCs w:val="24"/>
          <w:lang w:val="en-US"/>
        </w:rPr>
        <w:fldChar w:fldCharType="separate"/>
      </w:r>
      <w:r w:rsidR="0081127D" w:rsidRPr="0081127D">
        <w:rPr>
          <w:rFonts w:ascii="Times New Roman" w:hAnsi="Times New Roman" w:cs="Times New Roman"/>
          <w:noProof/>
          <w:sz w:val="24"/>
          <w:szCs w:val="24"/>
          <w:vertAlign w:val="superscript"/>
          <w:lang w:val="en-US"/>
        </w:rPr>
        <w:t>46</w:t>
      </w:r>
      <w:r w:rsidR="002B1F23">
        <w:rPr>
          <w:rFonts w:ascii="Times New Roman" w:hAnsi="Times New Roman" w:cs="Times New Roman"/>
          <w:sz w:val="24"/>
          <w:szCs w:val="24"/>
          <w:lang w:val="en-US"/>
        </w:rPr>
        <w:fldChar w:fldCharType="end"/>
      </w:r>
      <w:r w:rsidR="009F4AB6">
        <w:rPr>
          <w:rFonts w:ascii="Times New Roman" w:hAnsi="Times New Roman" w:cs="Times New Roman"/>
          <w:sz w:val="24"/>
          <w:szCs w:val="24"/>
          <w:lang w:val="en-US"/>
        </w:rPr>
        <w:t xml:space="preserve"> </w:t>
      </w:r>
      <w:r w:rsidR="00BB7915">
        <w:rPr>
          <w:rFonts w:ascii="Times New Roman" w:hAnsi="Times New Roman" w:cs="Times New Roman"/>
          <w:sz w:val="24"/>
          <w:szCs w:val="24"/>
          <w:lang w:val="en-US"/>
        </w:rPr>
        <w:t xml:space="preserve">Both the summary score and the visual analogue scale will be rounded to 2 decimal places. </w:t>
      </w:r>
    </w:p>
    <w:p w14:paraId="2E076B48" w14:textId="77777777" w:rsidR="00CA0A6B" w:rsidRPr="007B140B" w:rsidRDefault="00CA0A6B" w:rsidP="00AE696A">
      <w:pPr>
        <w:spacing w:after="0" w:line="240" w:lineRule="auto"/>
        <w:rPr>
          <w:rFonts w:ascii="Times New Roman" w:hAnsi="Times New Roman" w:cs="Times New Roman"/>
          <w:iCs/>
          <w:color w:val="000000" w:themeColor="text1"/>
          <w:sz w:val="24"/>
          <w:szCs w:val="24"/>
          <w:lang w:val="en-US"/>
        </w:rPr>
      </w:pPr>
    </w:p>
    <w:p w14:paraId="1F2764EC" w14:textId="54DA2A74" w:rsidR="000D6A63" w:rsidRPr="007B140B" w:rsidRDefault="000D6A63" w:rsidP="00D36611">
      <w:pPr>
        <w:pStyle w:val="Formatmall3"/>
        <w:rPr>
          <w:rFonts w:cs="Times New Roman"/>
          <w:lang w:val="en-US"/>
        </w:rPr>
      </w:pPr>
      <w:bookmarkStart w:id="39" w:name="_Toc99001410"/>
      <w:r w:rsidRPr="007B140B">
        <w:rPr>
          <w:rFonts w:cs="Times New Roman"/>
          <w:lang w:val="en-US"/>
        </w:rPr>
        <w:lastRenderedPageBreak/>
        <w:t>Safety outcomes</w:t>
      </w:r>
      <w:bookmarkEnd w:id="39"/>
    </w:p>
    <w:p w14:paraId="73BCD4BA" w14:textId="6277CB2C" w:rsidR="00AE696A" w:rsidRPr="00B55243" w:rsidRDefault="00AE696A" w:rsidP="00AE696A">
      <w:pPr>
        <w:spacing w:after="0" w:line="240" w:lineRule="auto"/>
        <w:rPr>
          <w:rFonts w:ascii="Times New Roman" w:hAnsi="Times New Roman" w:cs="Times New Roman"/>
          <w:iCs/>
          <w:sz w:val="24"/>
          <w:szCs w:val="24"/>
          <w:lang w:val="en-US"/>
        </w:rPr>
      </w:pPr>
      <w:r w:rsidRPr="007B140B">
        <w:rPr>
          <w:rFonts w:ascii="Times New Roman" w:hAnsi="Times New Roman" w:cs="Times New Roman"/>
          <w:iCs/>
          <w:color w:val="000000" w:themeColor="text1"/>
          <w:sz w:val="24"/>
          <w:szCs w:val="24"/>
          <w:lang w:val="en-US"/>
        </w:rPr>
        <w:t>Based on</w:t>
      </w:r>
      <w:r w:rsidR="00500C1B" w:rsidRPr="007B140B">
        <w:rPr>
          <w:rFonts w:ascii="Times New Roman" w:hAnsi="Times New Roman" w:cs="Times New Roman"/>
          <w:iCs/>
          <w:color w:val="000000" w:themeColor="text1"/>
          <w:sz w:val="24"/>
          <w:szCs w:val="24"/>
          <w:lang w:val="en-US"/>
        </w:rPr>
        <w:t xml:space="preserve"> </w:t>
      </w:r>
      <w:r w:rsidR="00D05974" w:rsidRPr="007B140B">
        <w:rPr>
          <w:rFonts w:ascii="Times New Roman" w:hAnsi="Times New Roman" w:cs="Times New Roman"/>
          <w:iCs/>
          <w:color w:val="000000" w:themeColor="text1"/>
          <w:sz w:val="24"/>
          <w:szCs w:val="24"/>
          <w:lang w:val="en-US"/>
        </w:rPr>
        <w:t>previous tri</w:t>
      </w:r>
      <w:r w:rsidR="004B33B3" w:rsidRPr="007B140B">
        <w:rPr>
          <w:rFonts w:ascii="Times New Roman" w:hAnsi="Times New Roman" w:cs="Times New Roman"/>
          <w:iCs/>
          <w:color w:val="000000" w:themeColor="text1"/>
          <w:sz w:val="24"/>
          <w:szCs w:val="24"/>
          <w:lang w:val="en-US"/>
        </w:rPr>
        <w:t>als of zoledronic acid and the Summary of Product C</w:t>
      </w:r>
      <w:r w:rsidR="00D05974" w:rsidRPr="007B140B">
        <w:rPr>
          <w:rFonts w:ascii="Times New Roman" w:hAnsi="Times New Roman" w:cs="Times New Roman"/>
          <w:iCs/>
          <w:color w:val="000000" w:themeColor="text1"/>
          <w:sz w:val="24"/>
          <w:szCs w:val="24"/>
          <w:lang w:val="en-US"/>
        </w:rPr>
        <w:t>haracteristics</w:t>
      </w:r>
      <w:r w:rsidR="00712B2A" w:rsidRPr="007B140B">
        <w:rPr>
          <w:rFonts w:ascii="Times New Roman" w:hAnsi="Times New Roman" w:cs="Times New Roman"/>
          <w:iCs/>
          <w:color w:val="000000" w:themeColor="text1"/>
          <w:sz w:val="24"/>
          <w:szCs w:val="24"/>
          <w:lang w:val="en-US"/>
        </w:rPr>
        <w:t xml:space="preserve"> </w:t>
      </w:r>
      <w:r w:rsidR="00CD1D61" w:rsidRPr="007B140B">
        <w:rPr>
          <w:rFonts w:ascii="Times New Roman" w:hAnsi="Times New Roman" w:cs="Times New Roman"/>
          <w:iCs/>
          <w:color w:val="000000" w:themeColor="text1"/>
          <w:sz w:val="24"/>
          <w:szCs w:val="24"/>
          <w:lang w:val="en-US"/>
        </w:rPr>
        <w:t>of</w:t>
      </w:r>
      <w:r w:rsidR="00712B2A" w:rsidRPr="007B140B">
        <w:rPr>
          <w:rFonts w:ascii="Times New Roman" w:hAnsi="Times New Roman" w:cs="Times New Roman"/>
          <w:iCs/>
          <w:color w:val="000000" w:themeColor="text1"/>
          <w:sz w:val="24"/>
          <w:szCs w:val="24"/>
          <w:lang w:val="en-US"/>
        </w:rPr>
        <w:t xml:space="preserve"> Aclasta</w:t>
      </w:r>
      <w:r w:rsidR="00CB1AFE">
        <w:rPr>
          <w:rFonts w:ascii="Times New Roman" w:hAnsi="Times New Roman" w:cs="Times New Roman"/>
          <w:iCs/>
          <w:color w:val="000000" w:themeColor="text1"/>
          <w:sz w:val="24"/>
          <w:szCs w:val="24"/>
          <w:lang w:val="en-US"/>
        </w:rPr>
        <w:t>, the brand name of zoledronic acid</w:t>
      </w:r>
      <w:r w:rsidR="000D6A63" w:rsidRPr="007B140B">
        <w:rPr>
          <w:rFonts w:ascii="Times New Roman" w:hAnsi="Times New Roman" w:cs="Times New Roman"/>
          <w:iCs/>
          <w:color w:val="000000" w:themeColor="text1"/>
          <w:sz w:val="24"/>
          <w:szCs w:val="24"/>
          <w:lang w:val="en-US"/>
        </w:rPr>
        <w:t>,</w:t>
      </w:r>
      <w:r w:rsidR="00D05974" w:rsidRPr="007B140B">
        <w:rPr>
          <w:rFonts w:ascii="Times New Roman" w:hAnsi="Times New Roman" w:cs="Times New Roman"/>
          <w:iCs/>
          <w:color w:val="000000" w:themeColor="text1"/>
          <w:sz w:val="24"/>
          <w:szCs w:val="24"/>
          <w:lang w:val="en-US"/>
        </w:rPr>
        <w:fldChar w:fldCharType="begin" w:fldLock="1"/>
      </w:r>
      <w:r w:rsidR="00D2485C">
        <w:rPr>
          <w:rFonts w:ascii="Times New Roman" w:hAnsi="Times New Roman" w:cs="Times New Roman"/>
          <w:iCs/>
          <w:color w:val="000000" w:themeColor="text1"/>
          <w:sz w:val="24"/>
          <w:szCs w:val="24"/>
          <w:lang w:val="en-US"/>
        </w:rPr>
        <w:instrText>ADDIN CSL_CITATION {"citationItems":[{"id":"ITEM-1","itemData":{"DOI":"10.1201/9780203971093.bmatt","id":"ITEM-1","issued":{"date-parts":[["0"]]},"title":"Aclasta: European Public Assessment Report (EPAR) - Product Information, Annex 1 - Summary of product characteristics (31/07/2019 Aclasta - EMEA/H/C/000595 - II/0072)","type":"article"},"uris":["http://www.mendeley.com/documents/?uuid=649b59e6-52cf-4c90-80d7-152dde40c643"]},{"id":"ITEM-2","itemData":{"DOI":"10.1056/NEJMoa1808082","ISSN":"0028-4793","author":[{"dropping-particle":"","family":"Reid","given":"Ian R.","non-dropping-particle":"","parse-names":false,"suffix":""},{"dropping-particle":"","family":"Horne","given":"Anne M.","non-dropping-particle":"","parse-names":false,"suffix":""},{"dropping-particle":"","family":"Mihov","given":"Borislav","non-dropping-particle":"","parse-names":false,"suffix":""},{"dropping-particle":"","family":"Stewart","given":"Angela","non-dropping-particle":"","parse-names":false,"suffix":""},{"dropping-particle":"","family":"Garratt","given":"Elizabeth","non-dropping-particle":"","parse-names":false,"suffix":""},{"dropping-particle":"","family":"Wong","given":"Sumwai","non-dropping-particle":"","parse-names":false,"suffix":""},{"dropping-particle":"","family":"Wiessing","given":"Katy R.","non-dropping-particle":"","parse-names":false,"suffix":""},{"dropping-particle":"","family":"Bolland","given":"Mark J.","non-dropping-particle":"","parse-names":false,"suffix":""},{"dropping-particle":"","family":"Bastin","given":"Sonja","non-dropping-particle":"","parse-names":false,"suffix":""},{"dropping-particle":"","family":"Gamble","given":"Gregory D.","non-dropping-particle":"","parse-names":false,"suffix":""}],"container-title":"New England Journal of Medicine","id":"ITEM-2","issue":"25","issued":{"date-parts":[["2018"]]},"page":"2407-2416","title":"Fracture prevention with zoledronate in older women with osteopenia","type":"article-journal","volume":"379"},"uris":["http://www.mendeley.com/documents/?uuid=69cbf6db-0dca-4f28-87bb-02a266b0d7ef"]},{"id":"ITEM-3","itemData":{"DOI":"10.1056/NEJMoa067312","author":[{"dropping-particle":"","family":"Black","given":"D M","non-dropping-particle":"","parse-names":false,"suffix":""},{"dropping-particle":"","family":"Delmas","given":"P D","non-dropping-particle":"","parse-names":false,"suffix":""},{"dropping-particle":"","family":"Eastell","given":"R","non-dropping-particle":"","parse-names":false,"suffix":""},{"dropping-particle":"","family":"Reid","given":"I R","non-dropping-particle":"","parse-names":false,"suffix":""},{"dropping-particle":"","family":"Boonen","given":"S","non-dropping-particle":"","parse-names":false,"suffix":""},{"dropping-particle":"","family":"Cauley","given":"J A","non-dropping-particle":"","parse-names":false,"suffix":""},{"dropping-particle":"","family":"Cosman","given":"F","non-dropping-particle":"","parse-names":false,"suffix":""},{"dropping-particle":"","family":"Lakatos","given":"P","non-dropping-particle":"","parse-names":false,"suffix":""},{"dropping-particle":"","family":"Leung","given":"P C","non-dropping-particle":"","parse-names":false,"suffix":""},{"dropping-particle":"","family":"Man","given":"Z","non-dropping-particle":"","parse-names":false,"suffix":""},{"dropping-particle":"","family":"Mautalen","given":"C","non-dropping-particle":"","parse-names":false,"suffix":""},{"dropping-particle":"","family":"Mesenbrink","given":"P","non-dropping-particle":"","parse-names":false,"suffix":""},{"dropping-particle":"","family":"Hu","given":"H","non-dropping-particle":"","parse-names":false,"suffix":""},{"dropping-particle":"","family":"Caminis","given":"J","non-dropping-particle":"","parse-names":false,"suffix":""},{"dropping-particle":"","family":"Tong","given":"K","non-dropping-particle":"","parse-names":false,"suffix":""},{"dropping-particle":"","family":"Rosario-Jansen","given":"T","non-dropping-particle":"","parse-names":false,"suffix":""},{"dropping-particle":"","family":"Krasnow","given":"J","non-dropping-particle":"","parse-names":false,"suffix":""},{"dropping-particle":"","family":"Hue","given":"T F","non-dropping-particle":"","parse-names":false,"suffix":""},{"dropping-particle":"","family":"Sellmeyer","given":"D","non-dropping-particle":"","parse-names":false,"suffix":""},{"dropping-particle":"","family":"Eriksen","given":"E F","non-dropping-particle":"","parse-names":false,"suffix":""},{"dropping-particle":"","family":"Cummings","given":"S R","non-dropping-particle":"","parse-names":false,"suffix":""}],"container-title":"N Engl J Med","id":"ITEM-3","issue":"18","issued":{"date-parts":[["2007"]]},"page":"1809-1822","title":"Once-yearly zoledronic acid for treatment of postmenopausal osteoporosis","type":"article-journal","volume":"356"},"uris":["http://www.mendeley.com/documents/?uuid=0f13fad4-b5f5-42f7-873f-7dd2216502be"]},{"id":"ITEM-4","itemData":{"DOI":"10.1056/NEJMoa074941","author":[{"dropping-particle":"","family":"Lyles","given":"Kenneth W.","non-dropping-particle":"","parse-names":false,"suffix":""},{"dropping-particle":"","family":"Colón-Emeric","given":"Cathleen S.","non-dropping-particle":"","parse-names":false,"suffix":""},{"dropping-particle":"","family":"Magaziner","given":"Jay S.","non-dropping-particle":"","parse-names":false,"suffix":""},{"dropping-particle":"","family":"Adachi","given":"Jonathan D.","non-dropping-particle":"","parse-names":false,"suffix":""},{"dropping-particle":"","family":"Pieper","given":"Carl F.","non-dropping-particle":"","parse-names":false,"suffix":""},{"dropping-particle":"","family":"Mautalen","given":"Carlos","non-dropping-particle":"","parse-names":false,"suffix":""},{"dropping-particle":"","family":"Hyldstrup","given":"Lars","non-dropping-particle":"","parse-names":false,"suffix":""},{"dropping-particle":"","family":"Recknor","given":"Chris","non-dropping-particle":"","parse-names":false,"suffix":""},{"dropping-particle":"","family":"Nordsletten","given":"Lars","non-dropping-particle":"","parse-names":false,"suffix":""},{"dropping-particle":"","family":"Moore","given":"Kathy A.","non-dropping-particle":"","parse-names":false,"suffix":""},{"dropping-particle":"","family":"Lavecchia","given":"Catherine","non-dropping-particle":"","parse-names":false,"suffix":""},{"dropping-particle":"","family":"Zhang","given":"Jie","non-dropping-particle":"","parse-names":false,"suffix":""},{"dropping-particle":"","family":"Mesenbrink","given":"Peter","non-dropping-particle":"","parse-names":false,"suffix":""},{"dropping-particle":"","family":"Hodgson","given":"Patricia K.","non-dropping-particle":"","parse-names":false,"suffix":""},{"dropping-particle":"","family":"Abrams","given":"Ken","non-dropping-particle":"","parse-names":false,"suffix":""},{"dropping-particle":"","family":"Orloff","given":"John J.","non-dropping-particle":"","parse-names":false,"suffix":""},{"dropping-particle":"","family":"Horowitz","given":"Zebulun","non-dropping-particle":"","parse-names":false,"suffix":""},{"dropping-particle":"","family":"Eriksen","given":"Erik Fink","non-dropping-particle":"","parse-names":false,"suffix":""},{"dropping-particle":"","family":"Boonen","given":"Steven","non-dropping-particle":"","parse-names":false,"suffix":""}],"container-title":"New England Journal of Medicine","id":"ITEM-4","issue":"18","issued":{"date-parts":[["2007"]]},"page":"1799-1809","title":"Zoledronic acid and clinical fractures and mortality after hip fracture","type":"article-journal","volume":"357"},"uris":["http://www.mendeley.com/documents/?uuid=fdc4eb3b-a387-4743-a233-680ae590c2cf"]}],"mendeley":{"formattedCitation":"&lt;sup&gt;&lt;sup&gt;17&lt;/sup&gt;,&lt;sup&gt;19&lt;/sup&gt;–&lt;sup&gt;21&lt;/sup&gt;&lt;/sup&gt;","plainTextFormattedCitation":"17,19–21","previouslyFormattedCitation":"&lt;sup&gt;&lt;sup&gt;17&lt;/sup&gt;,&lt;sup&gt;19&lt;/sup&gt;–&lt;sup&gt;21&lt;/sup&gt;&lt;/sup&gt;"},"properties":{"noteIndex":0},"schema":"https://github.com/citation-style-language/schema/raw/master/csl-citation.json"}</w:instrText>
      </w:r>
      <w:r w:rsidR="00D05974" w:rsidRPr="007B140B">
        <w:rPr>
          <w:rFonts w:ascii="Times New Roman" w:hAnsi="Times New Roman" w:cs="Times New Roman"/>
          <w:iCs/>
          <w:color w:val="000000" w:themeColor="text1"/>
          <w:sz w:val="24"/>
          <w:szCs w:val="24"/>
          <w:lang w:val="en-US"/>
        </w:rPr>
        <w:fldChar w:fldCharType="separate"/>
      </w:r>
      <w:r w:rsidR="00D2485C" w:rsidRPr="00D2485C">
        <w:rPr>
          <w:rFonts w:ascii="Times New Roman" w:hAnsi="Times New Roman" w:cs="Times New Roman"/>
          <w:iCs/>
          <w:noProof/>
          <w:color w:val="000000" w:themeColor="text1"/>
          <w:sz w:val="24"/>
          <w:szCs w:val="24"/>
          <w:vertAlign w:val="superscript"/>
          <w:lang w:val="en-US"/>
        </w:rPr>
        <w:t>17,19–21</w:t>
      </w:r>
      <w:r w:rsidR="00D05974" w:rsidRPr="007B140B">
        <w:rPr>
          <w:rFonts w:ascii="Times New Roman" w:hAnsi="Times New Roman" w:cs="Times New Roman"/>
          <w:iCs/>
          <w:color w:val="000000" w:themeColor="text1"/>
          <w:sz w:val="24"/>
          <w:szCs w:val="24"/>
          <w:lang w:val="en-US"/>
        </w:rPr>
        <w:fldChar w:fldCharType="end"/>
      </w:r>
      <w:r w:rsidRPr="007B140B">
        <w:rPr>
          <w:rFonts w:ascii="Times New Roman" w:hAnsi="Times New Roman" w:cs="Times New Roman"/>
          <w:iCs/>
          <w:sz w:val="24"/>
          <w:szCs w:val="24"/>
          <w:lang w:val="en-US"/>
        </w:rPr>
        <w:t xml:space="preserve"> </w:t>
      </w:r>
      <w:r w:rsidR="00283605" w:rsidRPr="007B140B">
        <w:rPr>
          <w:rFonts w:ascii="Times New Roman" w:hAnsi="Times New Roman" w:cs="Times New Roman"/>
          <w:iCs/>
          <w:sz w:val="24"/>
          <w:szCs w:val="24"/>
          <w:lang w:val="en-US"/>
        </w:rPr>
        <w:t xml:space="preserve">the </w:t>
      </w:r>
      <w:r w:rsidR="0010116C" w:rsidRPr="007B140B">
        <w:rPr>
          <w:rFonts w:ascii="Times New Roman" w:hAnsi="Times New Roman" w:cs="Times New Roman"/>
          <w:iCs/>
          <w:sz w:val="24"/>
          <w:szCs w:val="24"/>
          <w:lang w:val="en-US"/>
        </w:rPr>
        <w:t>occurrence</w:t>
      </w:r>
      <w:r w:rsidR="000E767A" w:rsidRPr="007B140B">
        <w:rPr>
          <w:rFonts w:ascii="Times New Roman" w:hAnsi="Times New Roman" w:cs="Times New Roman"/>
          <w:iCs/>
          <w:sz w:val="24"/>
          <w:szCs w:val="24"/>
          <w:lang w:val="en-US"/>
        </w:rPr>
        <w:t xml:space="preserve"> or worsening</w:t>
      </w:r>
      <w:r w:rsidR="0010116C" w:rsidRPr="007B140B">
        <w:rPr>
          <w:rFonts w:ascii="Times New Roman" w:hAnsi="Times New Roman" w:cs="Times New Roman"/>
          <w:iCs/>
          <w:sz w:val="24"/>
          <w:szCs w:val="24"/>
          <w:lang w:val="en-US"/>
        </w:rPr>
        <w:t xml:space="preserve"> of the </w:t>
      </w:r>
      <w:r w:rsidR="00283605" w:rsidRPr="00B55243">
        <w:rPr>
          <w:rFonts w:ascii="Times New Roman" w:hAnsi="Times New Roman" w:cs="Times New Roman"/>
          <w:iCs/>
          <w:sz w:val="24"/>
          <w:szCs w:val="24"/>
          <w:lang w:val="en-US"/>
        </w:rPr>
        <w:t xml:space="preserve">following </w:t>
      </w:r>
      <w:r w:rsidR="005E66DA" w:rsidRPr="00B55243">
        <w:rPr>
          <w:rFonts w:ascii="Times New Roman" w:hAnsi="Times New Roman" w:cs="Times New Roman"/>
          <w:iCs/>
          <w:sz w:val="24"/>
          <w:szCs w:val="24"/>
          <w:lang w:val="en-US"/>
        </w:rPr>
        <w:t xml:space="preserve">pre-specified </w:t>
      </w:r>
      <w:r w:rsidRPr="00B55243">
        <w:rPr>
          <w:rFonts w:ascii="Times New Roman" w:hAnsi="Times New Roman" w:cs="Times New Roman"/>
          <w:iCs/>
          <w:sz w:val="24"/>
          <w:szCs w:val="24"/>
          <w:lang w:val="en-US"/>
        </w:rPr>
        <w:t xml:space="preserve">safety </w:t>
      </w:r>
      <w:r w:rsidR="000D6A63" w:rsidRPr="00B55243">
        <w:rPr>
          <w:rFonts w:ascii="Times New Roman" w:hAnsi="Times New Roman" w:cs="Times New Roman"/>
          <w:iCs/>
          <w:sz w:val="24"/>
          <w:szCs w:val="24"/>
          <w:lang w:val="en-US"/>
        </w:rPr>
        <w:t xml:space="preserve">outcomes </w:t>
      </w:r>
      <w:r w:rsidRPr="00B55243">
        <w:rPr>
          <w:rFonts w:ascii="Times New Roman" w:hAnsi="Times New Roman" w:cs="Times New Roman"/>
          <w:iCs/>
          <w:sz w:val="24"/>
          <w:szCs w:val="24"/>
          <w:lang w:val="en-US"/>
        </w:rPr>
        <w:t xml:space="preserve">will </w:t>
      </w:r>
      <w:r w:rsidR="000D6A63" w:rsidRPr="00B55243">
        <w:rPr>
          <w:rFonts w:ascii="Times New Roman" w:hAnsi="Times New Roman" w:cs="Times New Roman"/>
          <w:iCs/>
          <w:sz w:val="24"/>
          <w:szCs w:val="24"/>
          <w:lang w:val="en-US"/>
        </w:rPr>
        <w:t>be</w:t>
      </w:r>
      <w:r w:rsidR="00283605" w:rsidRPr="00B55243">
        <w:rPr>
          <w:rFonts w:ascii="Times New Roman" w:hAnsi="Times New Roman" w:cs="Times New Roman"/>
          <w:iCs/>
          <w:sz w:val="24"/>
          <w:szCs w:val="24"/>
          <w:lang w:val="en-US"/>
        </w:rPr>
        <w:t xml:space="preserve"> </w:t>
      </w:r>
      <w:r w:rsidR="0010116C" w:rsidRPr="00B55243">
        <w:rPr>
          <w:rFonts w:ascii="Times New Roman" w:hAnsi="Times New Roman" w:cs="Times New Roman"/>
          <w:iCs/>
          <w:sz w:val="24"/>
          <w:szCs w:val="24"/>
          <w:lang w:val="en-US"/>
        </w:rPr>
        <w:t>assessed</w:t>
      </w:r>
      <w:r w:rsidRPr="00066B77">
        <w:rPr>
          <w:rFonts w:ascii="Times New Roman" w:hAnsi="Times New Roman" w:cs="Times New Roman"/>
          <w:iCs/>
          <w:sz w:val="24"/>
          <w:szCs w:val="24"/>
          <w:lang w:val="en-US"/>
        </w:rPr>
        <w:t>:</w:t>
      </w:r>
    </w:p>
    <w:p w14:paraId="6BAA4FD0" w14:textId="77777777" w:rsidR="000D6A63" w:rsidRPr="00B55243" w:rsidRDefault="000D6A63" w:rsidP="00AE696A">
      <w:pPr>
        <w:spacing w:after="0" w:line="240" w:lineRule="auto"/>
        <w:rPr>
          <w:rFonts w:ascii="Times New Roman" w:hAnsi="Times New Roman" w:cs="Times New Roman"/>
          <w:iCs/>
          <w:sz w:val="24"/>
          <w:szCs w:val="24"/>
          <w:lang w:val="en-US"/>
        </w:rPr>
      </w:pPr>
    </w:p>
    <w:p w14:paraId="44F8B0F7" w14:textId="6894936C" w:rsidR="000D6A63" w:rsidRPr="00066B77" w:rsidRDefault="000D6A63" w:rsidP="00363CEE">
      <w:pPr>
        <w:pStyle w:val="Liststycke"/>
        <w:numPr>
          <w:ilvl w:val="0"/>
          <w:numId w:val="11"/>
        </w:numPr>
        <w:spacing w:after="0" w:line="240" w:lineRule="auto"/>
        <w:rPr>
          <w:rFonts w:ascii="Times New Roman" w:hAnsi="Times New Roman" w:cs="Times New Roman"/>
          <w:iCs/>
          <w:sz w:val="24"/>
          <w:szCs w:val="24"/>
          <w:lang w:val="en-US"/>
        </w:rPr>
      </w:pPr>
      <w:r w:rsidRPr="00B55243">
        <w:rPr>
          <w:rFonts w:ascii="Times New Roman" w:hAnsi="Times New Roman" w:cs="Times New Roman"/>
          <w:iCs/>
          <w:sz w:val="24"/>
          <w:szCs w:val="24"/>
          <w:lang w:val="en-US"/>
        </w:rPr>
        <w:t>Post-infusion symptoms</w:t>
      </w:r>
      <w:r w:rsidR="007B59AA" w:rsidRPr="00B55243">
        <w:rPr>
          <w:rFonts w:ascii="Times New Roman" w:hAnsi="Times New Roman" w:cs="Times New Roman"/>
          <w:iCs/>
          <w:sz w:val="24"/>
          <w:szCs w:val="24"/>
          <w:lang w:val="en-US"/>
        </w:rPr>
        <w:t xml:space="preserve"> (T88.7)</w:t>
      </w:r>
    </w:p>
    <w:p w14:paraId="6CA87566" w14:textId="5D8E9D51" w:rsidR="00E4333A" w:rsidRPr="00B55243" w:rsidRDefault="00AE696A" w:rsidP="00363CEE">
      <w:pPr>
        <w:pStyle w:val="Liststycke"/>
        <w:numPr>
          <w:ilvl w:val="0"/>
          <w:numId w:val="11"/>
        </w:numPr>
        <w:spacing w:after="0" w:line="240" w:lineRule="auto"/>
        <w:rPr>
          <w:rFonts w:ascii="Times New Roman" w:hAnsi="Times New Roman" w:cs="Times New Roman"/>
          <w:sz w:val="24"/>
          <w:szCs w:val="24"/>
          <w:lang w:val="en-US"/>
        </w:rPr>
      </w:pPr>
      <w:r w:rsidRPr="00B55243">
        <w:rPr>
          <w:rFonts w:ascii="Times New Roman" w:hAnsi="Times New Roman" w:cs="Times New Roman"/>
          <w:sz w:val="24"/>
          <w:szCs w:val="24"/>
          <w:lang w:val="en-US"/>
        </w:rPr>
        <w:t>Osteo</w:t>
      </w:r>
      <w:r w:rsidR="00322E48" w:rsidRPr="00B55243">
        <w:rPr>
          <w:rFonts w:ascii="Times New Roman" w:hAnsi="Times New Roman" w:cs="Times New Roman"/>
          <w:sz w:val="24"/>
          <w:szCs w:val="24"/>
          <w:lang w:val="en-US"/>
        </w:rPr>
        <w:t>necrosis</w:t>
      </w:r>
      <w:r w:rsidR="00E4333A" w:rsidRPr="00B55243">
        <w:rPr>
          <w:rFonts w:ascii="Times New Roman" w:hAnsi="Times New Roman" w:cs="Times New Roman"/>
          <w:sz w:val="24"/>
          <w:szCs w:val="24"/>
          <w:lang w:val="en-US"/>
        </w:rPr>
        <w:t xml:space="preserve"> of the jaw</w:t>
      </w:r>
      <w:r w:rsidR="00210E25" w:rsidRPr="00B55243">
        <w:rPr>
          <w:rFonts w:ascii="Times New Roman" w:hAnsi="Times New Roman" w:cs="Times New Roman"/>
          <w:sz w:val="24"/>
          <w:szCs w:val="24"/>
          <w:lang w:val="en-US"/>
        </w:rPr>
        <w:t xml:space="preserve"> (K10.2)</w:t>
      </w:r>
    </w:p>
    <w:p w14:paraId="6AD08F89" w14:textId="5E209B68" w:rsidR="00AE696A" w:rsidRPr="007B140B" w:rsidRDefault="00E4333A" w:rsidP="00363CEE">
      <w:pPr>
        <w:pStyle w:val="Liststycke"/>
        <w:numPr>
          <w:ilvl w:val="0"/>
          <w:numId w:val="11"/>
        </w:num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Osteonecrosis (avascular necrosis) not of the jaw</w:t>
      </w:r>
      <w:r w:rsidR="00210E25">
        <w:rPr>
          <w:rFonts w:ascii="Times New Roman" w:hAnsi="Times New Roman" w:cs="Times New Roman"/>
          <w:sz w:val="24"/>
          <w:szCs w:val="24"/>
          <w:lang w:val="en-US"/>
        </w:rPr>
        <w:t xml:space="preserve"> (</w:t>
      </w:r>
      <w:r w:rsidR="00210E25" w:rsidRPr="007B140B">
        <w:rPr>
          <w:rFonts w:ascii="Times New Roman" w:hAnsi="Times New Roman" w:cs="Times New Roman"/>
          <w:sz w:val="24"/>
          <w:szCs w:val="24"/>
          <w:lang w:val="en-US"/>
        </w:rPr>
        <w:t>M87</w:t>
      </w:r>
      <w:r w:rsidR="00210E25">
        <w:rPr>
          <w:rFonts w:ascii="Times New Roman" w:hAnsi="Times New Roman" w:cs="Times New Roman"/>
          <w:sz w:val="24"/>
          <w:szCs w:val="24"/>
          <w:lang w:val="en-US"/>
        </w:rPr>
        <w:t>)</w:t>
      </w:r>
    </w:p>
    <w:p w14:paraId="5E1F68B0" w14:textId="7CEC76BB" w:rsidR="00AE696A" w:rsidRPr="007B140B" w:rsidRDefault="00924FAE" w:rsidP="00363CEE">
      <w:pPr>
        <w:pStyle w:val="Liststycke"/>
        <w:numPr>
          <w:ilvl w:val="0"/>
          <w:numId w:val="11"/>
        </w:num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Atypical femur fracture</w:t>
      </w:r>
      <w:r w:rsidR="00210E25">
        <w:rPr>
          <w:rFonts w:ascii="Times New Roman" w:hAnsi="Times New Roman" w:cs="Times New Roman"/>
          <w:sz w:val="24"/>
          <w:szCs w:val="24"/>
          <w:lang w:val="en-US"/>
        </w:rPr>
        <w:t xml:space="preserve"> (</w:t>
      </w:r>
      <w:r w:rsidR="00210E25" w:rsidRPr="007B140B">
        <w:rPr>
          <w:rFonts w:ascii="Times New Roman" w:hAnsi="Times New Roman" w:cs="Times New Roman"/>
          <w:sz w:val="24"/>
          <w:szCs w:val="24"/>
          <w:lang w:val="en-US"/>
        </w:rPr>
        <w:t>S722-S724</w:t>
      </w:r>
      <w:r w:rsidR="00210E25">
        <w:rPr>
          <w:rFonts w:ascii="Times New Roman" w:hAnsi="Times New Roman" w:cs="Times New Roman"/>
          <w:sz w:val="24"/>
          <w:szCs w:val="24"/>
          <w:lang w:val="en-US"/>
        </w:rPr>
        <w:t>)</w:t>
      </w:r>
    </w:p>
    <w:p w14:paraId="4D1CA0D3" w14:textId="0C05E01C" w:rsidR="004B33B3" w:rsidRPr="007B140B" w:rsidRDefault="00C2048C" w:rsidP="00363CEE">
      <w:pPr>
        <w:pStyle w:val="Liststycke"/>
        <w:numPr>
          <w:ilvl w:val="0"/>
          <w:numId w:val="11"/>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w:t>
      </w:r>
      <w:r w:rsidR="00AE696A" w:rsidRPr="007B140B">
        <w:rPr>
          <w:rFonts w:ascii="Times New Roman" w:hAnsi="Times New Roman" w:cs="Times New Roman"/>
          <w:sz w:val="24"/>
          <w:szCs w:val="24"/>
          <w:lang w:val="en-US"/>
        </w:rPr>
        <w:t>trial fibrillation</w:t>
      </w:r>
      <w:r>
        <w:rPr>
          <w:rFonts w:ascii="Times New Roman" w:hAnsi="Times New Roman" w:cs="Times New Roman"/>
          <w:sz w:val="24"/>
          <w:szCs w:val="24"/>
          <w:lang w:val="en-US"/>
        </w:rPr>
        <w:t xml:space="preserve"> (</w:t>
      </w:r>
      <w:r w:rsidRPr="007B140B">
        <w:rPr>
          <w:rFonts w:ascii="Times New Roman" w:hAnsi="Times New Roman" w:cs="Times New Roman"/>
          <w:sz w:val="24"/>
          <w:szCs w:val="24"/>
          <w:lang w:val="en-US"/>
        </w:rPr>
        <w:t>I48</w:t>
      </w:r>
      <w:r>
        <w:rPr>
          <w:rFonts w:ascii="Times New Roman" w:hAnsi="Times New Roman" w:cs="Times New Roman"/>
          <w:sz w:val="24"/>
          <w:szCs w:val="24"/>
          <w:lang w:val="en-US"/>
        </w:rPr>
        <w:t>)</w:t>
      </w:r>
    </w:p>
    <w:p w14:paraId="7C02E1EC" w14:textId="39FAF0EA" w:rsidR="00AE696A" w:rsidRPr="007B140B" w:rsidRDefault="00AE696A" w:rsidP="00363CEE">
      <w:pPr>
        <w:pStyle w:val="Liststycke"/>
        <w:numPr>
          <w:ilvl w:val="0"/>
          <w:numId w:val="11"/>
        </w:num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Re-operation of fracture</w:t>
      </w:r>
    </w:p>
    <w:p w14:paraId="17B438D7" w14:textId="178C51F3" w:rsidR="00EA17BF" w:rsidRPr="007B140B" w:rsidRDefault="00EA17BF" w:rsidP="00B673BC">
      <w:pPr>
        <w:pStyle w:val="Liststycke"/>
        <w:numPr>
          <w:ilvl w:val="0"/>
          <w:numId w:val="11"/>
        </w:num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Delayed fracture healing</w:t>
      </w:r>
      <w:r w:rsidR="00B673BC">
        <w:rPr>
          <w:rFonts w:ascii="Times New Roman" w:hAnsi="Times New Roman" w:cs="Times New Roman"/>
          <w:sz w:val="24"/>
          <w:szCs w:val="24"/>
          <w:lang w:val="en-US"/>
        </w:rPr>
        <w:t xml:space="preserve"> (</w:t>
      </w:r>
      <w:r w:rsidR="00B673BC" w:rsidRPr="00B673BC">
        <w:rPr>
          <w:rFonts w:ascii="Times New Roman" w:hAnsi="Times New Roman" w:cs="Times New Roman"/>
          <w:sz w:val="24"/>
          <w:szCs w:val="24"/>
          <w:lang w:val="en-US"/>
        </w:rPr>
        <w:t>M84.2</w:t>
      </w:r>
      <w:r w:rsidR="00B673BC">
        <w:rPr>
          <w:rFonts w:ascii="Times New Roman" w:hAnsi="Times New Roman" w:cs="Times New Roman"/>
          <w:sz w:val="24"/>
          <w:szCs w:val="24"/>
          <w:lang w:val="en-US"/>
        </w:rPr>
        <w:t>)</w:t>
      </w:r>
    </w:p>
    <w:p w14:paraId="4EC66F5F" w14:textId="28212B92" w:rsidR="00AE696A" w:rsidRPr="007B140B" w:rsidRDefault="00AE696A" w:rsidP="001859C3">
      <w:pPr>
        <w:pStyle w:val="Liststycke"/>
        <w:numPr>
          <w:ilvl w:val="0"/>
          <w:numId w:val="11"/>
        </w:num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Renal failure</w:t>
      </w:r>
      <w:r w:rsidR="00210E25">
        <w:rPr>
          <w:rFonts w:ascii="Times New Roman" w:hAnsi="Times New Roman" w:cs="Times New Roman"/>
          <w:sz w:val="24"/>
          <w:szCs w:val="24"/>
          <w:lang w:val="en-US"/>
        </w:rPr>
        <w:t xml:space="preserve"> (</w:t>
      </w:r>
      <w:r w:rsidR="00210E25" w:rsidRPr="007B140B">
        <w:rPr>
          <w:rFonts w:ascii="Times New Roman" w:hAnsi="Times New Roman" w:cs="Times New Roman"/>
          <w:sz w:val="24"/>
          <w:szCs w:val="24"/>
          <w:lang w:val="en-US"/>
        </w:rPr>
        <w:t>N17-N19</w:t>
      </w:r>
      <w:r w:rsidR="00210E25">
        <w:rPr>
          <w:rFonts w:ascii="Times New Roman" w:hAnsi="Times New Roman" w:cs="Times New Roman"/>
          <w:sz w:val="24"/>
          <w:szCs w:val="24"/>
          <w:lang w:val="en-US"/>
        </w:rPr>
        <w:t>)</w:t>
      </w:r>
    </w:p>
    <w:p w14:paraId="668DEB44" w14:textId="5D1279E6" w:rsidR="001859C3" w:rsidRPr="007B140B" w:rsidRDefault="001859C3" w:rsidP="001859C3">
      <w:pPr>
        <w:pStyle w:val="Liststycke"/>
        <w:numPr>
          <w:ilvl w:val="0"/>
          <w:numId w:val="11"/>
        </w:num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Hypocalcemia</w:t>
      </w:r>
      <w:r w:rsidR="00210E25">
        <w:rPr>
          <w:rFonts w:ascii="Times New Roman" w:hAnsi="Times New Roman" w:cs="Times New Roman"/>
          <w:sz w:val="24"/>
          <w:szCs w:val="24"/>
          <w:lang w:val="en-US"/>
        </w:rPr>
        <w:t xml:space="preserve"> (</w:t>
      </w:r>
      <w:r w:rsidR="00210E25" w:rsidRPr="007B140B">
        <w:rPr>
          <w:rFonts w:ascii="Times New Roman" w:hAnsi="Times New Roman" w:cs="Times New Roman"/>
          <w:sz w:val="24"/>
          <w:szCs w:val="24"/>
          <w:lang w:val="en-US"/>
        </w:rPr>
        <w:t>E835</w:t>
      </w:r>
      <w:r w:rsidR="00210E25">
        <w:rPr>
          <w:rFonts w:ascii="Times New Roman" w:hAnsi="Times New Roman" w:cs="Times New Roman"/>
          <w:sz w:val="24"/>
          <w:szCs w:val="24"/>
          <w:lang w:val="en-US"/>
        </w:rPr>
        <w:t>)</w:t>
      </w:r>
    </w:p>
    <w:p w14:paraId="20975E6F" w14:textId="76E3DDE2" w:rsidR="00DF42BC" w:rsidRPr="007B140B" w:rsidRDefault="00DF42BC" w:rsidP="001859C3">
      <w:pPr>
        <w:pStyle w:val="Liststycke"/>
        <w:numPr>
          <w:ilvl w:val="0"/>
          <w:numId w:val="11"/>
        </w:num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Ocular event</w:t>
      </w:r>
      <w:r w:rsidR="00210E25">
        <w:rPr>
          <w:rFonts w:ascii="Times New Roman" w:hAnsi="Times New Roman" w:cs="Times New Roman"/>
          <w:sz w:val="24"/>
          <w:szCs w:val="24"/>
          <w:lang w:val="en-US"/>
        </w:rPr>
        <w:t xml:space="preserve"> (</w:t>
      </w:r>
      <w:r w:rsidR="00210E25" w:rsidRPr="007B140B">
        <w:rPr>
          <w:rFonts w:ascii="Times New Roman" w:hAnsi="Times New Roman" w:cs="Times New Roman"/>
          <w:sz w:val="24"/>
          <w:szCs w:val="24"/>
          <w:lang w:val="en-US"/>
        </w:rPr>
        <w:t>H10-H22</w:t>
      </w:r>
      <w:r w:rsidR="00210E25">
        <w:rPr>
          <w:rFonts w:ascii="Times New Roman" w:hAnsi="Times New Roman" w:cs="Times New Roman"/>
          <w:sz w:val="24"/>
          <w:szCs w:val="24"/>
          <w:lang w:val="en-US"/>
        </w:rPr>
        <w:t>)</w:t>
      </w:r>
    </w:p>
    <w:p w14:paraId="67489C15" w14:textId="74A0E6ED" w:rsidR="001859C3" w:rsidRPr="007B140B" w:rsidRDefault="001859C3" w:rsidP="001859C3">
      <w:pPr>
        <w:spacing w:after="0" w:line="240" w:lineRule="auto"/>
        <w:rPr>
          <w:rFonts w:ascii="Times New Roman" w:hAnsi="Times New Roman" w:cs="Times New Roman"/>
          <w:sz w:val="24"/>
          <w:szCs w:val="24"/>
          <w:lang w:val="en-US"/>
        </w:rPr>
      </w:pPr>
    </w:p>
    <w:p w14:paraId="14B766B3" w14:textId="14B5AA21" w:rsidR="00915120" w:rsidRPr="007B140B" w:rsidRDefault="00FA1168" w:rsidP="00273AA9">
      <w:pPr>
        <w:rPr>
          <w:rFonts w:ascii="Times New Roman" w:hAnsi="Times New Roman" w:cs="Times New Roman"/>
          <w:sz w:val="24"/>
          <w:szCs w:val="24"/>
          <w:lang w:val="en-US"/>
        </w:rPr>
      </w:pPr>
      <w:r>
        <w:rPr>
          <w:rFonts w:ascii="Times New Roman" w:hAnsi="Times New Roman" w:cs="Times New Roman"/>
          <w:sz w:val="24"/>
          <w:szCs w:val="24"/>
          <w:lang w:val="en-US"/>
        </w:rPr>
        <w:t>During</w:t>
      </w:r>
      <w:r w:rsidR="00E74B8E">
        <w:rPr>
          <w:rFonts w:ascii="Times New Roman" w:hAnsi="Times New Roman" w:cs="Times New Roman"/>
          <w:sz w:val="24"/>
          <w:szCs w:val="24"/>
          <w:lang w:val="en-US"/>
        </w:rPr>
        <w:t xml:space="preserve"> the Main Phase of the trial, data on safety outcomes will be </w:t>
      </w:r>
      <w:r w:rsidR="00445013">
        <w:rPr>
          <w:rFonts w:ascii="Times New Roman" w:hAnsi="Times New Roman" w:cs="Times New Roman"/>
          <w:sz w:val="24"/>
          <w:szCs w:val="24"/>
          <w:lang w:val="en-US"/>
        </w:rPr>
        <w:t>self-reported</w:t>
      </w:r>
      <w:r w:rsidR="000310F6">
        <w:rPr>
          <w:rFonts w:ascii="Times New Roman" w:hAnsi="Times New Roman" w:cs="Times New Roman"/>
          <w:sz w:val="24"/>
          <w:szCs w:val="24"/>
          <w:lang w:val="en-US"/>
        </w:rPr>
        <w:t xml:space="preserve">, and investigators will ask </w:t>
      </w:r>
      <w:r w:rsidR="00185D24">
        <w:rPr>
          <w:rFonts w:ascii="Times New Roman" w:hAnsi="Times New Roman" w:cs="Times New Roman"/>
          <w:sz w:val="24"/>
          <w:szCs w:val="24"/>
          <w:lang w:val="en-US"/>
        </w:rPr>
        <w:t xml:space="preserve">only </w:t>
      </w:r>
      <w:r w:rsidR="000310F6">
        <w:rPr>
          <w:rFonts w:ascii="Times New Roman" w:hAnsi="Times New Roman" w:cs="Times New Roman"/>
          <w:sz w:val="24"/>
          <w:szCs w:val="24"/>
          <w:lang w:val="en-US"/>
        </w:rPr>
        <w:t>open-ended questions about adverse events (see Section 8)</w:t>
      </w:r>
      <w:r w:rsidR="00E74B8E">
        <w:rPr>
          <w:rFonts w:ascii="Times New Roman" w:hAnsi="Times New Roman" w:cs="Times New Roman"/>
          <w:sz w:val="24"/>
          <w:szCs w:val="24"/>
          <w:lang w:val="en-US"/>
        </w:rPr>
        <w:t>.</w:t>
      </w:r>
      <w:r w:rsidR="00915120" w:rsidRPr="007B140B">
        <w:rPr>
          <w:rFonts w:ascii="Times New Roman" w:hAnsi="Times New Roman" w:cs="Times New Roman"/>
          <w:sz w:val="24"/>
          <w:szCs w:val="24"/>
          <w:lang w:val="en-US"/>
        </w:rPr>
        <w:t xml:space="preserve"> </w:t>
      </w:r>
      <w:r w:rsidR="00B673BC">
        <w:rPr>
          <w:rFonts w:ascii="Times New Roman" w:hAnsi="Times New Roman" w:cs="Times New Roman"/>
          <w:sz w:val="24"/>
          <w:szCs w:val="24"/>
          <w:lang w:val="en-US"/>
        </w:rPr>
        <w:t xml:space="preserve">The above-mentioned </w:t>
      </w:r>
      <w:r w:rsidR="00893F25">
        <w:rPr>
          <w:rFonts w:ascii="Times New Roman" w:hAnsi="Times New Roman" w:cs="Times New Roman"/>
          <w:sz w:val="24"/>
          <w:szCs w:val="24"/>
          <w:lang w:val="en-US"/>
        </w:rPr>
        <w:t>ICD-10-SE</w:t>
      </w:r>
      <w:r w:rsidR="00915120" w:rsidRPr="007B140B">
        <w:rPr>
          <w:rFonts w:ascii="Times New Roman" w:hAnsi="Times New Roman" w:cs="Times New Roman"/>
          <w:sz w:val="24"/>
          <w:szCs w:val="24"/>
          <w:lang w:val="en-US"/>
        </w:rPr>
        <w:t xml:space="preserve"> codes</w:t>
      </w:r>
      <w:r w:rsidR="00E4333A" w:rsidRPr="007B140B">
        <w:rPr>
          <w:rFonts w:ascii="Times New Roman" w:hAnsi="Times New Roman" w:cs="Times New Roman"/>
          <w:sz w:val="24"/>
          <w:szCs w:val="24"/>
          <w:lang w:val="en-US"/>
        </w:rPr>
        <w:t xml:space="preserve"> will be used</w:t>
      </w:r>
      <w:r w:rsidR="00445013">
        <w:rPr>
          <w:rFonts w:ascii="Times New Roman" w:hAnsi="Times New Roman" w:cs="Times New Roman"/>
          <w:sz w:val="24"/>
          <w:szCs w:val="24"/>
          <w:lang w:val="en-US"/>
        </w:rPr>
        <w:t xml:space="preserve"> to trace</w:t>
      </w:r>
      <w:r w:rsidR="00E4333A" w:rsidRPr="007B140B">
        <w:rPr>
          <w:rFonts w:ascii="Times New Roman" w:hAnsi="Times New Roman" w:cs="Times New Roman"/>
          <w:sz w:val="24"/>
          <w:szCs w:val="24"/>
          <w:lang w:val="en-US"/>
        </w:rPr>
        <w:t xml:space="preserve"> </w:t>
      </w:r>
      <w:r w:rsidR="00B673BC">
        <w:rPr>
          <w:rFonts w:ascii="Times New Roman" w:hAnsi="Times New Roman" w:cs="Times New Roman"/>
          <w:sz w:val="24"/>
          <w:szCs w:val="24"/>
          <w:lang w:val="en-US"/>
        </w:rPr>
        <w:t xml:space="preserve">adverse events </w:t>
      </w:r>
      <w:r w:rsidR="00915120" w:rsidRPr="007B140B">
        <w:rPr>
          <w:rFonts w:ascii="Times New Roman" w:hAnsi="Times New Roman" w:cs="Times New Roman"/>
          <w:sz w:val="24"/>
          <w:szCs w:val="24"/>
          <w:lang w:val="en-US"/>
        </w:rPr>
        <w:t xml:space="preserve">in </w:t>
      </w:r>
      <w:r w:rsidR="00445013">
        <w:rPr>
          <w:rFonts w:ascii="Times New Roman" w:hAnsi="Times New Roman" w:cs="Times New Roman"/>
          <w:sz w:val="24"/>
          <w:szCs w:val="24"/>
          <w:lang w:val="en-US"/>
        </w:rPr>
        <w:t xml:space="preserve">the </w:t>
      </w:r>
      <w:r w:rsidR="00915120" w:rsidRPr="007B140B">
        <w:rPr>
          <w:rFonts w:ascii="Times New Roman" w:hAnsi="Times New Roman" w:cs="Times New Roman"/>
          <w:sz w:val="24"/>
          <w:szCs w:val="24"/>
          <w:lang w:val="en-US"/>
        </w:rPr>
        <w:t>Swedish National Patient Register</w:t>
      </w:r>
      <w:r w:rsidR="00B673BC">
        <w:rPr>
          <w:rFonts w:ascii="Times New Roman" w:hAnsi="Times New Roman" w:cs="Times New Roman"/>
          <w:sz w:val="24"/>
          <w:szCs w:val="24"/>
          <w:lang w:val="en-US"/>
        </w:rPr>
        <w:t xml:space="preserve"> </w:t>
      </w:r>
      <w:r w:rsidR="00445013">
        <w:rPr>
          <w:rFonts w:ascii="Times New Roman" w:hAnsi="Times New Roman" w:cs="Times New Roman"/>
          <w:sz w:val="24"/>
          <w:szCs w:val="24"/>
          <w:lang w:val="en-US"/>
        </w:rPr>
        <w:t>at</w:t>
      </w:r>
      <w:r w:rsidR="00B673BC">
        <w:rPr>
          <w:rFonts w:ascii="Times New Roman" w:hAnsi="Times New Roman" w:cs="Times New Roman"/>
          <w:sz w:val="24"/>
          <w:szCs w:val="24"/>
          <w:lang w:val="en-US"/>
        </w:rPr>
        <w:t xml:space="preserve"> the 10-year follow-up</w:t>
      </w:r>
      <w:r w:rsidR="00915120" w:rsidRPr="007B140B">
        <w:rPr>
          <w:rFonts w:ascii="Times New Roman" w:hAnsi="Times New Roman" w:cs="Times New Roman"/>
          <w:sz w:val="24"/>
          <w:szCs w:val="24"/>
          <w:lang w:val="en-US"/>
        </w:rPr>
        <w:t>.</w:t>
      </w:r>
      <w:r w:rsidR="00CB1AFE">
        <w:rPr>
          <w:rFonts w:ascii="Times New Roman" w:hAnsi="Times New Roman" w:cs="Times New Roman"/>
          <w:sz w:val="24"/>
          <w:szCs w:val="24"/>
          <w:lang w:val="en-US"/>
        </w:rPr>
        <w:t xml:space="preserve"> </w:t>
      </w:r>
      <w:r w:rsidR="005358AC">
        <w:rPr>
          <w:rFonts w:ascii="Times New Roman" w:hAnsi="Times New Roman" w:cs="Times New Roman"/>
          <w:sz w:val="24"/>
          <w:szCs w:val="24"/>
          <w:lang w:val="en-US"/>
        </w:rPr>
        <w:t>M</w:t>
      </w:r>
      <w:r w:rsidR="00CB1AFE">
        <w:rPr>
          <w:rFonts w:ascii="Times New Roman" w:hAnsi="Times New Roman" w:cs="Times New Roman"/>
          <w:sz w:val="24"/>
          <w:szCs w:val="24"/>
          <w:lang w:val="en-US"/>
        </w:rPr>
        <w:t xml:space="preserve">edical records will be examined to assess whether femur shaft fractures have atypical features and whether </w:t>
      </w:r>
      <w:proofErr w:type="gramStart"/>
      <w:r w:rsidR="00CB1AFE">
        <w:rPr>
          <w:rFonts w:ascii="Times New Roman" w:hAnsi="Times New Roman" w:cs="Times New Roman"/>
          <w:sz w:val="24"/>
          <w:szCs w:val="24"/>
          <w:lang w:val="en-US"/>
        </w:rPr>
        <w:t>an inflammatory conditions of the jaw</w:t>
      </w:r>
      <w:proofErr w:type="gramEnd"/>
      <w:r w:rsidR="00CB1AFE">
        <w:rPr>
          <w:rFonts w:ascii="Times New Roman" w:hAnsi="Times New Roman" w:cs="Times New Roman"/>
          <w:sz w:val="24"/>
          <w:szCs w:val="24"/>
          <w:lang w:val="en-US"/>
        </w:rPr>
        <w:t xml:space="preserve"> are cases of osteonecrosis of the jaw. These assessments will be made by physicians who are blind to treatment assignment.</w:t>
      </w:r>
    </w:p>
    <w:p w14:paraId="3956FB15" w14:textId="77777777" w:rsidR="00267896" w:rsidRPr="007B140B" w:rsidRDefault="00267896" w:rsidP="00273AA9">
      <w:pPr>
        <w:rPr>
          <w:rFonts w:ascii="Times New Roman" w:hAnsi="Times New Roman" w:cs="Times New Roman"/>
          <w:sz w:val="24"/>
          <w:szCs w:val="24"/>
          <w:lang w:val="en-US"/>
        </w:rPr>
      </w:pPr>
    </w:p>
    <w:p w14:paraId="7AFAF2FA" w14:textId="3EE7FBD5" w:rsidR="007E3E8E" w:rsidRPr="007B140B" w:rsidRDefault="000656CD" w:rsidP="00D36611">
      <w:pPr>
        <w:pStyle w:val="Formatmall4"/>
        <w:rPr>
          <w:rFonts w:cs="Times New Roman"/>
          <w:lang w:val="en-US"/>
        </w:rPr>
      </w:pPr>
      <w:bookmarkStart w:id="40" w:name="_Toc99001411"/>
      <w:r w:rsidRPr="007B140B">
        <w:rPr>
          <w:rFonts w:cs="Times New Roman"/>
          <w:lang w:val="en-US"/>
        </w:rPr>
        <w:t>Safety</w:t>
      </w:r>
      <w:bookmarkEnd w:id="40"/>
    </w:p>
    <w:p w14:paraId="6472A025" w14:textId="57F5D698" w:rsidR="00FE10C6" w:rsidRPr="007B140B" w:rsidRDefault="00FE10C6" w:rsidP="00D36611">
      <w:pPr>
        <w:pStyle w:val="Formatmall3"/>
        <w:rPr>
          <w:rFonts w:cs="Times New Roman"/>
          <w:lang w:val="en-US"/>
        </w:rPr>
      </w:pPr>
      <w:bookmarkStart w:id="41" w:name="_Toc99001412"/>
      <w:r w:rsidRPr="007B140B">
        <w:rPr>
          <w:rFonts w:cs="Times New Roman"/>
          <w:lang w:val="en-US"/>
        </w:rPr>
        <w:t xml:space="preserve">Adverse </w:t>
      </w:r>
      <w:r w:rsidR="00015CF8">
        <w:rPr>
          <w:rFonts w:cs="Times New Roman"/>
          <w:lang w:val="en-US"/>
        </w:rPr>
        <w:t>e</w:t>
      </w:r>
      <w:r w:rsidRPr="007B140B">
        <w:rPr>
          <w:rFonts w:cs="Times New Roman"/>
          <w:lang w:val="en-US"/>
        </w:rPr>
        <w:t>vents</w:t>
      </w:r>
      <w:bookmarkEnd w:id="41"/>
    </w:p>
    <w:p w14:paraId="7E042E3F" w14:textId="25EBA359" w:rsidR="00F17BDC" w:rsidRPr="007B140B" w:rsidRDefault="00F17BDC" w:rsidP="00A41BBD">
      <w:pPr>
        <w:rPr>
          <w:rFonts w:ascii="Times New Roman" w:hAnsi="Times New Roman" w:cs="Times New Roman"/>
          <w:sz w:val="24"/>
          <w:szCs w:val="24"/>
          <w:lang w:val="en-US"/>
        </w:rPr>
      </w:pPr>
      <w:r w:rsidRPr="007B140B">
        <w:rPr>
          <w:rFonts w:ascii="Times New Roman" w:hAnsi="Times New Roman" w:cs="Times New Roman"/>
          <w:sz w:val="24"/>
          <w:szCs w:val="24"/>
          <w:lang w:val="en-US"/>
        </w:rPr>
        <w:t>A</w:t>
      </w:r>
      <w:r w:rsidR="00AE6E5D" w:rsidRPr="007B140B">
        <w:rPr>
          <w:rFonts w:ascii="Times New Roman" w:hAnsi="Times New Roman" w:cs="Times New Roman"/>
          <w:sz w:val="24"/>
          <w:szCs w:val="24"/>
          <w:lang w:val="en-US"/>
        </w:rPr>
        <w:t xml:space="preserve">n </w:t>
      </w:r>
      <w:r w:rsidR="00AE6E5D" w:rsidRPr="007B140B">
        <w:rPr>
          <w:rFonts w:ascii="Times New Roman" w:hAnsi="Times New Roman" w:cs="Times New Roman"/>
          <w:i/>
          <w:sz w:val="24"/>
          <w:szCs w:val="24"/>
          <w:lang w:val="en-US"/>
        </w:rPr>
        <w:t>a</w:t>
      </w:r>
      <w:r w:rsidR="00915120" w:rsidRPr="007B140B">
        <w:rPr>
          <w:rFonts w:ascii="Times New Roman" w:hAnsi="Times New Roman" w:cs="Times New Roman"/>
          <w:i/>
          <w:sz w:val="24"/>
          <w:szCs w:val="24"/>
          <w:lang w:val="en-US"/>
        </w:rPr>
        <w:t>dverse event</w:t>
      </w:r>
      <w:r w:rsidR="007E3E8E" w:rsidRPr="007B140B">
        <w:rPr>
          <w:rFonts w:ascii="Times New Roman" w:hAnsi="Times New Roman" w:cs="Times New Roman"/>
          <w:sz w:val="24"/>
          <w:szCs w:val="24"/>
          <w:lang w:val="en-US"/>
        </w:rPr>
        <w:t xml:space="preserve"> </w:t>
      </w:r>
      <w:r w:rsidR="00C4528F" w:rsidRPr="007B140B">
        <w:rPr>
          <w:rFonts w:ascii="Times New Roman" w:hAnsi="Times New Roman" w:cs="Times New Roman"/>
          <w:sz w:val="24"/>
          <w:szCs w:val="24"/>
          <w:lang w:val="en-US"/>
        </w:rPr>
        <w:t xml:space="preserve">will be defined </w:t>
      </w:r>
      <w:r w:rsidRPr="007B140B">
        <w:rPr>
          <w:rFonts w:ascii="Times New Roman" w:hAnsi="Times New Roman" w:cs="Times New Roman"/>
          <w:sz w:val="24"/>
          <w:szCs w:val="24"/>
          <w:lang w:val="en-US"/>
        </w:rPr>
        <w:t xml:space="preserve">as </w:t>
      </w:r>
      <w:r w:rsidR="00CF37F8">
        <w:rPr>
          <w:rFonts w:ascii="Times New Roman" w:hAnsi="Times New Roman" w:cs="Times New Roman"/>
          <w:sz w:val="24"/>
          <w:szCs w:val="24"/>
          <w:lang w:val="en-US"/>
        </w:rPr>
        <w:t xml:space="preserve">is </w:t>
      </w:r>
      <w:r w:rsidRPr="007B140B">
        <w:rPr>
          <w:rFonts w:ascii="Times New Roman" w:hAnsi="Times New Roman" w:cs="Times New Roman"/>
          <w:sz w:val="24"/>
          <w:szCs w:val="24"/>
          <w:lang w:val="en-US"/>
        </w:rPr>
        <w:t xml:space="preserve">done by the </w:t>
      </w:r>
      <w:r w:rsidR="00ED233B" w:rsidRPr="007B140B">
        <w:rPr>
          <w:rFonts w:ascii="Times New Roman" w:hAnsi="Times New Roman" w:cs="Times New Roman"/>
          <w:sz w:val="24"/>
          <w:szCs w:val="24"/>
          <w:lang w:val="en-US"/>
        </w:rPr>
        <w:t xml:space="preserve">International </w:t>
      </w:r>
      <w:r w:rsidR="00307E7F">
        <w:rPr>
          <w:rFonts w:ascii="Times New Roman" w:hAnsi="Times New Roman" w:cs="Times New Roman"/>
          <w:sz w:val="24"/>
          <w:szCs w:val="24"/>
          <w:lang w:val="en-US"/>
        </w:rPr>
        <w:t>Council/</w:t>
      </w:r>
      <w:r w:rsidR="00ED233B" w:rsidRPr="007B140B">
        <w:rPr>
          <w:rFonts w:ascii="Times New Roman" w:hAnsi="Times New Roman" w:cs="Times New Roman"/>
          <w:sz w:val="24"/>
          <w:szCs w:val="24"/>
          <w:lang w:val="en-US"/>
        </w:rPr>
        <w:t xml:space="preserve">Conference on Harmonisation of Technical Requirements for Registration of Pharmaceuticals for Human Use </w:t>
      </w:r>
      <w:r w:rsidRPr="007B140B">
        <w:rPr>
          <w:rFonts w:ascii="Times New Roman" w:hAnsi="Times New Roman" w:cs="Times New Roman"/>
          <w:sz w:val="24"/>
          <w:szCs w:val="24"/>
          <w:lang w:val="en-US"/>
        </w:rPr>
        <w:t>(ICH):</w:t>
      </w:r>
      <w:r w:rsidR="00142911" w:rsidRPr="007B140B">
        <w:rPr>
          <w:rFonts w:ascii="Times New Roman" w:hAnsi="Times New Roman" w:cs="Times New Roman"/>
          <w:sz w:val="24"/>
          <w:szCs w:val="24"/>
          <w:lang w:val="en-US"/>
        </w:rPr>
        <w:fldChar w:fldCharType="begin" w:fldLock="1"/>
      </w:r>
      <w:r w:rsidR="00272560">
        <w:rPr>
          <w:rFonts w:ascii="Times New Roman" w:hAnsi="Times New Roman" w:cs="Times New Roman"/>
          <w:sz w:val="24"/>
          <w:szCs w:val="24"/>
          <w:lang w:val="en-US"/>
        </w:rPr>
        <w:instrText>ADDIN CSL_CITATION {"citationItems":[{"id":"ITEM-1","itemData":{"abstract":"Adverse Event (AE) An adverse event is any untoward medical occurrence in a patient administered a medicinal product and which does not necessarily have to have a causal relationship with this treatment. An adverse event can therefore be any unfavorable and unintended sign (for example, an abnormal laboratory finding), symptom, or disease temporally associated with the use of a medicinal product, whether or not considered related to this medicinal product. Adverse drug reactions, as established by regional regulations, guidance, and practices, concern noxious and unintended responses to a medicinal product. The phrase “responses to a medicinal product” means that a causal relationship between a medicinal product and an adverse event is at least a reasonable possibility (refer to the ICH E2A guideline). A reaction, in contrast to an event, is characterized by the fact that a causal relationship between the drug and the occurrence is suspected. For regulatory reporting purposes, if an event is spontaneously reported, even if the relationship is unknown or unstated, it meets the definition of an adverse drug reaction.","author":[{"dropping-particle":"","family":"International Conference on Harmonisation of Technical Requirements for Registration of Pharmaceuticals for Human Use","given":"","non-dropping-particle":"","parse-names":false,"suffix":""}],"id":"ITEM-1","issued":{"date-parts":[["1994"]]},"title":"ICH harmonised tripartite guideline E2A: clinical safety data management: definitions and standards for expedited reporting","type":"book"},"uris":["http://www.mendeley.com/documents/?uuid=c194daf8-db70-40e3-8e72-b55661d13944"]}],"mendeley":{"formattedCitation":"&lt;sup&gt;&lt;sup&gt;47&lt;/sup&gt;&lt;/sup&gt;","plainTextFormattedCitation":"47","previouslyFormattedCitation":"&lt;sup&gt;&lt;sup&gt;47&lt;/sup&gt;&lt;/sup&gt;"},"properties":{"noteIndex":0},"schema":"https://github.com/citation-style-language/schema/raw/master/csl-citation.json"}</w:instrText>
      </w:r>
      <w:r w:rsidR="00142911" w:rsidRPr="007B140B">
        <w:rPr>
          <w:rFonts w:ascii="Times New Roman" w:hAnsi="Times New Roman" w:cs="Times New Roman"/>
          <w:sz w:val="24"/>
          <w:szCs w:val="24"/>
          <w:lang w:val="en-US"/>
        </w:rPr>
        <w:fldChar w:fldCharType="separate"/>
      </w:r>
      <w:r w:rsidR="0081127D" w:rsidRPr="0081127D">
        <w:rPr>
          <w:rFonts w:ascii="Times New Roman" w:hAnsi="Times New Roman" w:cs="Times New Roman"/>
          <w:noProof/>
          <w:sz w:val="24"/>
          <w:szCs w:val="24"/>
          <w:vertAlign w:val="superscript"/>
          <w:lang w:val="en-US"/>
        </w:rPr>
        <w:t>47</w:t>
      </w:r>
      <w:r w:rsidR="00142911" w:rsidRPr="007B140B">
        <w:rPr>
          <w:rFonts w:ascii="Times New Roman" w:hAnsi="Times New Roman" w:cs="Times New Roman"/>
          <w:sz w:val="24"/>
          <w:szCs w:val="24"/>
          <w:lang w:val="en-US"/>
        </w:rPr>
        <w:fldChar w:fldCharType="end"/>
      </w:r>
    </w:p>
    <w:p w14:paraId="28743387" w14:textId="5B0A28EB" w:rsidR="00F17BDC" w:rsidRPr="007B140B" w:rsidRDefault="00F17BDC" w:rsidP="00F17BDC">
      <w:pPr>
        <w:ind w:left="1304"/>
        <w:rPr>
          <w:rFonts w:ascii="Times New Roman" w:hAnsi="Times New Roman" w:cs="Times New Roman"/>
          <w:i/>
          <w:sz w:val="24"/>
          <w:szCs w:val="24"/>
          <w:lang w:val="en-US"/>
        </w:rPr>
      </w:pPr>
      <w:r w:rsidRPr="007B140B">
        <w:rPr>
          <w:rFonts w:ascii="Times New Roman" w:hAnsi="Times New Roman" w:cs="Times New Roman"/>
          <w:i/>
          <w:sz w:val="24"/>
          <w:szCs w:val="24"/>
          <w:lang w:val="en-US"/>
        </w:rPr>
        <w:t>Any untoward medical occurrence in a patient or clinical investigation subject administered a pharmaceutical product and which does not necessarily have to have a causal relationship with this treatment.</w:t>
      </w:r>
    </w:p>
    <w:p w14:paraId="5E5979D2" w14:textId="16225411" w:rsidR="0066457A" w:rsidRDefault="0066457A" w:rsidP="0066457A">
      <w:pPr>
        <w:rPr>
          <w:rFonts w:ascii="Times New Roman" w:hAnsi="Times New Roman" w:cs="Times New Roman"/>
          <w:sz w:val="24"/>
          <w:szCs w:val="24"/>
          <w:lang w:val="en-US"/>
        </w:rPr>
      </w:pPr>
      <w:r>
        <w:rPr>
          <w:rFonts w:ascii="Times New Roman" w:hAnsi="Times New Roman" w:cs="Times New Roman"/>
          <w:sz w:val="24"/>
          <w:szCs w:val="24"/>
          <w:lang w:val="en-US"/>
        </w:rPr>
        <w:t xml:space="preserve">However, </w:t>
      </w:r>
      <w:r w:rsidR="00287F3B">
        <w:rPr>
          <w:rFonts w:ascii="Times New Roman" w:hAnsi="Times New Roman" w:cs="Times New Roman"/>
          <w:sz w:val="24"/>
          <w:szCs w:val="24"/>
          <w:lang w:val="en-US"/>
        </w:rPr>
        <w:t xml:space="preserve">the following events </w:t>
      </w:r>
      <w:r w:rsidR="00826B0A">
        <w:rPr>
          <w:rFonts w:ascii="Times New Roman" w:hAnsi="Times New Roman" w:cs="Times New Roman"/>
          <w:sz w:val="24"/>
          <w:szCs w:val="24"/>
          <w:lang w:val="en-US"/>
        </w:rPr>
        <w:t xml:space="preserve">will </w:t>
      </w:r>
      <w:r w:rsidR="00826B0A" w:rsidRPr="0053796E">
        <w:rPr>
          <w:rFonts w:ascii="Times New Roman" w:hAnsi="Times New Roman" w:cs="Times New Roman"/>
          <w:i/>
          <w:sz w:val="24"/>
          <w:szCs w:val="24"/>
          <w:lang w:val="en-US"/>
        </w:rPr>
        <w:t>not</w:t>
      </w:r>
      <w:r>
        <w:rPr>
          <w:rFonts w:ascii="Times New Roman" w:hAnsi="Times New Roman" w:cs="Times New Roman"/>
          <w:sz w:val="24"/>
          <w:szCs w:val="24"/>
          <w:lang w:val="en-US"/>
        </w:rPr>
        <w:t xml:space="preserve"> </w:t>
      </w:r>
      <w:r w:rsidR="00826B0A">
        <w:rPr>
          <w:rFonts w:ascii="Times New Roman" w:hAnsi="Times New Roman" w:cs="Times New Roman"/>
          <w:sz w:val="24"/>
          <w:szCs w:val="24"/>
          <w:lang w:val="en-US"/>
        </w:rPr>
        <w:t>be considered adverse events</w:t>
      </w:r>
      <w:r w:rsidR="00287F3B">
        <w:rPr>
          <w:rFonts w:ascii="Times New Roman" w:hAnsi="Times New Roman" w:cs="Times New Roman"/>
          <w:sz w:val="24"/>
          <w:szCs w:val="24"/>
          <w:lang w:val="en-US"/>
        </w:rPr>
        <w:t>, as they are primary or secondary outcomes:</w:t>
      </w:r>
    </w:p>
    <w:p w14:paraId="0374688F" w14:textId="43CBB9DF" w:rsidR="00287F3B" w:rsidRDefault="00287F3B" w:rsidP="0053796E">
      <w:pPr>
        <w:pStyle w:val="Liststycke"/>
        <w:numPr>
          <w:ilvl w:val="0"/>
          <w:numId w:val="38"/>
        </w:numPr>
        <w:rPr>
          <w:rFonts w:ascii="Times New Roman" w:hAnsi="Times New Roman" w:cs="Times New Roman"/>
          <w:sz w:val="24"/>
          <w:szCs w:val="24"/>
          <w:lang w:val="en-US"/>
        </w:rPr>
      </w:pPr>
      <w:r>
        <w:rPr>
          <w:rFonts w:ascii="Times New Roman" w:hAnsi="Times New Roman" w:cs="Times New Roman"/>
          <w:sz w:val="24"/>
          <w:szCs w:val="24"/>
          <w:lang w:val="en-US"/>
        </w:rPr>
        <w:t>Fractures (</w:t>
      </w:r>
      <w:r w:rsidR="0053796E">
        <w:rPr>
          <w:rFonts w:ascii="Times New Roman" w:hAnsi="Times New Roman" w:cs="Times New Roman"/>
          <w:sz w:val="24"/>
          <w:szCs w:val="24"/>
          <w:lang w:val="en-US"/>
        </w:rPr>
        <w:t xml:space="preserve">apart from </w:t>
      </w:r>
      <w:r>
        <w:rPr>
          <w:rFonts w:ascii="Times New Roman" w:hAnsi="Times New Roman" w:cs="Times New Roman"/>
          <w:sz w:val="24"/>
          <w:szCs w:val="24"/>
          <w:lang w:val="en-US"/>
        </w:rPr>
        <w:t>atypical femur fractures</w:t>
      </w:r>
      <w:r w:rsidR="0053796E">
        <w:rPr>
          <w:rFonts w:ascii="Times New Roman" w:hAnsi="Times New Roman" w:cs="Times New Roman"/>
          <w:sz w:val="24"/>
          <w:szCs w:val="24"/>
          <w:lang w:val="en-US"/>
        </w:rPr>
        <w:t xml:space="preserve">, which </w:t>
      </w:r>
      <w:r w:rsidR="00A85BE9">
        <w:rPr>
          <w:rFonts w:ascii="Times New Roman" w:hAnsi="Times New Roman" w:cs="Times New Roman"/>
          <w:sz w:val="24"/>
          <w:szCs w:val="24"/>
          <w:lang w:val="en-US"/>
        </w:rPr>
        <w:t>are adverse events</w:t>
      </w:r>
      <w:r>
        <w:rPr>
          <w:rFonts w:ascii="Times New Roman" w:hAnsi="Times New Roman" w:cs="Times New Roman"/>
          <w:sz w:val="24"/>
          <w:szCs w:val="24"/>
          <w:lang w:val="en-US"/>
        </w:rPr>
        <w:t>)</w:t>
      </w:r>
    </w:p>
    <w:p w14:paraId="3F92DFEA" w14:textId="1DD04B00" w:rsidR="00287F3B" w:rsidRDefault="00287F3B" w:rsidP="0053796E">
      <w:pPr>
        <w:pStyle w:val="Liststycke"/>
        <w:numPr>
          <w:ilvl w:val="0"/>
          <w:numId w:val="38"/>
        </w:numPr>
        <w:rPr>
          <w:rFonts w:ascii="Times New Roman" w:hAnsi="Times New Roman" w:cs="Times New Roman"/>
          <w:sz w:val="24"/>
          <w:szCs w:val="24"/>
          <w:lang w:val="en-US"/>
        </w:rPr>
      </w:pPr>
      <w:r>
        <w:rPr>
          <w:rFonts w:ascii="Times New Roman" w:hAnsi="Times New Roman" w:cs="Times New Roman"/>
          <w:sz w:val="24"/>
          <w:szCs w:val="24"/>
          <w:lang w:val="en-US"/>
        </w:rPr>
        <w:t>Myocardial infarction</w:t>
      </w:r>
    </w:p>
    <w:p w14:paraId="5ADA0B93" w14:textId="1E85A0C3" w:rsidR="00287F3B" w:rsidRDefault="00287F3B" w:rsidP="0053796E">
      <w:pPr>
        <w:pStyle w:val="Liststycke"/>
        <w:numPr>
          <w:ilvl w:val="0"/>
          <w:numId w:val="38"/>
        </w:numPr>
        <w:rPr>
          <w:rFonts w:ascii="Times New Roman" w:hAnsi="Times New Roman" w:cs="Times New Roman"/>
          <w:sz w:val="24"/>
          <w:szCs w:val="24"/>
          <w:lang w:val="en-US"/>
        </w:rPr>
      </w:pPr>
      <w:r>
        <w:rPr>
          <w:rFonts w:ascii="Times New Roman" w:hAnsi="Times New Roman" w:cs="Times New Roman"/>
          <w:sz w:val="24"/>
          <w:szCs w:val="24"/>
          <w:lang w:val="en-US"/>
        </w:rPr>
        <w:t>Stroke</w:t>
      </w:r>
    </w:p>
    <w:p w14:paraId="07752280" w14:textId="2F6EB318" w:rsidR="00287F3B" w:rsidRPr="0053796E" w:rsidRDefault="00287F3B" w:rsidP="0053796E">
      <w:pPr>
        <w:pStyle w:val="Liststycke"/>
        <w:numPr>
          <w:ilvl w:val="0"/>
          <w:numId w:val="38"/>
        </w:numPr>
        <w:rPr>
          <w:rFonts w:ascii="Times New Roman" w:hAnsi="Times New Roman" w:cs="Times New Roman"/>
          <w:sz w:val="24"/>
          <w:szCs w:val="24"/>
          <w:lang w:val="en-US"/>
        </w:rPr>
      </w:pPr>
      <w:r>
        <w:rPr>
          <w:rFonts w:ascii="Times New Roman" w:hAnsi="Times New Roman" w:cs="Times New Roman"/>
          <w:sz w:val="24"/>
          <w:szCs w:val="24"/>
          <w:lang w:val="en-US"/>
        </w:rPr>
        <w:t>Falls (</w:t>
      </w:r>
      <w:r w:rsidR="0053796E">
        <w:rPr>
          <w:rFonts w:ascii="Times New Roman" w:hAnsi="Times New Roman" w:cs="Times New Roman"/>
          <w:sz w:val="24"/>
          <w:szCs w:val="24"/>
          <w:lang w:val="en-US"/>
        </w:rPr>
        <w:t xml:space="preserve">fall-related injuries </w:t>
      </w:r>
      <w:r w:rsidR="00A85BE9">
        <w:rPr>
          <w:rFonts w:ascii="Times New Roman" w:hAnsi="Times New Roman" w:cs="Times New Roman"/>
          <w:sz w:val="24"/>
          <w:szCs w:val="24"/>
          <w:lang w:val="en-US"/>
        </w:rPr>
        <w:t>are adverse events</w:t>
      </w:r>
      <w:r w:rsidR="0053796E">
        <w:rPr>
          <w:rFonts w:ascii="Times New Roman" w:hAnsi="Times New Roman" w:cs="Times New Roman"/>
          <w:sz w:val="24"/>
          <w:szCs w:val="24"/>
          <w:lang w:val="en-US"/>
        </w:rPr>
        <w:t>, however</w:t>
      </w:r>
      <w:r>
        <w:rPr>
          <w:rFonts w:ascii="Times New Roman" w:hAnsi="Times New Roman" w:cs="Times New Roman"/>
          <w:sz w:val="24"/>
          <w:szCs w:val="24"/>
          <w:lang w:val="en-US"/>
        </w:rPr>
        <w:t>)</w:t>
      </w:r>
    </w:p>
    <w:p w14:paraId="1DA95E83" w14:textId="0C578662" w:rsidR="00287F3B" w:rsidRDefault="00287F3B" w:rsidP="00EC0717">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Of note, deaths (and their causes) </w:t>
      </w:r>
      <w:proofErr w:type="gramStart"/>
      <w:r>
        <w:rPr>
          <w:rFonts w:ascii="Times New Roman" w:hAnsi="Times New Roman" w:cs="Times New Roman"/>
          <w:sz w:val="24"/>
          <w:szCs w:val="24"/>
          <w:lang w:val="en-US"/>
        </w:rPr>
        <w:t>are will be</w:t>
      </w:r>
      <w:proofErr w:type="gramEnd"/>
      <w:r>
        <w:rPr>
          <w:rFonts w:ascii="Times New Roman" w:hAnsi="Times New Roman" w:cs="Times New Roman"/>
          <w:sz w:val="24"/>
          <w:szCs w:val="24"/>
          <w:lang w:val="en-US"/>
        </w:rPr>
        <w:t xml:space="preserve"> considered adverse events, although death is </w:t>
      </w:r>
      <w:r w:rsidR="0053796E">
        <w:rPr>
          <w:rFonts w:ascii="Times New Roman" w:hAnsi="Times New Roman" w:cs="Times New Roman"/>
          <w:sz w:val="24"/>
          <w:szCs w:val="24"/>
          <w:lang w:val="en-US"/>
        </w:rPr>
        <w:t xml:space="preserve">also </w:t>
      </w:r>
      <w:r>
        <w:rPr>
          <w:rFonts w:ascii="Times New Roman" w:hAnsi="Times New Roman" w:cs="Times New Roman"/>
          <w:sz w:val="24"/>
          <w:szCs w:val="24"/>
          <w:lang w:val="en-US"/>
        </w:rPr>
        <w:t>a secondary outcome.</w:t>
      </w:r>
    </w:p>
    <w:p w14:paraId="63767455" w14:textId="7DF510EE" w:rsidR="00703D9A" w:rsidRPr="007B140B" w:rsidRDefault="00A209DF" w:rsidP="00EC0717">
      <w:pPr>
        <w:rPr>
          <w:rFonts w:ascii="Times New Roman" w:hAnsi="Times New Roman" w:cs="Times New Roman"/>
          <w:sz w:val="24"/>
          <w:szCs w:val="24"/>
          <w:lang w:val="en-US"/>
        </w:rPr>
      </w:pPr>
      <w:r>
        <w:rPr>
          <w:rFonts w:ascii="Times New Roman" w:hAnsi="Times New Roman" w:cs="Times New Roman"/>
          <w:sz w:val="24"/>
          <w:szCs w:val="24"/>
          <w:lang w:val="en-US"/>
        </w:rPr>
        <w:t>Participants will be inquired about adverse events at study contact</w:t>
      </w:r>
      <w:r w:rsidR="00324DBA">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54269A" w:rsidRPr="007B140B">
        <w:rPr>
          <w:rFonts w:ascii="Times New Roman" w:hAnsi="Times New Roman" w:cs="Times New Roman"/>
          <w:sz w:val="24"/>
          <w:szCs w:val="24"/>
          <w:lang w:val="en-US"/>
        </w:rPr>
        <w:t>The questions will be open-ended</w:t>
      </w:r>
      <w:r w:rsidR="00B43A0D">
        <w:rPr>
          <w:rFonts w:ascii="Times New Roman" w:hAnsi="Times New Roman" w:cs="Times New Roman"/>
          <w:sz w:val="24"/>
          <w:szCs w:val="24"/>
          <w:lang w:val="en-US"/>
        </w:rPr>
        <w:t>,</w:t>
      </w:r>
      <w:r w:rsidR="0054269A" w:rsidRPr="007B140B">
        <w:rPr>
          <w:rFonts w:ascii="Times New Roman" w:hAnsi="Times New Roman" w:cs="Times New Roman"/>
          <w:sz w:val="24"/>
          <w:szCs w:val="24"/>
          <w:lang w:val="en-US"/>
        </w:rPr>
        <w:t xml:space="preserve"> instead of directed at </w:t>
      </w:r>
      <w:proofErr w:type="gramStart"/>
      <w:r w:rsidR="0054269A" w:rsidRPr="007B140B">
        <w:rPr>
          <w:rFonts w:ascii="Times New Roman" w:hAnsi="Times New Roman" w:cs="Times New Roman"/>
          <w:sz w:val="24"/>
          <w:szCs w:val="24"/>
          <w:lang w:val="en-US"/>
        </w:rPr>
        <w:t>particular events</w:t>
      </w:r>
      <w:proofErr w:type="gramEnd"/>
      <w:r w:rsidR="0054269A" w:rsidRPr="007B140B">
        <w:rPr>
          <w:rFonts w:ascii="Times New Roman" w:hAnsi="Times New Roman" w:cs="Times New Roman"/>
          <w:sz w:val="24"/>
          <w:szCs w:val="24"/>
          <w:lang w:val="en-US"/>
        </w:rPr>
        <w:t>. Participants will also have the possibility o</w:t>
      </w:r>
      <w:r w:rsidR="003B7FEA" w:rsidRPr="007B140B">
        <w:rPr>
          <w:rFonts w:ascii="Times New Roman" w:hAnsi="Times New Roman" w:cs="Times New Roman"/>
          <w:sz w:val="24"/>
          <w:szCs w:val="24"/>
          <w:lang w:val="en-US"/>
        </w:rPr>
        <w:t xml:space="preserve">f reporting adverse events </w:t>
      </w:r>
      <w:r w:rsidR="00185D24">
        <w:rPr>
          <w:rFonts w:ascii="Times New Roman" w:hAnsi="Times New Roman" w:cs="Times New Roman"/>
          <w:sz w:val="24"/>
          <w:szCs w:val="24"/>
          <w:lang w:val="en-US"/>
        </w:rPr>
        <w:t xml:space="preserve">by telephone </w:t>
      </w:r>
      <w:r w:rsidR="0054269A" w:rsidRPr="007B140B">
        <w:rPr>
          <w:rFonts w:ascii="Times New Roman" w:hAnsi="Times New Roman" w:cs="Times New Roman"/>
          <w:sz w:val="24"/>
          <w:szCs w:val="24"/>
          <w:lang w:val="en-US"/>
        </w:rPr>
        <w:t>between</w:t>
      </w:r>
      <w:r w:rsidR="00772269" w:rsidRPr="007B140B">
        <w:rPr>
          <w:rFonts w:ascii="Times New Roman" w:hAnsi="Times New Roman" w:cs="Times New Roman"/>
          <w:sz w:val="24"/>
          <w:szCs w:val="24"/>
          <w:lang w:val="en-US"/>
        </w:rPr>
        <w:t xml:space="preserve"> the</w:t>
      </w:r>
      <w:r w:rsidR="0054269A" w:rsidRPr="007B140B">
        <w:rPr>
          <w:rFonts w:ascii="Times New Roman" w:hAnsi="Times New Roman" w:cs="Times New Roman"/>
          <w:sz w:val="24"/>
          <w:szCs w:val="24"/>
          <w:lang w:val="en-US"/>
        </w:rPr>
        <w:t xml:space="preserve"> scheduled contacts. Participants who withdraw will be asked if they wish to </w:t>
      </w:r>
      <w:r w:rsidR="0074628C">
        <w:rPr>
          <w:rFonts w:ascii="Times New Roman" w:hAnsi="Times New Roman" w:cs="Times New Roman"/>
          <w:sz w:val="24"/>
          <w:szCs w:val="24"/>
          <w:lang w:val="en-US"/>
        </w:rPr>
        <w:t>report</w:t>
      </w:r>
      <w:r w:rsidR="0054269A" w:rsidRPr="007B140B">
        <w:rPr>
          <w:rFonts w:ascii="Times New Roman" w:hAnsi="Times New Roman" w:cs="Times New Roman"/>
          <w:sz w:val="24"/>
          <w:szCs w:val="24"/>
          <w:lang w:val="en-US"/>
        </w:rPr>
        <w:t xml:space="preserve"> adverse events before they formally withdraw. </w:t>
      </w:r>
    </w:p>
    <w:p w14:paraId="60DC8221" w14:textId="16E3A429" w:rsidR="00EC0717" w:rsidRPr="007B140B" w:rsidRDefault="00EC0717" w:rsidP="00EC0717">
      <w:pPr>
        <w:rPr>
          <w:rFonts w:ascii="Times New Roman" w:hAnsi="Times New Roman" w:cs="Times New Roman"/>
          <w:sz w:val="24"/>
          <w:szCs w:val="24"/>
          <w:lang w:val="en-US"/>
        </w:rPr>
      </w:pPr>
      <w:r w:rsidRPr="007B140B">
        <w:rPr>
          <w:rFonts w:ascii="Times New Roman" w:hAnsi="Times New Roman" w:cs="Times New Roman"/>
          <w:sz w:val="24"/>
          <w:szCs w:val="24"/>
          <w:lang w:val="en-US"/>
        </w:rPr>
        <w:t>The following information will be collected about adverse events:</w:t>
      </w:r>
    </w:p>
    <w:p w14:paraId="2745B94D" w14:textId="3722E3D3" w:rsidR="00F15A47" w:rsidRPr="00066B77" w:rsidRDefault="00F15A47" w:rsidP="00EC0717">
      <w:pPr>
        <w:pStyle w:val="Liststycke"/>
        <w:numPr>
          <w:ilvl w:val="0"/>
          <w:numId w:val="12"/>
        </w:numPr>
        <w:rPr>
          <w:rFonts w:ascii="Times New Roman" w:hAnsi="Times New Roman" w:cs="Times New Roman"/>
          <w:sz w:val="24"/>
          <w:szCs w:val="24"/>
          <w:lang w:val="en-US"/>
        </w:rPr>
      </w:pPr>
      <w:r>
        <w:rPr>
          <w:rFonts w:ascii="Times New Roman" w:hAnsi="Times New Roman" w:cs="Times New Roman"/>
          <w:sz w:val="24"/>
          <w:szCs w:val="24"/>
          <w:lang w:val="en-US"/>
        </w:rPr>
        <w:t>Description</w:t>
      </w:r>
      <w:r w:rsidR="005F1CCE">
        <w:rPr>
          <w:rFonts w:ascii="Times New Roman" w:hAnsi="Times New Roman" w:cs="Times New Roman"/>
          <w:sz w:val="24"/>
          <w:szCs w:val="24"/>
          <w:lang w:val="en-US"/>
        </w:rPr>
        <w:t xml:space="preserve"> (free text or pre-specified text [see Section 7.4])</w:t>
      </w:r>
    </w:p>
    <w:p w14:paraId="067917AA" w14:textId="7F9F8F34" w:rsidR="00EC0717" w:rsidRPr="007B140B" w:rsidRDefault="00D475DF" w:rsidP="00EC0717">
      <w:pPr>
        <w:pStyle w:val="Liststycke"/>
        <w:numPr>
          <w:ilvl w:val="0"/>
          <w:numId w:val="12"/>
        </w:numPr>
        <w:rPr>
          <w:rFonts w:ascii="Times New Roman" w:hAnsi="Times New Roman" w:cs="Times New Roman"/>
          <w:sz w:val="24"/>
          <w:szCs w:val="24"/>
          <w:lang w:val="en-US"/>
        </w:rPr>
      </w:pPr>
      <w:r>
        <w:rPr>
          <w:rFonts w:ascii="Times New Roman" w:hAnsi="Times New Roman" w:cs="Times New Roman"/>
          <w:color w:val="000000" w:themeColor="text1"/>
          <w:sz w:val="24"/>
          <w:szCs w:val="24"/>
          <w:lang w:val="en-US"/>
        </w:rPr>
        <w:t>ICD-10 code</w:t>
      </w:r>
      <w:r w:rsidR="00CF2EEC">
        <w:rPr>
          <w:rFonts w:ascii="Times New Roman" w:hAnsi="Times New Roman" w:cs="Times New Roman"/>
          <w:color w:val="000000" w:themeColor="text1"/>
          <w:sz w:val="24"/>
          <w:szCs w:val="24"/>
          <w:lang w:val="en-US"/>
        </w:rPr>
        <w:t xml:space="preserve"> (if available)</w:t>
      </w:r>
    </w:p>
    <w:p w14:paraId="46CA164E" w14:textId="77777777" w:rsidR="00EC0717" w:rsidRPr="007B140B" w:rsidRDefault="00EC0717" w:rsidP="00EC0717">
      <w:pPr>
        <w:pStyle w:val="Liststycke"/>
        <w:numPr>
          <w:ilvl w:val="0"/>
          <w:numId w:val="12"/>
        </w:numPr>
        <w:rPr>
          <w:rFonts w:ascii="Times New Roman" w:hAnsi="Times New Roman" w:cs="Times New Roman"/>
          <w:sz w:val="24"/>
          <w:szCs w:val="24"/>
          <w:lang w:val="en-US"/>
        </w:rPr>
      </w:pPr>
      <w:r w:rsidRPr="007B140B">
        <w:rPr>
          <w:rFonts w:ascii="Times New Roman" w:hAnsi="Times New Roman" w:cs="Times New Roman"/>
          <w:sz w:val="24"/>
          <w:szCs w:val="24"/>
          <w:lang w:val="en-US"/>
        </w:rPr>
        <w:t>Duration (start date and, if applicable, stop date)</w:t>
      </w:r>
      <w:r w:rsidRPr="007B140B">
        <w:rPr>
          <w:rFonts w:ascii="Times New Roman" w:hAnsi="Times New Roman" w:cs="Times New Roman"/>
          <w:color w:val="000000" w:themeColor="text1"/>
          <w:sz w:val="24"/>
          <w:szCs w:val="24"/>
          <w:lang w:val="en-US"/>
        </w:rPr>
        <w:t xml:space="preserve"> </w:t>
      </w:r>
    </w:p>
    <w:p w14:paraId="51C68913" w14:textId="2C2488F5" w:rsidR="00EC0717" w:rsidRPr="007B140B" w:rsidRDefault="00EC0717" w:rsidP="00EC0717">
      <w:pPr>
        <w:pStyle w:val="Liststycke"/>
        <w:numPr>
          <w:ilvl w:val="0"/>
          <w:numId w:val="12"/>
        </w:numPr>
        <w:rPr>
          <w:rFonts w:ascii="Times New Roman" w:hAnsi="Times New Roman" w:cs="Times New Roman"/>
          <w:sz w:val="24"/>
          <w:szCs w:val="24"/>
          <w:lang w:val="en-US"/>
        </w:rPr>
      </w:pPr>
      <w:r w:rsidRPr="007B140B">
        <w:rPr>
          <w:rFonts w:ascii="Times New Roman" w:hAnsi="Times New Roman" w:cs="Times New Roman"/>
          <w:color w:val="000000" w:themeColor="text1"/>
          <w:sz w:val="24"/>
          <w:szCs w:val="24"/>
          <w:lang w:val="en-US"/>
        </w:rPr>
        <w:t>Causality (suspected/not suspected to be related to</w:t>
      </w:r>
      <w:r w:rsidR="009A5E68" w:rsidRPr="007B140B">
        <w:rPr>
          <w:rFonts w:ascii="Times New Roman" w:hAnsi="Times New Roman" w:cs="Times New Roman"/>
          <w:color w:val="000000" w:themeColor="text1"/>
          <w:sz w:val="24"/>
          <w:szCs w:val="24"/>
          <w:lang w:val="en-US"/>
        </w:rPr>
        <w:t xml:space="preserve"> zoledronic acid or placebo</w:t>
      </w:r>
      <w:r w:rsidRPr="007B140B">
        <w:rPr>
          <w:rFonts w:ascii="Times New Roman" w:hAnsi="Times New Roman" w:cs="Times New Roman"/>
          <w:color w:val="000000" w:themeColor="text1"/>
          <w:sz w:val="24"/>
          <w:szCs w:val="24"/>
          <w:lang w:val="en-US"/>
        </w:rPr>
        <w:t>)</w:t>
      </w:r>
    </w:p>
    <w:p w14:paraId="48857678" w14:textId="77777777" w:rsidR="00EC0717" w:rsidRPr="007B140B" w:rsidRDefault="00EC0717" w:rsidP="00EC0717">
      <w:pPr>
        <w:pStyle w:val="Liststycke"/>
        <w:numPr>
          <w:ilvl w:val="0"/>
          <w:numId w:val="12"/>
        </w:numPr>
        <w:rPr>
          <w:rFonts w:ascii="Times New Roman" w:hAnsi="Times New Roman" w:cs="Times New Roman"/>
          <w:sz w:val="24"/>
          <w:szCs w:val="24"/>
          <w:lang w:val="en-US"/>
        </w:rPr>
      </w:pPr>
      <w:r w:rsidRPr="007B140B">
        <w:rPr>
          <w:rFonts w:ascii="Times New Roman" w:hAnsi="Times New Roman" w:cs="Times New Roman"/>
          <w:sz w:val="24"/>
          <w:szCs w:val="24"/>
          <w:lang w:val="en-US"/>
        </w:rPr>
        <w:t>Seriousness (serious/non-serious)</w:t>
      </w:r>
    </w:p>
    <w:p w14:paraId="431EA7E5" w14:textId="0CE43226" w:rsidR="00EC0717" w:rsidRPr="007B140B" w:rsidRDefault="00EC0717" w:rsidP="00EC0717">
      <w:pPr>
        <w:pStyle w:val="Liststycke"/>
        <w:numPr>
          <w:ilvl w:val="0"/>
          <w:numId w:val="12"/>
        </w:num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Expectedness (expected/unexpected) (applicable only if </w:t>
      </w:r>
      <w:r w:rsidR="009B1A15" w:rsidRPr="007B140B">
        <w:rPr>
          <w:rFonts w:ascii="Times New Roman" w:hAnsi="Times New Roman" w:cs="Times New Roman"/>
          <w:sz w:val="24"/>
          <w:szCs w:val="24"/>
          <w:lang w:val="en-US"/>
        </w:rPr>
        <w:t xml:space="preserve">the event is </w:t>
      </w:r>
      <w:r w:rsidRPr="007B140B">
        <w:rPr>
          <w:rFonts w:ascii="Times New Roman" w:hAnsi="Times New Roman" w:cs="Times New Roman"/>
          <w:sz w:val="24"/>
          <w:szCs w:val="24"/>
          <w:lang w:val="en-US"/>
        </w:rPr>
        <w:t>suspected to be causal</w:t>
      </w:r>
      <w:r w:rsidR="009A0D05" w:rsidRPr="007B140B">
        <w:rPr>
          <w:rFonts w:ascii="Times New Roman" w:hAnsi="Times New Roman" w:cs="Times New Roman"/>
          <w:sz w:val="24"/>
          <w:szCs w:val="24"/>
          <w:lang w:val="en-US"/>
        </w:rPr>
        <w:t>ly related to</w:t>
      </w:r>
      <w:r w:rsidR="00DA0249" w:rsidRPr="007B140B">
        <w:rPr>
          <w:rFonts w:ascii="Times New Roman" w:hAnsi="Times New Roman" w:cs="Times New Roman"/>
          <w:sz w:val="24"/>
          <w:szCs w:val="24"/>
          <w:lang w:val="en-US"/>
        </w:rPr>
        <w:t xml:space="preserve"> zoledronic acid or placebo</w:t>
      </w:r>
      <w:r w:rsidRPr="007B140B">
        <w:rPr>
          <w:rFonts w:ascii="Times New Roman" w:hAnsi="Times New Roman" w:cs="Times New Roman"/>
          <w:sz w:val="24"/>
          <w:szCs w:val="24"/>
          <w:lang w:val="en-US"/>
        </w:rPr>
        <w:t>)</w:t>
      </w:r>
    </w:p>
    <w:p w14:paraId="0A1BCEEA" w14:textId="6730A4CB" w:rsidR="00EC0717" w:rsidRPr="007B140B" w:rsidRDefault="00EC0717" w:rsidP="00EC0717">
      <w:pPr>
        <w:pStyle w:val="Liststycke"/>
        <w:numPr>
          <w:ilvl w:val="0"/>
          <w:numId w:val="12"/>
        </w:numPr>
        <w:rPr>
          <w:rFonts w:ascii="Times New Roman" w:hAnsi="Times New Roman" w:cs="Times New Roman"/>
          <w:sz w:val="24"/>
          <w:szCs w:val="24"/>
          <w:lang w:val="en-US"/>
        </w:rPr>
      </w:pPr>
      <w:r w:rsidRPr="007B140B">
        <w:rPr>
          <w:rFonts w:ascii="Times New Roman" w:hAnsi="Times New Roman" w:cs="Times New Roman"/>
          <w:sz w:val="24"/>
          <w:szCs w:val="24"/>
          <w:lang w:val="en-US"/>
        </w:rPr>
        <w:t>Actions taken</w:t>
      </w:r>
      <w:r w:rsidR="003971DA">
        <w:rPr>
          <w:rFonts w:ascii="Times New Roman" w:hAnsi="Times New Roman" w:cs="Times New Roman"/>
          <w:sz w:val="24"/>
          <w:szCs w:val="24"/>
          <w:lang w:val="en-US"/>
        </w:rPr>
        <w:t xml:space="preserve"> with respect to investigational products</w:t>
      </w:r>
      <w:r w:rsidR="008D48C2">
        <w:rPr>
          <w:rFonts w:ascii="Times New Roman" w:hAnsi="Times New Roman" w:cs="Times New Roman"/>
          <w:sz w:val="24"/>
          <w:szCs w:val="24"/>
          <w:lang w:val="en-US"/>
        </w:rPr>
        <w:t xml:space="preserve"> (zoledronic acid or</w:t>
      </w:r>
      <w:r w:rsidR="00844A22">
        <w:rPr>
          <w:rFonts w:ascii="Times New Roman" w:hAnsi="Times New Roman" w:cs="Times New Roman"/>
          <w:sz w:val="24"/>
          <w:szCs w:val="24"/>
          <w:lang w:val="en-US"/>
        </w:rPr>
        <w:t xml:space="preserve"> </w:t>
      </w:r>
      <w:r w:rsidR="008D48C2">
        <w:rPr>
          <w:rFonts w:ascii="Times New Roman" w:hAnsi="Times New Roman" w:cs="Times New Roman"/>
          <w:sz w:val="24"/>
          <w:szCs w:val="24"/>
          <w:lang w:val="en-US"/>
        </w:rPr>
        <w:t>placebo)</w:t>
      </w:r>
      <w:r w:rsidR="003971DA">
        <w:rPr>
          <w:rFonts w:ascii="Times New Roman" w:hAnsi="Times New Roman" w:cs="Times New Roman"/>
          <w:sz w:val="24"/>
          <w:szCs w:val="24"/>
          <w:lang w:val="en-US"/>
        </w:rPr>
        <w:t xml:space="preserve"> </w:t>
      </w:r>
    </w:p>
    <w:p w14:paraId="67DDAEDD" w14:textId="24959752" w:rsidR="00EC0717" w:rsidRDefault="00EC0717" w:rsidP="00EC0717">
      <w:pPr>
        <w:pStyle w:val="Liststycke"/>
        <w:numPr>
          <w:ilvl w:val="0"/>
          <w:numId w:val="12"/>
        </w:numPr>
        <w:rPr>
          <w:rFonts w:ascii="Times New Roman" w:hAnsi="Times New Roman" w:cs="Times New Roman"/>
          <w:sz w:val="24"/>
          <w:szCs w:val="24"/>
          <w:lang w:val="en-US"/>
        </w:rPr>
      </w:pPr>
      <w:r w:rsidRPr="007B140B">
        <w:rPr>
          <w:rFonts w:ascii="Times New Roman" w:hAnsi="Times New Roman" w:cs="Times New Roman"/>
          <w:sz w:val="24"/>
          <w:szCs w:val="24"/>
          <w:lang w:val="en-US"/>
        </w:rPr>
        <w:t>Outcome</w:t>
      </w:r>
    </w:p>
    <w:p w14:paraId="19DAE9E1" w14:textId="6E2720C6" w:rsidR="00AE7265" w:rsidRPr="007B140B" w:rsidRDefault="00AE7265" w:rsidP="00EC0717">
      <w:pPr>
        <w:pStyle w:val="Liststycke"/>
        <w:numPr>
          <w:ilvl w:val="0"/>
          <w:numId w:val="12"/>
        </w:numPr>
        <w:rPr>
          <w:rFonts w:ascii="Times New Roman" w:hAnsi="Times New Roman" w:cs="Times New Roman"/>
          <w:sz w:val="24"/>
          <w:szCs w:val="24"/>
          <w:lang w:val="en-US"/>
        </w:rPr>
      </w:pPr>
      <w:r>
        <w:rPr>
          <w:rFonts w:ascii="Times New Roman" w:hAnsi="Times New Roman" w:cs="Times New Roman"/>
          <w:sz w:val="24"/>
          <w:szCs w:val="24"/>
          <w:lang w:val="en-US"/>
        </w:rPr>
        <w:t>Comments/other actions</w:t>
      </w:r>
    </w:p>
    <w:p w14:paraId="092A0652" w14:textId="6A9530A2" w:rsidR="00FE10C6" w:rsidRPr="007B140B" w:rsidRDefault="00FE10C6" w:rsidP="00FE10C6">
      <w:pPr>
        <w:pStyle w:val="Liststycke"/>
        <w:rPr>
          <w:rFonts w:ascii="Times New Roman" w:hAnsi="Times New Roman" w:cs="Times New Roman"/>
          <w:sz w:val="24"/>
          <w:szCs w:val="24"/>
          <w:lang w:val="en-US"/>
        </w:rPr>
      </w:pPr>
    </w:p>
    <w:p w14:paraId="7380A973" w14:textId="2EE46117" w:rsidR="002E354F" w:rsidRDefault="008E4584" w:rsidP="009B7261">
      <w:pPr>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The severity of the adverse event</w:t>
      </w:r>
      <w:r w:rsidR="002E354F">
        <w:rPr>
          <w:rFonts w:ascii="Times New Roman" w:hAnsi="Times New Roman" w:cs="Times New Roman"/>
          <w:iCs/>
          <w:color w:val="000000" w:themeColor="text1"/>
          <w:sz w:val="24"/>
          <w:szCs w:val="24"/>
          <w:lang w:val="en-US"/>
        </w:rPr>
        <w:t xml:space="preserve"> (</w:t>
      </w:r>
      <w:r>
        <w:rPr>
          <w:rFonts w:ascii="Times New Roman" w:hAnsi="Times New Roman" w:cs="Times New Roman"/>
          <w:iCs/>
          <w:color w:val="000000" w:themeColor="text1"/>
          <w:sz w:val="24"/>
          <w:szCs w:val="24"/>
          <w:lang w:val="en-US"/>
        </w:rPr>
        <w:t xml:space="preserve">e.g., </w:t>
      </w:r>
      <w:r w:rsidR="002E354F">
        <w:rPr>
          <w:rFonts w:ascii="Times New Roman" w:hAnsi="Times New Roman" w:cs="Times New Roman"/>
          <w:iCs/>
          <w:color w:val="000000" w:themeColor="text1"/>
          <w:sz w:val="24"/>
          <w:szCs w:val="24"/>
          <w:lang w:val="en-US"/>
        </w:rPr>
        <w:t>mild, moderate, or severe) will not be recorded</w:t>
      </w:r>
      <w:r w:rsidR="00795300">
        <w:rPr>
          <w:rFonts w:ascii="Times New Roman" w:hAnsi="Times New Roman" w:cs="Times New Roman"/>
          <w:iCs/>
          <w:color w:val="000000" w:themeColor="text1"/>
          <w:sz w:val="24"/>
          <w:szCs w:val="24"/>
          <w:lang w:val="en-US"/>
        </w:rPr>
        <w:t>,</w:t>
      </w:r>
      <w:r w:rsidR="002E354F">
        <w:rPr>
          <w:rFonts w:ascii="Times New Roman" w:hAnsi="Times New Roman" w:cs="Times New Roman"/>
          <w:iCs/>
          <w:color w:val="000000" w:themeColor="text1"/>
          <w:sz w:val="24"/>
          <w:szCs w:val="24"/>
          <w:lang w:val="en-US"/>
        </w:rPr>
        <w:t xml:space="preserve"> because this information is not legally required and is unlikely to be analyzed.</w:t>
      </w:r>
      <w:r w:rsidR="00D63A6C">
        <w:rPr>
          <w:rFonts w:ascii="Times New Roman" w:hAnsi="Times New Roman" w:cs="Times New Roman"/>
          <w:iCs/>
          <w:color w:val="000000" w:themeColor="text1"/>
          <w:sz w:val="24"/>
          <w:szCs w:val="24"/>
          <w:lang w:val="en-US"/>
        </w:rPr>
        <w:t xml:space="preserve"> Causality will be assessed as a binary variable</w:t>
      </w:r>
      <w:r w:rsidR="009B7261">
        <w:rPr>
          <w:rFonts w:ascii="Times New Roman" w:hAnsi="Times New Roman" w:cs="Times New Roman"/>
          <w:iCs/>
          <w:color w:val="000000" w:themeColor="text1"/>
          <w:sz w:val="24"/>
          <w:szCs w:val="24"/>
          <w:lang w:val="en-US"/>
        </w:rPr>
        <w:t xml:space="preserve"> (suspected/not suspected), because more detailed assessments are not needed to flag potential adverse drug reactions.</w:t>
      </w:r>
      <w:r w:rsidR="009B7261">
        <w:rPr>
          <w:rFonts w:ascii="Times New Roman" w:hAnsi="Times New Roman" w:cs="Times New Roman"/>
          <w:iCs/>
          <w:color w:val="000000" w:themeColor="text1"/>
          <w:sz w:val="24"/>
          <w:szCs w:val="24"/>
          <w:lang w:val="en-US"/>
        </w:rPr>
        <w:fldChar w:fldCharType="begin" w:fldLock="1"/>
      </w:r>
      <w:r w:rsidR="00272560">
        <w:rPr>
          <w:rFonts w:ascii="Times New Roman" w:hAnsi="Times New Roman" w:cs="Times New Roman"/>
          <w:iCs/>
          <w:color w:val="000000" w:themeColor="text1"/>
          <w:sz w:val="24"/>
          <w:szCs w:val="24"/>
          <w:lang w:val="en-US"/>
        </w:rPr>
        <w:instrText>ADDIN CSL_CITATION {"citationItems":[{"id":"ITEM-1","itemData":{"author":[{"dropping-particle":"","family":"Council for International Organizations of Medical Sciences","given":"","non-dropping-particle":"","parse-names":false,"suffix":""}],"id":"ITEM-1","issued":{"date-parts":[["2005"]]},"publisher-place":"Geneva [CH]","title":"Management of Safety Information from Clinical Trials: Report of CIOMS Working Group VI","type":"report"},"uris":["http://www.mendeley.com/documents/?uuid=6e3dac36-474e-4139-a08e-de86112d6981"]}],"mendeley":{"formattedCitation":"&lt;sup&gt;&lt;sup&gt;48&lt;/sup&gt;&lt;/sup&gt;","plainTextFormattedCitation":"48","previouslyFormattedCitation":"&lt;sup&gt;&lt;sup&gt;48&lt;/sup&gt;&lt;/sup&gt;"},"properties":{"noteIndex":0},"schema":"https://github.com/citation-style-language/schema/raw/master/csl-citation.json"}</w:instrText>
      </w:r>
      <w:r w:rsidR="009B7261">
        <w:rPr>
          <w:rFonts w:ascii="Times New Roman" w:hAnsi="Times New Roman" w:cs="Times New Roman"/>
          <w:iCs/>
          <w:color w:val="000000" w:themeColor="text1"/>
          <w:sz w:val="24"/>
          <w:szCs w:val="24"/>
          <w:lang w:val="en-US"/>
        </w:rPr>
        <w:fldChar w:fldCharType="separate"/>
      </w:r>
      <w:r w:rsidR="0081127D" w:rsidRPr="0081127D">
        <w:rPr>
          <w:rFonts w:ascii="Times New Roman" w:hAnsi="Times New Roman" w:cs="Times New Roman"/>
          <w:iCs/>
          <w:noProof/>
          <w:color w:val="000000" w:themeColor="text1"/>
          <w:sz w:val="24"/>
          <w:szCs w:val="24"/>
          <w:vertAlign w:val="superscript"/>
          <w:lang w:val="en-US"/>
        </w:rPr>
        <w:t>48</w:t>
      </w:r>
      <w:r w:rsidR="009B7261">
        <w:rPr>
          <w:rFonts w:ascii="Times New Roman" w:hAnsi="Times New Roman" w:cs="Times New Roman"/>
          <w:iCs/>
          <w:color w:val="000000" w:themeColor="text1"/>
          <w:sz w:val="24"/>
          <w:szCs w:val="24"/>
          <w:lang w:val="en-US"/>
        </w:rPr>
        <w:fldChar w:fldCharType="end"/>
      </w:r>
    </w:p>
    <w:p w14:paraId="7877A54B" w14:textId="306C9A1F" w:rsidR="00FE10C6" w:rsidRPr="007B140B" w:rsidRDefault="00FE10C6" w:rsidP="00FE10C6">
      <w:pPr>
        <w:rPr>
          <w:rFonts w:ascii="Times New Roman" w:hAnsi="Times New Roman" w:cs="Times New Roman"/>
          <w:sz w:val="24"/>
          <w:szCs w:val="24"/>
          <w:lang w:val="en-US"/>
        </w:rPr>
      </w:pPr>
      <w:r w:rsidRPr="007B140B">
        <w:rPr>
          <w:rFonts w:ascii="Times New Roman" w:hAnsi="Times New Roman" w:cs="Times New Roman"/>
          <w:iCs/>
          <w:color w:val="000000" w:themeColor="text1"/>
          <w:sz w:val="24"/>
          <w:szCs w:val="24"/>
          <w:lang w:val="en-US"/>
        </w:rPr>
        <w:t xml:space="preserve">Participants who have been affected by </w:t>
      </w:r>
      <w:r w:rsidR="00CF37F8">
        <w:rPr>
          <w:rFonts w:ascii="Times New Roman" w:hAnsi="Times New Roman" w:cs="Times New Roman"/>
          <w:iCs/>
          <w:color w:val="000000" w:themeColor="text1"/>
          <w:sz w:val="24"/>
          <w:szCs w:val="24"/>
          <w:lang w:val="en-US"/>
        </w:rPr>
        <w:t xml:space="preserve">an </w:t>
      </w:r>
      <w:r w:rsidRPr="007B140B">
        <w:rPr>
          <w:rFonts w:ascii="Times New Roman" w:hAnsi="Times New Roman" w:cs="Times New Roman"/>
          <w:iCs/>
          <w:color w:val="000000" w:themeColor="text1"/>
          <w:sz w:val="24"/>
          <w:szCs w:val="24"/>
          <w:lang w:val="en-US"/>
        </w:rPr>
        <w:t>AE will be followed-up according to the clinical practice of the study center until the adverse event is resolved or stable. Participants with</w:t>
      </w:r>
      <w:r w:rsidRPr="007B140B">
        <w:rPr>
          <w:rFonts w:ascii="Times New Roman" w:hAnsi="Times New Roman" w:cs="Times New Roman"/>
          <w:sz w:val="24"/>
          <w:szCs w:val="24"/>
          <w:lang w:val="en-US"/>
        </w:rPr>
        <w:t xml:space="preserve"> AEs that are suspected to be related to </w:t>
      </w:r>
      <w:r w:rsidR="00AB322C">
        <w:rPr>
          <w:rFonts w:ascii="Times New Roman" w:hAnsi="Times New Roman" w:cs="Times New Roman"/>
          <w:sz w:val="24"/>
          <w:szCs w:val="24"/>
          <w:lang w:val="en-US"/>
        </w:rPr>
        <w:t>an</w:t>
      </w:r>
      <w:r w:rsidR="00AB322C" w:rsidRPr="007B140B">
        <w:rPr>
          <w:rFonts w:ascii="Times New Roman" w:hAnsi="Times New Roman" w:cs="Times New Roman"/>
          <w:sz w:val="24"/>
          <w:szCs w:val="24"/>
          <w:lang w:val="en-US"/>
        </w:rPr>
        <w:t xml:space="preserve"> </w:t>
      </w:r>
      <w:r w:rsidRPr="007B140B">
        <w:rPr>
          <w:rFonts w:ascii="Times New Roman" w:hAnsi="Times New Roman" w:cs="Times New Roman"/>
          <w:sz w:val="24"/>
          <w:szCs w:val="24"/>
          <w:lang w:val="en-US"/>
        </w:rPr>
        <w:t>investigational produc</w:t>
      </w:r>
      <w:r w:rsidR="00053353" w:rsidRPr="007B140B">
        <w:rPr>
          <w:rFonts w:ascii="Times New Roman" w:hAnsi="Times New Roman" w:cs="Times New Roman"/>
          <w:sz w:val="24"/>
          <w:szCs w:val="24"/>
          <w:lang w:val="en-US"/>
        </w:rPr>
        <w:t>t will be followed-up until they</w:t>
      </w:r>
      <w:r w:rsidRPr="007B140B">
        <w:rPr>
          <w:rFonts w:ascii="Times New Roman" w:hAnsi="Times New Roman" w:cs="Times New Roman"/>
          <w:sz w:val="24"/>
          <w:szCs w:val="24"/>
          <w:lang w:val="en-US"/>
        </w:rPr>
        <w:t xml:space="preserve"> have recovered or are well taken care of and on the way to good recovery.</w:t>
      </w:r>
    </w:p>
    <w:p w14:paraId="40841603" w14:textId="77777777" w:rsidR="00FE10C6" w:rsidRPr="007B140B" w:rsidRDefault="00FE10C6" w:rsidP="00FE10C6">
      <w:pPr>
        <w:pStyle w:val="Liststycke"/>
        <w:rPr>
          <w:rFonts w:ascii="Times New Roman" w:hAnsi="Times New Roman" w:cs="Times New Roman"/>
          <w:sz w:val="24"/>
          <w:szCs w:val="24"/>
          <w:lang w:val="en-US"/>
        </w:rPr>
      </w:pPr>
    </w:p>
    <w:p w14:paraId="208BC993" w14:textId="5A289F7E" w:rsidR="00FE10C6" w:rsidRPr="007B140B" w:rsidRDefault="00FE10C6" w:rsidP="00D36611">
      <w:pPr>
        <w:pStyle w:val="Formatmall3"/>
        <w:rPr>
          <w:rFonts w:cs="Times New Roman"/>
          <w:lang w:val="en-US"/>
        </w:rPr>
      </w:pPr>
      <w:bookmarkStart w:id="42" w:name="_Toc99001413"/>
      <w:r w:rsidRPr="007B140B">
        <w:rPr>
          <w:rFonts w:cs="Times New Roman"/>
          <w:lang w:val="en-US"/>
        </w:rPr>
        <w:t>Serious adverse events</w:t>
      </w:r>
      <w:bookmarkEnd w:id="42"/>
    </w:p>
    <w:p w14:paraId="0DE9F60C" w14:textId="00C54E56" w:rsidR="006212B5" w:rsidRPr="007B140B" w:rsidRDefault="006212B5" w:rsidP="006212B5">
      <w:pPr>
        <w:rPr>
          <w:rFonts w:ascii="Times New Roman" w:hAnsi="Times New Roman" w:cs="Times New Roman"/>
          <w:sz w:val="24"/>
          <w:szCs w:val="24"/>
          <w:lang w:val="en-US"/>
        </w:rPr>
      </w:pPr>
      <w:r w:rsidRPr="007B140B">
        <w:rPr>
          <w:rFonts w:ascii="Times New Roman" w:hAnsi="Times New Roman" w:cs="Times New Roman"/>
          <w:sz w:val="24"/>
          <w:szCs w:val="24"/>
          <w:lang w:val="en-US"/>
        </w:rPr>
        <w:t>As recommended by the ICH,</w:t>
      </w:r>
      <w:r w:rsidR="00142911" w:rsidRPr="007B140B">
        <w:rPr>
          <w:rFonts w:ascii="Times New Roman" w:hAnsi="Times New Roman" w:cs="Times New Roman"/>
          <w:sz w:val="24"/>
          <w:szCs w:val="24"/>
          <w:lang w:val="en-US"/>
        </w:rPr>
        <w:fldChar w:fldCharType="begin" w:fldLock="1"/>
      </w:r>
      <w:r w:rsidR="00272560">
        <w:rPr>
          <w:rFonts w:ascii="Times New Roman" w:hAnsi="Times New Roman" w:cs="Times New Roman"/>
          <w:sz w:val="24"/>
          <w:szCs w:val="24"/>
          <w:lang w:val="en-US"/>
        </w:rPr>
        <w:instrText>ADDIN CSL_CITATION {"citationItems":[{"id":"ITEM-1","itemData":{"abstract":"Adverse Event (AE) An adverse event is any untoward medical occurrence in a patient administered a medicinal product and which does not necessarily have to have a causal relationship with this treatment. An adverse event can therefore be any unfavorable and unintended sign (for example, an abnormal laboratory finding), symptom, or disease temporally associated with the use of a medicinal product, whether or not considered related to this medicinal product. Adverse drug reactions, as established by regional regulations, guidance, and practices, concern noxious and unintended responses to a medicinal product. The phrase “responses to a medicinal product” means that a causal relationship between a medicinal product and an adverse event is at least a reasonable possibility (refer to the ICH E2A guideline). A reaction, in contrast to an event, is characterized by the fact that a causal relationship between the drug and the occurrence is suspected. For regulatory reporting purposes, if an event is spontaneously reported, even if the relationship is unknown or unstated, it meets the definition of an adverse drug reaction.","author":[{"dropping-particle":"","family":"International Conference on Harmonisation of Technical Requirements for Registration of Pharmaceuticals for Human Use","given":"","non-dropping-particle":"","parse-names":false,"suffix":""}],"id":"ITEM-1","issued":{"date-parts":[["1994"]]},"title":"ICH harmonised tripartite guideline E2A: clinical safety data management: definitions and standards for expedited reporting","type":"book"},"uris":["http://www.mendeley.com/documents/?uuid=c194daf8-db70-40e3-8e72-b55661d13944"]}],"mendeley":{"formattedCitation":"&lt;sup&gt;&lt;sup&gt;47&lt;/sup&gt;&lt;/sup&gt;","plainTextFormattedCitation":"47","previouslyFormattedCitation":"&lt;sup&gt;&lt;sup&gt;47&lt;/sup&gt;&lt;/sup&gt;"},"properties":{"noteIndex":0},"schema":"https://github.com/citation-style-language/schema/raw/master/csl-citation.json"}</w:instrText>
      </w:r>
      <w:r w:rsidR="00142911" w:rsidRPr="007B140B">
        <w:rPr>
          <w:rFonts w:ascii="Times New Roman" w:hAnsi="Times New Roman" w:cs="Times New Roman"/>
          <w:sz w:val="24"/>
          <w:szCs w:val="24"/>
          <w:lang w:val="en-US"/>
        </w:rPr>
        <w:fldChar w:fldCharType="separate"/>
      </w:r>
      <w:r w:rsidR="0081127D" w:rsidRPr="0081127D">
        <w:rPr>
          <w:rFonts w:ascii="Times New Roman" w:hAnsi="Times New Roman" w:cs="Times New Roman"/>
          <w:noProof/>
          <w:sz w:val="24"/>
          <w:szCs w:val="24"/>
          <w:vertAlign w:val="superscript"/>
          <w:lang w:val="en-US"/>
        </w:rPr>
        <w:t>47</w:t>
      </w:r>
      <w:r w:rsidR="00142911" w:rsidRPr="007B140B">
        <w:rPr>
          <w:rFonts w:ascii="Times New Roman" w:hAnsi="Times New Roman" w:cs="Times New Roman"/>
          <w:sz w:val="24"/>
          <w:szCs w:val="24"/>
          <w:lang w:val="en-US"/>
        </w:rPr>
        <w:fldChar w:fldCharType="end"/>
      </w:r>
      <w:r w:rsidRPr="007B140B">
        <w:rPr>
          <w:rFonts w:ascii="Times New Roman" w:hAnsi="Times New Roman" w:cs="Times New Roman"/>
          <w:sz w:val="24"/>
          <w:szCs w:val="24"/>
          <w:lang w:val="en-US"/>
        </w:rPr>
        <w:t xml:space="preserve"> an adverse event will be classified as a </w:t>
      </w:r>
      <w:r w:rsidRPr="007B140B">
        <w:rPr>
          <w:rFonts w:ascii="Times New Roman" w:hAnsi="Times New Roman" w:cs="Times New Roman"/>
          <w:i/>
          <w:sz w:val="24"/>
          <w:szCs w:val="24"/>
          <w:lang w:val="en-US"/>
        </w:rPr>
        <w:t>serious adverse event</w:t>
      </w:r>
      <w:r w:rsidRPr="007B140B">
        <w:rPr>
          <w:rFonts w:ascii="Times New Roman" w:hAnsi="Times New Roman" w:cs="Times New Roman"/>
          <w:sz w:val="24"/>
          <w:szCs w:val="24"/>
          <w:lang w:val="en-US"/>
        </w:rPr>
        <w:t xml:space="preserve"> if it</w:t>
      </w:r>
    </w:p>
    <w:p w14:paraId="6390DFEE" w14:textId="77777777" w:rsidR="006212B5" w:rsidRPr="007B140B" w:rsidRDefault="006212B5" w:rsidP="00A37EDC">
      <w:pPr>
        <w:pStyle w:val="Liststycke"/>
        <w:numPr>
          <w:ilvl w:val="0"/>
          <w:numId w:val="2"/>
        </w:numPr>
        <w:rPr>
          <w:rFonts w:ascii="Times New Roman" w:hAnsi="Times New Roman" w:cs="Times New Roman"/>
          <w:i/>
          <w:sz w:val="24"/>
          <w:szCs w:val="24"/>
          <w:lang w:val="en-US"/>
        </w:rPr>
      </w:pPr>
      <w:r w:rsidRPr="007B140B">
        <w:rPr>
          <w:rFonts w:ascii="Times New Roman" w:hAnsi="Times New Roman" w:cs="Times New Roman"/>
          <w:i/>
          <w:sz w:val="24"/>
          <w:szCs w:val="24"/>
          <w:lang w:val="en-US"/>
        </w:rPr>
        <w:t>results in death,</w:t>
      </w:r>
    </w:p>
    <w:p w14:paraId="47EBA8CB" w14:textId="77777777" w:rsidR="006212B5" w:rsidRPr="007B140B" w:rsidRDefault="006212B5" w:rsidP="00A37EDC">
      <w:pPr>
        <w:pStyle w:val="Liststycke"/>
        <w:numPr>
          <w:ilvl w:val="0"/>
          <w:numId w:val="2"/>
        </w:numPr>
        <w:rPr>
          <w:rFonts w:ascii="Times New Roman" w:hAnsi="Times New Roman" w:cs="Times New Roman"/>
          <w:i/>
          <w:sz w:val="24"/>
          <w:szCs w:val="24"/>
          <w:lang w:val="en-US"/>
        </w:rPr>
      </w:pPr>
      <w:r w:rsidRPr="007B140B">
        <w:rPr>
          <w:rFonts w:ascii="Times New Roman" w:hAnsi="Times New Roman" w:cs="Times New Roman"/>
          <w:i/>
          <w:sz w:val="24"/>
          <w:szCs w:val="24"/>
          <w:lang w:val="en-US"/>
        </w:rPr>
        <w:t>is life-threatening,</w:t>
      </w:r>
    </w:p>
    <w:p w14:paraId="36B74CD6" w14:textId="51615EAB" w:rsidR="006212B5" w:rsidRPr="007B140B" w:rsidRDefault="006212B5" w:rsidP="00A37EDC">
      <w:pPr>
        <w:pStyle w:val="Liststycke"/>
        <w:numPr>
          <w:ilvl w:val="0"/>
          <w:numId w:val="2"/>
        </w:numPr>
        <w:rPr>
          <w:rFonts w:ascii="Times New Roman" w:hAnsi="Times New Roman" w:cs="Times New Roman"/>
          <w:i/>
          <w:sz w:val="24"/>
          <w:szCs w:val="24"/>
          <w:lang w:val="en-US"/>
        </w:rPr>
      </w:pPr>
      <w:r w:rsidRPr="007B140B">
        <w:rPr>
          <w:rFonts w:ascii="Times New Roman" w:hAnsi="Times New Roman" w:cs="Times New Roman"/>
          <w:i/>
          <w:sz w:val="24"/>
          <w:szCs w:val="24"/>
          <w:lang w:val="en-US"/>
        </w:rPr>
        <w:t>requires inpatient hospitalization or prolongation of existing hospitalization,</w:t>
      </w:r>
    </w:p>
    <w:p w14:paraId="310B8675" w14:textId="1F79A3EF" w:rsidR="006212B5" w:rsidRDefault="006212B5" w:rsidP="00A37EDC">
      <w:pPr>
        <w:pStyle w:val="Liststycke"/>
        <w:numPr>
          <w:ilvl w:val="0"/>
          <w:numId w:val="2"/>
        </w:numPr>
        <w:rPr>
          <w:rFonts w:ascii="Times New Roman" w:hAnsi="Times New Roman" w:cs="Times New Roman"/>
          <w:i/>
          <w:sz w:val="24"/>
          <w:szCs w:val="24"/>
          <w:lang w:val="en-US"/>
        </w:rPr>
      </w:pPr>
      <w:r w:rsidRPr="007B140B">
        <w:rPr>
          <w:rFonts w:ascii="Times New Roman" w:hAnsi="Times New Roman" w:cs="Times New Roman"/>
          <w:i/>
          <w:sz w:val="24"/>
          <w:szCs w:val="24"/>
          <w:lang w:val="en-US"/>
        </w:rPr>
        <w:t>results in persistent or significant disability or incapacity</w:t>
      </w:r>
      <w:r w:rsidR="00C93A0F">
        <w:rPr>
          <w:rFonts w:ascii="Times New Roman" w:hAnsi="Times New Roman" w:cs="Times New Roman"/>
          <w:i/>
          <w:sz w:val="24"/>
          <w:szCs w:val="24"/>
          <w:lang w:val="en-US"/>
        </w:rPr>
        <w:t>,</w:t>
      </w:r>
    </w:p>
    <w:p w14:paraId="248246AD" w14:textId="3F05C0FC" w:rsidR="00D71DD9" w:rsidRPr="007B140B" w:rsidRDefault="00C93A0F" w:rsidP="00D71DD9">
      <w:pPr>
        <w:pStyle w:val="Liststycke"/>
        <w:numPr>
          <w:ilvl w:val="0"/>
          <w:numId w:val="2"/>
        </w:numPr>
        <w:rPr>
          <w:rFonts w:ascii="Times New Roman" w:hAnsi="Times New Roman" w:cs="Times New Roman"/>
          <w:i/>
          <w:sz w:val="24"/>
          <w:szCs w:val="24"/>
          <w:lang w:val="en-US"/>
        </w:rPr>
      </w:pPr>
      <w:r>
        <w:rPr>
          <w:rFonts w:ascii="Times New Roman" w:hAnsi="Times New Roman" w:cs="Times New Roman"/>
          <w:i/>
          <w:sz w:val="24"/>
          <w:szCs w:val="24"/>
          <w:lang w:val="en-US"/>
        </w:rPr>
        <w:t xml:space="preserve">or </w:t>
      </w:r>
      <w:r w:rsidR="00D71DD9" w:rsidRPr="00D71DD9">
        <w:rPr>
          <w:rFonts w:ascii="Times New Roman" w:hAnsi="Times New Roman" w:cs="Times New Roman"/>
          <w:i/>
          <w:sz w:val="24"/>
          <w:szCs w:val="24"/>
          <w:lang w:val="en-US"/>
        </w:rPr>
        <w:t>is a congenital anomaly</w:t>
      </w:r>
      <w:r w:rsidR="00D71DD9">
        <w:rPr>
          <w:rFonts w:ascii="Times New Roman" w:hAnsi="Times New Roman" w:cs="Times New Roman"/>
          <w:i/>
          <w:sz w:val="24"/>
          <w:szCs w:val="24"/>
          <w:lang w:val="en-US"/>
        </w:rPr>
        <w:t xml:space="preserve"> or </w:t>
      </w:r>
      <w:r w:rsidR="00D71DD9" w:rsidRPr="00D71DD9">
        <w:rPr>
          <w:rFonts w:ascii="Times New Roman" w:hAnsi="Times New Roman" w:cs="Times New Roman"/>
          <w:i/>
          <w:sz w:val="24"/>
          <w:szCs w:val="24"/>
          <w:lang w:val="en-US"/>
        </w:rPr>
        <w:t>birth defect</w:t>
      </w:r>
      <w:r w:rsidR="005D7E11">
        <w:rPr>
          <w:rFonts w:ascii="Times New Roman" w:hAnsi="Times New Roman" w:cs="Times New Roman"/>
          <w:i/>
          <w:sz w:val="24"/>
          <w:szCs w:val="24"/>
          <w:lang w:val="en-US"/>
        </w:rPr>
        <w:t>.</w:t>
      </w:r>
    </w:p>
    <w:p w14:paraId="3B2C584A" w14:textId="1892CB30" w:rsidR="00883990" w:rsidRPr="007B140B" w:rsidRDefault="00883990" w:rsidP="0054269A">
      <w:pPr>
        <w:rPr>
          <w:rFonts w:ascii="Times New Roman" w:hAnsi="Times New Roman" w:cs="Times New Roman"/>
          <w:sz w:val="24"/>
          <w:szCs w:val="24"/>
          <w:lang w:val="en-US"/>
        </w:rPr>
      </w:pPr>
      <w:r w:rsidRPr="007B140B">
        <w:rPr>
          <w:rFonts w:ascii="Times New Roman" w:hAnsi="Times New Roman" w:cs="Times New Roman"/>
          <w:sz w:val="24"/>
          <w:szCs w:val="24"/>
          <w:lang w:val="en-US"/>
        </w:rPr>
        <w:lastRenderedPageBreak/>
        <w:t>As stated by the ICH,</w:t>
      </w:r>
      <w:r w:rsidR="00535E23">
        <w:rPr>
          <w:rFonts w:ascii="Times New Roman" w:hAnsi="Times New Roman" w:cs="Times New Roman"/>
          <w:sz w:val="24"/>
          <w:szCs w:val="24"/>
          <w:lang w:val="en-US"/>
        </w:rPr>
        <w:t xml:space="preserve"> adverse events may also be serious for other reasons:</w:t>
      </w:r>
      <w:r w:rsidRPr="007B140B">
        <w:rPr>
          <w:rFonts w:ascii="Times New Roman" w:hAnsi="Times New Roman" w:cs="Times New Roman"/>
          <w:sz w:val="24"/>
          <w:szCs w:val="24"/>
          <w:lang w:val="en-US"/>
        </w:rPr>
        <w:fldChar w:fldCharType="begin" w:fldLock="1"/>
      </w:r>
      <w:r w:rsidR="00272560">
        <w:rPr>
          <w:rFonts w:ascii="Times New Roman" w:hAnsi="Times New Roman" w:cs="Times New Roman"/>
          <w:sz w:val="24"/>
          <w:szCs w:val="24"/>
          <w:lang w:val="en-US"/>
        </w:rPr>
        <w:instrText>ADDIN CSL_CITATION {"citationItems":[{"id":"ITEM-1","itemData":{"abstract":"Adverse Event (AE) An adverse event is any untoward medical occurrence in a patient administered a medicinal product and which does not necessarily have to have a causal relationship with this treatment. An adverse event can therefore be any unfavorable and unintended sign (for example, an abnormal laboratory finding), symptom, or disease temporally associated with the use of a medicinal product, whether or not considered related to this medicinal product. Adverse drug reactions, as established by regional regulations, guidance, and practices, concern noxious and unintended responses to a medicinal product. The phrase “responses to a medicinal product” means that a causal relationship between a medicinal product and an adverse event is at least a reasonable possibility (refer to the ICH E2A guideline). A reaction, in contrast to an event, is characterized by the fact that a causal relationship between the drug and the occurrence is suspected. For regulatory reporting purposes, if an event is spontaneously reported, even if the relationship is unknown or unstated, it meets the definition of an adverse drug reaction.","author":[{"dropping-particle":"","family":"International Conference on Harmonisation of Technical Requirements for Registration of Pharmaceuticals for Human Use","given":"","non-dropping-particle":"","parse-names":false,"suffix":""}],"id":"ITEM-1","issued":{"date-parts":[["1994"]]},"title":"ICH harmonised tripartite guideline E2A: clinical safety data management: definitions and standards for expedited reporting","type":"book"},"uris":["http://www.mendeley.com/documents/?uuid=c194daf8-db70-40e3-8e72-b55661d13944"]}],"mendeley":{"formattedCitation":"&lt;sup&gt;&lt;sup&gt;47&lt;/sup&gt;&lt;/sup&gt;","plainTextFormattedCitation":"47","previouslyFormattedCitation":"&lt;sup&gt;&lt;sup&gt;47&lt;/sup&gt;&lt;/sup&gt;"},"properties":{"noteIndex":0},"schema":"https://github.com/citation-style-language/schema/raw/master/csl-citation.json"}</w:instrText>
      </w:r>
      <w:r w:rsidRPr="007B140B">
        <w:rPr>
          <w:rFonts w:ascii="Times New Roman" w:hAnsi="Times New Roman" w:cs="Times New Roman"/>
          <w:sz w:val="24"/>
          <w:szCs w:val="24"/>
          <w:lang w:val="en-US"/>
        </w:rPr>
        <w:fldChar w:fldCharType="separate"/>
      </w:r>
      <w:r w:rsidR="0081127D" w:rsidRPr="0081127D">
        <w:rPr>
          <w:rFonts w:ascii="Times New Roman" w:hAnsi="Times New Roman" w:cs="Times New Roman"/>
          <w:noProof/>
          <w:sz w:val="24"/>
          <w:szCs w:val="24"/>
          <w:vertAlign w:val="superscript"/>
          <w:lang w:val="en-US"/>
        </w:rPr>
        <w:t>47</w:t>
      </w:r>
      <w:r w:rsidRPr="007B140B">
        <w:rPr>
          <w:rFonts w:ascii="Times New Roman" w:hAnsi="Times New Roman" w:cs="Times New Roman"/>
          <w:sz w:val="24"/>
          <w:szCs w:val="24"/>
          <w:lang w:val="en-US"/>
        </w:rPr>
        <w:fldChar w:fldCharType="end"/>
      </w:r>
      <w:r w:rsidR="00535E23">
        <w:rPr>
          <w:rFonts w:ascii="Times New Roman" w:hAnsi="Times New Roman" w:cs="Times New Roman"/>
          <w:sz w:val="24"/>
          <w:szCs w:val="24"/>
          <w:lang w:val="en-US"/>
        </w:rPr>
        <w:t xml:space="preserve"> </w:t>
      </w:r>
    </w:p>
    <w:p w14:paraId="6D5B8C5B" w14:textId="1FD683D2" w:rsidR="00883990" w:rsidRPr="007B140B" w:rsidRDefault="00883990" w:rsidP="00883990">
      <w:pPr>
        <w:ind w:left="1304"/>
        <w:rPr>
          <w:rFonts w:ascii="Times New Roman" w:hAnsi="Times New Roman" w:cs="Times New Roman"/>
          <w:i/>
          <w:sz w:val="24"/>
          <w:szCs w:val="24"/>
          <w:lang w:val="en-US"/>
        </w:rPr>
      </w:pPr>
      <w:r w:rsidRPr="007B140B">
        <w:rPr>
          <w:rFonts w:ascii="Times New Roman" w:hAnsi="Times New Roman" w:cs="Times New Roman"/>
          <w:i/>
          <w:sz w:val="24"/>
          <w:szCs w:val="24"/>
          <w:lang w:val="en-US"/>
        </w:rPr>
        <w:t xml:space="preserve">Medical and scientific judgement should be exercised in deciding whether expedited reporting is appropriate in other situations, such as important medical events that may not be immediately life-threatening or result in death or </w:t>
      </w:r>
      <w:proofErr w:type="spellStart"/>
      <w:r w:rsidRPr="007B140B">
        <w:rPr>
          <w:rFonts w:ascii="Times New Roman" w:hAnsi="Times New Roman" w:cs="Times New Roman"/>
          <w:i/>
          <w:sz w:val="24"/>
          <w:szCs w:val="24"/>
          <w:lang w:val="en-US"/>
        </w:rPr>
        <w:t>hospitalisation</w:t>
      </w:r>
      <w:proofErr w:type="spellEnd"/>
      <w:r w:rsidRPr="007B140B">
        <w:rPr>
          <w:rFonts w:ascii="Times New Roman" w:hAnsi="Times New Roman" w:cs="Times New Roman"/>
          <w:i/>
          <w:sz w:val="24"/>
          <w:szCs w:val="24"/>
          <w:lang w:val="en-US"/>
        </w:rPr>
        <w:t xml:space="preserve"> but may </w:t>
      </w:r>
      <w:proofErr w:type="spellStart"/>
      <w:r w:rsidRPr="007B140B">
        <w:rPr>
          <w:rFonts w:ascii="Times New Roman" w:hAnsi="Times New Roman" w:cs="Times New Roman"/>
          <w:i/>
          <w:sz w:val="24"/>
          <w:szCs w:val="24"/>
          <w:lang w:val="en-US"/>
        </w:rPr>
        <w:t>jeopardise</w:t>
      </w:r>
      <w:proofErr w:type="spellEnd"/>
      <w:r w:rsidRPr="007B140B">
        <w:rPr>
          <w:rFonts w:ascii="Times New Roman" w:hAnsi="Times New Roman" w:cs="Times New Roman"/>
          <w:i/>
          <w:sz w:val="24"/>
          <w:szCs w:val="24"/>
          <w:lang w:val="en-US"/>
        </w:rPr>
        <w:t xml:space="preserve"> the patient or may require intervention to prevent one of the other outcomes listed in the definition above. These should also usually be considered serious.</w:t>
      </w:r>
    </w:p>
    <w:p w14:paraId="3B244EFC" w14:textId="16E5905C" w:rsidR="00FE10C6" w:rsidRPr="007B140B" w:rsidRDefault="00FE10C6" w:rsidP="0054269A">
      <w:pPr>
        <w:rPr>
          <w:rFonts w:ascii="Times New Roman" w:hAnsi="Times New Roman" w:cs="Times New Roman"/>
          <w:sz w:val="24"/>
          <w:szCs w:val="24"/>
          <w:lang w:val="en-US"/>
        </w:rPr>
      </w:pPr>
    </w:p>
    <w:p w14:paraId="7FDFD7AF" w14:textId="11CA0B81" w:rsidR="00FE10C6" w:rsidRPr="007B140B" w:rsidRDefault="00FE10C6" w:rsidP="00D36611">
      <w:pPr>
        <w:pStyle w:val="Formatmall3"/>
        <w:rPr>
          <w:rFonts w:cs="Times New Roman"/>
          <w:lang w:val="en-US"/>
        </w:rPr>
      </w:pPr>
      <w:bookmarkStart w:id="43" w:name="_Toc99001414"/>
      <w:r w:rsidRPr="007B140B">
        <w:rPr>
          <w:rFonts w:cs="Times New Roman"/>
          <w:lang w:val="en-US"/>
        </w:rPr>
        <w:t>Adverse drug reactions</w:t>
      </w:r>
      <w:bookmarkEnd w:id="43"/>
    </w:p>
    <w:p w14:paraId="113C8D65" w14:textId="5289AF3A" w:rsidR="002A5D08" w:rsidRPr="007B140B" w:rsidRDefault="006212B5" w:rsidP="0054269A">
      <w:pPr>
        <w:rPr>
          <w:rFonts w:ascii="Times New Roman" w:hAnsi="Times New Roman" w:cs="Times New Roman"/>
          <w:sz w:val="24"/>
          <w:szCs w:val="24"/>
          <w:lang w:val="en-US"/>
        </w:rPr>
      </w:pPr>
      <w:r w:rsidRPr="007B140B">
        <w:rPr>
          <w:rFonts w:ascii="Times New Roman" w:hAnsi="Times New Roman" w:cs="Times New Roman"/>
          <w:sz w:val="24"/>
          <w:szCs w:val="24"/>
          <w:lang w:val="en-US"/>
        </w:rPr>
        <w:t>An adverse event</w:t>
      </w:r>
      <w:r w:rsidR="002A5D08" w:rsidRPr="007B140B">
        <w:rPr>
          <w:rFonts w:ascii="Times New Roman" w:hAnsi="Times New Roman" w:cs="Times New Roman"/>
          <w:sz w:val="24"/>
          <w:szCs w:val="24"/>
          <w:lang w:val="en-US"/>
        </w:rPr>
        <w:t xml:space="preserve"> </w:t>
      </w:r>
      <w:r w:rsidRPr="007B140B">
        <w:rPr>
          <w:rFonts w:ascii="Times New Roman" w:hAnsi="Times New Roman" w:cs="Times New Roman"/>
          <w:sz w:val="24"/>
          <w:szCs w:val="24"/>
          <w:lang w:val="en-US"/>
        </w:rPr>
        <w:t xml:space="preserve">will be </w:t>
      </w:r>
      <w:r w:rsidR="00703D9A" w:rsidRPr="007B140B">
        <w:rPr>
          <w:rFonts w:ascii="Times New Roman" w:hAnsi="Times New Roman" w:cs="Times New Roman"/>
          <w:sz w:val="24"/>
          <w:szCs w:val="24"/>
          <w:lang w:val="en-US"/>
        </w:rPr>
        <w:t xml:space="preserve">considered </w:t>
      </w:r>
      <w:r w:rsidRPr="007B140B">
        <w:rPr>
          <w:rFonts w:ascii="Times New Roman" w:hAnsi="Times New Roman" w:cs="Times New Roman"/>
          <w:sz w:val="24"/>
          <w:szCs w:val="24"/>
          <w:lang w:val="en-US"/>
        </w:rPr>
        <w:t>a</w:t>
      </w:r>
      <w:r w:rsidR="002A5D08" w:rsidRPr="007B140B">
        <w:rPr>
          <w:rFonts w:ascii="Times New Roman" w:hAnsi="Times New Roman" w:cs="Times New Roman"/>
          <w:sz w:val="24"/>
          <w:szCs w:val="24"/>
          <w:lang w:val="en-US"/>
        </w:rPr>
        <w:t>n</w:t>
      </w:r>
      <w:r w:rsidRPr="007B140B">
        <w:rPr>
          <w:rFonts w:ascii="Times New Roman" w:hAnsi="Times New Roman" w:cs="Times New Roman"/>
          <w:sz w:val="24"/>
          <w:szCs w:val="24"/>
          <w:lang w:val="en-US"/>
        </w:rPr>
        <w:t xml:space="preserve"> </w:t>
      </w:r>
      <w:r w:rsidRPr="007B140B">
        <w:rPr>
          <w:rFonts w:ascii="Times New Roman" w:hAnsi="Times New Roman" w:cs="Times New Roman"/>
          <w:i/>
          <w:sz w:val="24"/>
          <w:szCs w:val="24"/>
          <w:lang w:val="en-US"/>
        </w:rPr>
        <w:t xml:space="preserve">adverse </w:t>
      </w:r>
      <w:r w:rsidR="009B3600" w:rsidRPr="007B140B">
        <w:rPr>
          <w:rFonts w:ascii="Times New Roman" w:hAnsi="Times New Roman" w:cs="Times New Roman"/>
          <w:i/>
          <w:sz w:val="24"/>
          <w:szCs w:val="24"/>
          <w:lang w:val="en-US"/>
        </w:rPr>
        <w:t xml:space="preserve">drug </w:t>
      </w:r>
      <w:r w:rsidRPr="007B140B">
        <w:rPr>
          <w:rFonts w:ascii="Times New Roman" w:hAnsi="Times New Roman" w:cs="Times New Roman"/>
          <w:i/>
          <w:sz w:val="24"/>
          <w:szCs w:val="24"/>
          <w:lang w:val="en-US"/>
        </w:rPr>
        <w:t>reaction</w:t>
      </w:r>
      <w:r w:rsidR="00703D9A" w:rsidRPr="007B140B">
        <w:rPr>
          <w:rFonts w:ascii="Times New Roman" w:hAnsi="Times New Roman" w:cs="Times New Roman"/>
          <w:sz w:val="24"/>
          <w:szCs w:val="24"/>
          <w:lang w:val="en-US"/>
        </w:rPr>
        <w:t xml:space="preserve"> (i.e.</w:t>
      </w:r>
      <w:r w:rsidR="00DE60BD" w:rsidRPr="007B140B">
        <w:rPr>
          <w:rFonts w:ascii="Times New Roman" w:hAnsi="Times New Roman" w:cs="Times New Roman"/>
          <w:sz w:val="24"/>
          <w:szCs w:val="24"/>
          <w:lang w:val="en-US"/>
        </w:rPr>
        <w:t>,</w:t>
      </w:r>
      <w:r w:rsidR="00703D9A" w:rsidRPr="007B140B">
        <w:rPr>
          <w:rFonts w:ascii="Times New Roman" w:hAnsi="Times New Roman" w:cs="Times New Roman"/>
          <w:sz w:val="24"/>
          <w:szCs w:val="24"/>
          <w:lang w:val="en-US"/>
        </w:rPr>
        <w:t xml:space="preserve"> </w:t>
      </w:r>
      <w:r w:rsidR="0024602C" w:rsidRPr="007B140B">
        <w:rPr>
          <w:rFonts w:ascii="Times New Roman" w:hAnsi="Times New Roman" w:cs="Times New Roman"/>
          <w:sz w:val="24"/>
          <w:szCs w:val="24"/>
          <w:lang w:val="en-US"/>
        </w:rPr>
        <w:t xml:space="preserve">a </w:t>
      </w:r>
      <w:r w:rsidR="00E46D72" w:rsidRPr="007B140B">
        <w:rPr>
          <w:rFonts w:ascii="Times New Roman" w:hAnsi="Times New Roman" w:cs="Times New Roman"/>
          <w:sz w:val="24"/>
          <w:szCs w:val="24"/>
          <w:lang w:val="en-US"/>
        </w:rPr>
        <w:t>causal link is</w:t>
      </w:r>
      <w:r w:rsidR="00DE60BD" w:rsidRPr="007B140B">
        <w:rPr>
          <w:rFonts w:ascii="Times New Roman" w:hAnsi="Times New Roman" w:cs="Times New Roman"/>
          <w:sz w:val="24"/>
          <w:szCs w:val="24"/>
          <w:lang w:val="en-US"/>
        </w:rPr>
        <w:t xml:space="preserve"> </w:t>
      </w:r>
      <w:r w:rsidR="00703D9A" w:rsidRPr="007B140B">
        <w:rPr>
          <w:rFonts w:ascii="Times New Roman" w:hAnsi="Times New Roman" w:cs="Times New Roman"/>
          <w:sz w:val="24"/>
          <w:szCs w:val="24"/>
          <w:lang w:val="en-US"/>
        </w:rPr>
        <w:t xml:space="preserve">suspected) </w:t>
      </w:r>
      <w:r w:rsidRPr="007B140B">
        <w:rPr>
          <w:rFonts w:ascii="Times New Roman" w:hAnsi="Times New Roman" w:cs="Times New Roman"/>
          <w:sz w:val="24"/>
          <w:szCs w:val="24"/>
          <w:lang w:val="en-US"/>
        </w:rPr>
        <w:t xml:space="preserve">if either the sponsor or the investigator </w:t>
      </w:r>
      <w:r w:rsidR="00452128" w:rsidRPr="007B140B">
        <w:rPr>
          <w:rFonts w:ascii="Times New Roman" w:hAnsi="Times New Roman" w:cs="Times New Roman"/>
          <w:sz w:val="24"/>
          <w:szCs w:val="24"/>
          <w:lang w:val="en-US"/>
        </w:rPr>
        <w:t xml:space="preserve">considers there </w:t>
      </w:r>
      <w:r w:rsidR="0095441C" w:rsidRPr="007B140B">
        <w:rPr>
          <w:rFonts w:ascii="Times New Roman" w:hAnsi="Times New Roman" w:cs="Times New Roman"/>
          <w:sz w:val="24"/>
          <w:szCs w:val="24"/>
          <w:lang w:val="en-US"/>
        </w:rPr>
        <w:t xml:space="preserve">to be a reasonable possibility, </w:t>
      </w:r>
      <w:r w:rsidR="00452128" w:rsidRPr="007B140B">
        <w:rPr>
          <w:rFonts w:ascii="Times New Roman" w:hAnsi="Times New Roman" w:cs="Times New Roman"/>
          <w:sz w:val="24"/>
          <w:szCs w:val="24"/>
          <w:lang w:val="en-US"/>
        </w:rPr>
        <w:t xml:space="preserve">based on evidence </w:t>
      </w:r>
      <w:r w:rsidR="009B3600" w:rsidRPr="007B140B">
        <w:rPr>
          <w:rFonts w:ascii="Times New Roman" w:hAnsi="Times New Roman" w:cs="Times New Roman"/>
          <w:sz w:val="24"/>
          <w:szCs w:val="24"/>
          <w:lang w:val="en-US"/>
        </w:rPr>
        <w:t>or</w:t>
      </w:r>
      <w:r w:rsidR="0095441C" w:rsidRPr="007B140B">
        <w:rPr>
          <w:rFonts w:ascii="Times New Roman" w:hAnsi="Times New Roman" w:cs="Times New Roman"/>
          <w:sz w:val="24"/>
          <w:szCs w:val="24"/>
          <w:lang w:val="en-US"/>
        </w:rPr>
        <w:t xml:space="preserve"> arguments,</w:t>
      </w:r>
      <w:r w:rsidR="00452128" w:rsidRPr="007B140B">
        <w:rPr>
          <w:rFonts w:ascii="Times New Roman" w:hAnsi="Times New Roman" w:cs="Times New Roman"/>
          <w:sz w:val="24"/>
          <w:szCs w:val="24"/>
          <w:lang w:val="en-US"/>
        </w:rPr>
        <w:t xml:space="preserve"> that the event </w:t>
      </w:r>
      <w:r w:rsidR="009B3600" w:rsidRPr="007B140B">
        <w:rPr>
          <w:rFonts w:ascii="Times New Roman" w:hAnsi="Times New Roman" w:cs="Times New Roman"/>
          <w:sz w:val="24"/>
          <w:szCs w:val="24"/>
          <w:lang w:val="en-US"/>
        </w:rPr>
        <w:t xml:space="preserve">is </w:t>
      </w:r>
      <w:r w:rsidR="00452128" w:rsidRPr="007B140B">
        <w:rPr>
          <w:rFonts w:ascii="Times New Roman" w:hAnsi="Times New Roman" w:cs="Times New Roman"/>
          <w:sz w:val="24"/>
          <w:szCs w:val="24"/>
          <w:lang w:val="en-US"/>
        </w:rPr>
        <w:t>causally related to an investigational product</w:t>
      </w:r>
      <w:r w:rsidR="004E6847" w:rsidRPr="007B140B">
        <w:rPr>
          <w:rFonts w:ascii="Times New Roman" w:hAnsi="Times New Roman" w:cs="Times New Roman"/>
          <w:sz w:val="24"/>
          <w:szCs w:val="24"/>
          <w:lang w:val="en-US"/>
        </w:rPr>
        <w:t xml:space="preserve"> (</w:t>
      </w:r>
      <w:r w:rsidR="0095441C" w:rsidRPr="007B140B">
        <w:rPr>
          <w:rFonts w:ascii="Times New Roman" w:hAnsi="Times New Roman" w:cs="Times New Roman"/>
          <w:sz w:val="24"/>
          <w:szCs w:val="24"/>
          <w:lang w:val="en-US"/>
        </w:rPr>
        <w:t>zoledronic acid or placebo)</w:t>
      </w:r>
      <w:r w:rsidR="00452128" w:rsidRPr="007B140B">
        <w:rPr>
          <w:rFonts w:ascii="Times New Roman" w:hAnsi="Times New Roman" w:cs="Times New Roman"/>
          <w:sz w:val="24"/>
          <w:szCs w:val="24"/>
          <w:lang w:val="en-US"/>
        </w:rPr>
        <w:t>.</w:t>
      </w:r>
      <w:r w:rsidR="00747CFE" w:rsidRPr="007B140B">
        <w:rPr>
          <w:rFonts w:ascii="Times New Roman" w:hAnsi="Times New Roman" w:cs="Times New Roman"/>
          <w:sz w:val="24"/>
          <w:szCs w:val="24"/>
          <w:lang w:val="en-US"/>
        </w:rPr>
        <w:fldChar w:fldCharType="begin" w:fldLock="1"/>
      </w:r>
      <w:r w:rsidR="00272560">
        <w:rPr>
          <w:rFonts w:ascii="Times New Roman" w:hAnsi="Times New Roman" w:cs="Times New Roman"/>
          <w:sz w:val="24"/>
          <w:szCs w:val="24"/>
          <w:lang w:val="en-US"/>
        </w:rPr>
        <w:instrText>ADDIN CSL_CITATION {"citationItems":[{"id":"ITEM-1","itemData":{"abstract":"Adverse Event (AE) An adverse event is any untoward medical occurrence in a patient administered a medicinal product and which does not necessarily have to have a causal relationship with this treatment. An adverse event can therefore be any unfavorable and unintended sign (for example, an abnormal laboratory finding), symptom, or disease temporally associated with the use of a medicinal product, whether or not considered related to this medicinal product. Adverse drug reactions, as established by regional regulations, guidance, and practices, concern noxious and unintended responses to a medicinal product. The phrase “responses to a medicinal product” means that a causal relationship between a medicinal product and an adverse event is at least a reasonable possibility (refer to the ICH E2A guideline). A reaction, in contrast to an event, is characterized by the fact that a causal relationship between the drug and the occurrence is suspected. For regulatory reporting purposes, if an event is spontaneously reported, even if the relationship is unknown or unstated, it meets the definition of an adverse drug reaction.","author":[{"dropping-particle":"","family":"International Conference on Harmonisation of Technical Requirements for Registration of Pharmaceuticals for Human Use","given":"","non-dropping-particle":"","parse-names":false,"suffix":""}],"id":"ITEM-1","issued":{"date-parts":[["1994"]]},"title":"ICH harmonised tripartite guideline E2A: clinical safety data management: definitions and standards for expedited reporting","type":"book"},"uris":["http://www.mendeley.com/documents/?uuid=c194daf8-db70-40e3-8e72-b55661d13944"]}],"mendeley":{"formattedCitation":"&lt;sup&gt;&lt;sup&gt;47&lt;/sup&gt;&lt;/sup&gt;","plainTextFormattedCitation":"47","previouslyFormattedCitation":"&lt;sup&gt;&lt;sup&gt;47&lt;/sup&gt;&lt;/sup&gt;"},"properties":{"noteIndex":0},"schema":"https://github.com/citation-style-language/schema/raw/master/csl-citation.json"}</w:instrText>
      </w:r>
      <w:r w:rsidR="00747CFE" w:rsidRPr="007B140B">
        <w:rPr>
          <w:rFonts w:ascii="Times New Roman" w:hAnsi="Times New Roman" w:cs="Times New Roman"/>
          <w:sz w:val="24"/>
          <w:szCs w:val="24"/>
          <w:lang w:val="en-US"/>
        </w:rPr>
        <w:fldChar w:fldCharType="separate"/>
      </w:r>
      <w:r w:rsidR="0081127D" w:rsidRPr="0081127D">
        <w:rPr>
          <w:rFonts w:ascii="Times New Roman" w:hAnsi="Times New Roman" w:cs="Times New Roman"/>
          <w:noProof/>
          <w:sz w:val="24"/>
          <w:szCs w:val="24"/>
          <w:vertAlign w:val="superscript"/>
          <w:lang w:val="en-US"/>
        </w:rPr>
        <w:t>47</w:t>
      </w:r>
      <w:r w:rsidR="00747CFE" w:rsidRPr="007B140B">
        <w:rPr>
          <w:rFonts w:ascii="Times New Roman" w:hAnsi="Times New Roman" w:cs="Times New Roman"/>
          <w:sz w:val="24"/>
          <w:szCs w:val="24"/>
          <w:lang w:val="en-US"/>
        </w:rPr>
        <w:fldChar w:fldCharType="end"/>
      </w:r>
      <w:r w:rsidR="002A5D08" w:rsidRPr="007B140B">
        <w:rPr>
          <w:rFonts w:ascii="Times New Roman" w:hAnsi="Times New Roman" w:cs="Times New Roman"/>
          <w:sz w:val="24"/>
          <w:szCs w:val="24"/>
          <w:lang w:val="en-US"/>
        </w:rPr>
        <w:t xml:space="preserve"> </w:t>
      </w:r>
      <w:r w:rsidR="00DE60BD" w:rsidRPr="007B140B">
        <w:rPr>
          <w:rFonts w:ascii="Times New Roman" w:hAnsi="Times New Roman" w:cs="Times New Roman"/>
          <w:sz w:val="24"/>
          <w:szCs w:val="24"/>
          <w:lang w:val="en-US"/>
        </w:rPr>
        <w:t>T</w:t>
      </w:r>
      <w:r w:rsidR="00DC340B" w:rsidRPr="007B140B">
        <w:rPr>
          <w:rFonts w:ascii="Times New Roman" w:hAnsi="Times New Roman" w:cs="Times New Roman"/>
          <w:sz w:val="24"/>
          <w:szCs w:val="24"/>
          <w:lang w:val="en-US"/>
        </w:rPr>
        <w:t>his</w:t>
      </w:r>
      <w:r w:rsidR="00B91232" w:rsidRPr="007B140B">
        <w:rPr>
          <w:rFonts w:ascii="Times New Roman" w:hAnsi="Times New Roman" w:cs="Times New Roman"/>
          <w:sz w:val="24"/>
          <w:szCs w:val="24"/>
          <w:lang w:val="en-US"/>
        </w:rPr>
        <w:t xml:space="preserve"> definition of adverse drug</w:t>
      </w:r>
      <w:r w:rsidR="00DE60BD" w:rsidRPr="007B140B">
        <w:rPr>
          <w:rFonts w:ascii="Times New Roman" w:hAnsi="Times New Roman" w:cs="Times New Roman"/>
          <w:sz w:val="24"/>
          <w:szCs w:val="24"/>
          <w:lang w:val="en-US"/>
        </w:rPr>
        <w:t xml:space="preserve"> reaction</w:t>
      </w:r>
      <w:r w:rsidR="00B91232" w:rsidRPr="007B140B">
        <w:rPr>
          <w:rFonts w:ascii="Times New Roman" w:hAnsi="Times New Roman" w:cs="Times New Roman"/>
          <w:sz w:val="24"/>
          <w:szCs w:val="24"/>
          <w:lang w:val="en-US"/>
        </w:rPr>
        <w:t xml:space="preserve"> excludes adverse </w:t>
      </w:r>
      <w:r w:rsidR="004E65DE" w:rsidRPr="007B140B">
        <w:rPr>
          <w:rFonts w:ascii="Times New Roman" w:hAnsi="Times New Roman" w:cs="Times New Roman"/>
          <w:sz w:val="24"/>
          <w:szCs w:val="24"/>
          <w:lang w:val="en-US"/>
        </w:rPr>
        <w:t>reactions</w:t>
      </w:r>
      <w:r w:rsidR="00B91232" w:rsidRPr="007B140B">
        <w:rPr>
          <w:rFonts w:ascii="Times New Roman" w:hAnsi="Times New Roman" w:cs="Times New Roman"/>
          <w:sz w:val="24"/>
          <w:szCs w:val="24"/>
          <w:lang w:val="en-US"/>
        </w:rPr>
        <w:t xml:space="preserve"> to non-investigational products</w:t>
      </w:r>
      <w:r w:rsidR="00DC340B" w:rsidRPr="007B140B">
        <w:rPr>
          <w:rFonts w:ascii="Times New Roman" w:hAnsi="Times New Roman" w:cs="Times New Roman"/>
          <w:sz w:val="24"/>
          <w:szCs w:val="24"/>
          <w:lang w:val="en-US"/>
        </w:rPr>
        <w:t>,</w:t>
      </w:r>
      <w:r w:rsidR="00B91232" w:rsidRPr="007B140B">
        <w:rPr>
          <w:rFonts w:ascii="Times New Roman" w:hAnsi="Times New Roman" w:cs="Times New Roman"/>
          <w:sz w:val="24"/>
          <w:szCs w:val="24"/>
          <w:lang w:val="en-US"/>
        </w:rPr>
        <w:t xml:space="preserve"> such as concomitant medications.</w:t>
      </w:r>
      <w:r w:rsidR="00DE60BD" w:rsidRPr="007B140B">
        <w:rPr>
          <w:rFonts w:ascii="Times New Roman" w:hAnsi="Times New Roman" w:cs="Times New Roman"/>
          <w:sz w:val="24"/>
          <w:szCs w:val="24"/>
          <w:lang w:val="en-US"/>
        </w:rPr>
        <w:t xml:space="preserve"> If an adverse drug reaction </w:t>
      </w:r>
      <w:r w:rsidR="004B464B" w:rsidRPr="007B140B">
        <w:rPr>
          <w:rFonts w:ascii="Times New Roman" w:hAnsi="Times New Roman" w:cs="Times New Roman"/>
          <w:sz w:val="24"/>
          <w:szCs w:val="24"/>
          <w:lang w:val="en-US"/>
        </w:rPr>
        <w:t>meets the criteria for</w:t>
      </w:r>
      <w:r w:rsidR="00DE60BD" w:rsidRPr="007B140B">
        <w:rPr>
          <w:rFonts w:ascii="Times New Roman" w:hAnsi="Times New Roman" w:cs="Times New Roman"/>
          <w:sz w:val="24"/>
          <w:szCs w:val="24"/>
          <w:lang w:val="en-US"/>
        </w:rPr>
        <w:t xml:space="preserve"> serious</w:t>
      </w:r>
      <w:r w:rsidR="004B464B" w:rsidRPr="007B140B">
        <w:rPr>
          <w:rFonts w:ascii="Times New Roman" w:hAnsi="Times New Roman" w:cs="Times New Roman"/>
          <w:sz w:val="24"/>
          <w:szCs w:val="24"/>
          <w:lang w:val="en-US"/>
        </w:rPr>
        <w:t>ness</w:t>
      </w:r>
      <w:r w:rsidR="00DE60BD" w:rsidRPr="007B140B">
        <w:rPr>
          <w:rFonts w:ascii="Times New Roman" w:hAnsi="Times New Roman" w:cs="Times New Roman"/>
          <w:sz w:val="24"/>
          <w:szCs w:val="24"/>
          <w:lang w:val="en-US"/>
        </w:rPr>
        <w:t xml:space="preserve">, it will be classified as a </w:t>
      </w:r>
      <w:r w:rsidR="00DE60BD" w:rsidRPr="007B140B">
        <w:rPr>
          <w:rFonts w:ascii="Times New Roman" w:hAnsi="Times New Roman" w:cs="Times New Roman"/>
          <w:i/>
          <w:sz w:val="24"/>
          <w:szCs w:val="24"/>
          <w:lang w:val="en-US"/>
        </w:rPr>
        <w:t>serious adverse drug reaction</w:t>
      </w:r>
      <w:r w:rsidR="00DE60BD" w:rsidRPr="007B140B">
        <w:rPr>
          <w:rFonts w:ascii="Times New Roman" w:hAnsi="Times New Roman" w:cs="Times New Roman"/>
          <w:sz w:val="24"/>
          <w:szCs w:val="24"/>
          <w:lang w:val="en-US"/>
        </w:rPr>
        <w:t>.</w:t>
      </w:r>
      <w:r w:rsidR="00DE60BD" w:rsidRPr="007B140B">
        <w:rPr>
          <w:rFonts w:ascii="Times New Roman" w:hAnsi="Times New Roman" w:cs="Times New Roman"/>
          <w:sz w:val="24"/>
          <w:szCs w:val="24"/>
          <w:lang w:val="en-US"/>
        </w:rPr>
        <w:fldChar w:fldCharType="begin" w:fldLock="1"/>
      </w:r>
      <w:r w:rsidR="00272560">
        <w:rPr>
          <w:rFonts w:ascii="Times New Roman" w:hAnsi="Times New Roman" w:cs="Times New Roman"/>
          <w:sz w:val="24"/>
          <w:szCs w:val="24"/>
          <w:lang w:val="en-US"/>
        </w:rPr>
        <w:instrText>ADDIN CSL_CITATION {"citationItems":[{"id":"ITEM-1","itemData":{"abstract":"Adverse Event (AE) An adverse event is any untoward medical occurrence in a patient administered a medicinal product and which does not necessarily have to have a causal relationship with this treatment. An adverse event can therefore be any unfavorable and unintended sign (for example, an abnormal laboratory finding), symptom, or disease temporally associated with the use of a medicinal product, whether or not considered related to this medicinal product. Adverse drug reactions, as established by regional regulations, guidance, and practices, concern noxious and unintended responses to a medicinal product. The phrase “responses to a medicinal product” means that a causal relationship between a medicinal product and an adverse event is at least a reasonable possibility (refer to the ICH E2A guideline). A reaction, in contrast to an event, is characterized by the fact that a causal relationship between the drug and the occurrence is suspected. For regulatory reporting purposes, if an event is spontaneously reported, even if the relationship is unknown or unstated, it meets the definition of an adverse drug reaction.","author":[{"dropping-particle":"","family":"International Conference on Harmonisation of Technical Requirements for Registration of Pharmaceuticals for Human Use","given":"","non-dropping-particle":"","parse-names":false,"suffix":""}],"id":"ITEM-1","issued":{"date-parts":[["1994"]]},"title":"ICH harmonised tripartite guideline E2A: clinical safety data management: definitions and standards for expedited reporting","type":"book"},"uris":["http://www.mendeley.com/documents/?uuid=c194daf8-db70-40e3-8e72-b55661d13944"]}],"mendeley":{"formattedCitation":"&lt;sup&gt;&lt;sup&gt;47&lt;/sup&gt;&lt;/sup&gt;","plainTextFormattedCitation":"47","previouslyFormattedCitation":"&lt;sup&gt;&lt;sup&gt;47&lt;/sup&gt;&lt;/sup&gt;"},"properties":{"noteIndex":0},"schema":"https://github.com/citation-style-language/schema/raw/master/csl-citation.json"}</w:instrText>
      </w:r>
      <w:r w:rsidR="00DE60BD" w:rsidRPr="007B140B">
        <w:rPr>
          <w:rFonts w:ascii="Times New Roman" w:hAnsi="Times New Roman" w:cs="Times New Roman"/>
          <w:sz w:val="24"/>
          <w:szCs w:val="24"/>
          <w:lang w:val="en-US"/>
        </w:rPr>
        <w:fldChar w:fldCharType="separate"/>
      </w:r>
      <w:r w:rsidR="0081127D" w:rsidRPr="0081127D">
        <w:rPr>
          <w:rFonts w:ascii="Times New Roman" w:hAnsi="Times New Roman" w:cs="Times New Roman"/>
          <w:noProof/>
          <w:sz w:val="24"/>
          <w:szCs w:val="24"/>
          <w:vertAlign w:val="superscript"/>
          <w:lang w:val="en-US"/>
        </w:rPr>
        <w:t>47</w:t>
      </w:r>
      <w:r w:rsidR="00DE60BD" w:rsidRPr="007B140B">
        <w:rPr>
          <w:rFonts w:ascii="Times New Roman" w:hAnsi="Times New Roman" w:cs="Times New Roman"/>
          <w:sz w:val="24"/>
          <w:szCs w:val="24"/>
          <w:lang w:val="en-US"/>
        </w:rPr>
        <w:fldChar w:fldCharType="end"/>
      </w:r>
      <w:r w:rsidR="009B3961">
        <w:rPr>
          <w:rFonts w:ascii="Times New Roman" w:hAnsi="Times New Roman" w:cs="Times New Roman"/>
          <w:sz w:val="24"/>
          <w:szCs w:val="24"/>
          <w:lang w:val="en-US"/>
        </w:rPr>
        <w:t xml:space="preserve"> </w:t>
      </w:r>
    </w:p>
    <w:p w14:paraId="620E1A5D" w14:textId="77A1794B" w:rsidR="00FE10C6" w:rsidRPr="007B140B" w:rsidRDefault="00FE10C6" w:rsidP="0054269A">
      <w:pPr>
        <w:rPr>
          <w:rFonts w:ascii="Times New Roman" w:hAnsi="Times New Roman" w:cs="Times New Roman"/>
          <w:sz w:val="24"/>
          <w:szCs w:val="24"/>
          <w:lang w:val="en-US"/>
        </w:rPr>
      </w:pPr>
    </w:p>
    <w:p w14:paraId="08B738BF" w14:textId="4F0EBCE8" w:rsidR="00FE10C6" w:rsidRPr="007B140B" w:rsidRDefault="00FE10C6" w:rsidP="00D36611">
      <w:pPr>
        <w:pStyle w:val="Formatmall3"/>
        <w:rPr>
          <w:rFonts w:cs="Times New Roman"/>
          <w:lang w:val="en-US"/>
        </w:rPr>
      </w:pPr>
      <w:bookmarkStart w:id="44" w:name="_Toc99001415"/>
      <w:r w:rsidRPr="007B140B">
        <w:rPr>
          <w:rFonts w:cs="Times New Roman"/>
          <w:lang w:val="en-US"/>
        </w:rPr>
        <w:t>Unexpected and serious unexpected adverse reactions</w:t>
      </w:r>
      <w:bookmarkEnd w:id="44"/>
    </w:p>
    <w:p w14:paraId="209C99FD" w14:textId="7ECD8DC9" w:rsidR="00391EE0" w:rsidRPr="007B140B" w:rsidRDefault="002A5D08" w:rsidP="0054269A">
      <w:p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An adverse reaction will be classified as an </w:t>
      </w:r>
      <w:r w:rsidRPr="007B140B">
        <w:rPr>
          <w:rFonts w:ascii="Times New Roman" w:hAnsi="Times New Roman" w:cs="Times New Roman"/>
          <w:i/>
          <w:sz w:val="24"/>
          <w:szCs w:val="24"/>
          <w:lang w:val="en-US"/>
        </w:rPr>
        <w:t>unexpected adverse reaction</w:t>
      </w:r>
      <w:r w:rsidRPr="007B140B">
        <w:rPr>
          <w:rFonts w:ascii="Times New Roman" w:hAnsi="Times New Roman" w:cs="Times New Roman"/>
          <w:sz w:val="24"/>
          <w:szCs w:val="24"/>
          <w:lang w:val="en-US"/>
        </w:rPr>
        <w:t xml:space="preserve"> if it</w:t>
      </w:r>
      <w:r w:rsidR="009B3600" w:rsidRPr="007B140B">
        <w:rPr>
          <w:rFonts w:ascii="Times New Roman" w:hAnsi="Times New Roman" w:cs="Times New Roman"/>
          <w:sz w:val="24"/>
          <w:szCs w:val="24"/>
          <w:lang w:val="en-US"/>
        </w:rPr>
        <w:t xml:space="preserve">s nature or severity is </w:t>
      </w:r>
      <w:r w:rsidR="003C211F" w:rsidRPr="007B140B">
        <w:rPr>
          <w:rFonts w:ascii="Times New Roman" w:hAnsi="Times New Roman" w:cs="Times New Roman"/>
          <w:sz w:val="24"/>
          <w:szCs w:val="24"/>
          <w:lang w:val="en-US"/>
        </w:rPr>
        <w:t>in</w:t>
      </w:r>
      <w:r w:rsidR="007F58F2" w:rsidRPr="007B140B">
        <w:rPr>
          <w:rFonts w:ascii="Times New Roman" w:hAnsi="Times New Roman" w:cs="Times New Roman"/>
          <w:sz w:val="24"/>
          <w:szCs w:val="24"/>
          <w:lang w:val="en-US"/>
        </w:rPr>
        <w:t>consistent with the S</w:t>
      </w:r>
      <w:r w:rsidR="009B3600" w:rsidRPr="007B140B">
        <w:rPr>
          <w:rFonts w:ascii="Times New Roman" w:hAnsi="Times New Roman" w:cs="Times New Roman"/>
          <w:sz w:val="24"/>
          <w:szCs w:val="24"/>
          <w:lang w:val="en-US"/>
        </w:rPr>
        <w:t>u</w:t>
      </w:r>
      <w:r w:rsidR="007F58F2" w:rsidRPr="007B140B">
        <w:rPr>
          <w:rFonts w:ascii="Times New Roman" w:hAnsi="Times New Roman" w:cs="Times New Roman"/>
          <w:sz w:val="24"/>
          <w:szCs w:val="24"/>
          <w:lang w:val="en-US"/>
        </w:rPr>
        <w:t>mmary of Product C</w:t>
      </w:r>
      <w:r w:rsidR="009B3600" w:rsidRPr="007B140B">
        <w:rPr>
          <w:rFonts w:ascii="Times New Roman" w:hAnsi="Times New Roman" w:cs="Times New Roman"/>
          <w:sz w:val="24"/>
          <w:szCs w:val="24"/>
          <w:lang w:val="en-US"/>
        </w:rPr>
        <w:t>haracteristics.</w:t>
      </w:r>
      <w:r w:rsidR="00747CFE" w:rsidRPr="007B140B">
        <w:rPr>
          <w:rFonts w:ascii="Times New Roman" w:hAnsi="Times New Roman" w:cs="Times New Roman"/>
          <w:sz w:val="24"/>
          <w:szCs w:val="24"/>
          <w:lang w:val="en-US"/>
        </w:rPr>
        <w:fldChar w:fldCharType="begin" w:fldLock="1"/>
      </w:r>
      <w:r w:rsidR="00272560">
        <w:rPr>
          <w:rFonts w:ascii="Times New Roman" w:hAnsi="Times New Roman" w:cs="Times New Roman"/>
          <w:sz w:val="24"/>
          <w:szCs w:val="24"/>
          <w:lang w:val="en-US"/>
        </w:rPr>
        <w:instrText>ADDIN CSL_CITATION {"citationItems":[{"id":"ITEM-1","itemData":{"id":"ITEM-1","issued":{"date-parts":[["2009"]]},"title":"Directive 2001/20/EC of the European Parliament and of the Council of 4 April 2001 on the approximation of the laws, regulations, and administrative provisions of the Member States relating to the implementation of good clinical practice in the conduct of","type":"book"},"uris":["http://www.mendeley.com/documents/?uuid=57db7409-4aee-4339-aeef-660f87a3714d"]}],"mendeley":{"formattedCitation":"&lt;sup&gt;&lt;sup&gt;49&lt;/sup&gt;&lt;/sup&gt;","plainTextFormattedCitation":"49","previouslyFormattedCitation":"&lt;sup&gt;&lt;sup&gt;49&lt;/sup&gt;&lt;/sup&gt;"},"properties":{"noteIndex":0},"schema":"https://github.com/citation-style-language/schema/raw/master/csl-citation.json"}</w:instrText>
      </w:r>
      <w:r w:rsidR="00747CFE" w:rsidRPr="007B140B">
        <w:rPr>
          <w:rFonts w:ascii="Times New Roman" w:hAnsi="Times New Roman" w:cs="Times New Roman"/>
          <w:sz w:val="24"/>
          <w:szCs w:val="24"/>
          <w:lang w:val="en-US"/>
        </w:rPr>
        <w:fldChar w:fldCharType="separate"/>
      </w:r>
      <w:r w:rsidR="0081127D" w:rsidRPr="0081127D">
        <w:rPr>
          <w:rFonts w:ascii="Times New Roman" w:hAnsi="Times New Roman" w:cs="Times New Roman"/>
          <w:noProof/>
          <w:sz w:val="24"/>
          <w:szCs w:val="24"/>
          <w:vertAlign w:val="superscript"/>
          <w:lang w:val="en-US"/>
        </w:rPr>
        <w:t>49</w:t>
      </w:r>
      <w:r w:rsidR="00747CFE" w:rsidRPr="007B140B">
        <w:rPr>
          <w:rFonts w:ascii="Times New Roman" w:hAnsi="Times New Roman" w:cs="Times New Roman"/>
          <w:sz w:val="24"/>
          <w:szCs w:val="24"/>
          <w:lang w:val="en-US"/>
        </w:rPr>
        <w:fldChar w:fldCharType="end"/>
      </w:r>
      <w:r w:rsidR="009B3600" w:rsidRPr="007B140B">
        <w:rPr>
          <w:rFonts w:ascii="Times New Roman" w:hAnsi="Times New Roman" w:cs="Times New Roman"/>
          <w:sz w:val="24"/>
          <w:szCs w:val="24"/>
          <w:lang w:val="en-US"/>
        </w:rPr>
        <w:t xml:space="preserve"> If the unexpected adverse reaction is serious, it will be classified as a s</w:t>
      </w:r>
      <w:r w:rsidR="00391EE0" w:rsidRPr="007B140B">
        <w:rPr>
          <w:rFonts w:ascii="Times New Roman" w:hAnsi="Times New Roman" w:cs="Times New Roman"/>
          <w:i/>
          <w:sz w:val="24"/>
          <w:szCs w:val="24"/>
          <w:lang w:val="en-US"/>
        </w:rPr>
        <w:t>uspected unexpected serious adverse reaction</w:t>
      </w:r>
      <w:r w:rsidR="003C211F" w:rsidRPr="007B140B">
        <w:rPr>
          <w:rFonts w:ascii="Times New Roman" w:hAnsi="Times New Roman" w:cs="Times New Roman"/>
          <w:i/>
          <w:sz w:val="24"/>
          <w:szCs w:val="24"/>
          <w:lang w:val="en-US"/>
        </w:rPr>
        <w:t xml:space="preserve"> </w:t>
      </w:r>
      <w:r w:rsidR="003C211F" w:rsidRPr="007B140B">
        <w:rPr>
          <w:rFonts w:ascii="Times New Roman" w:hAnsi="Times New Roman" w:cs="Times New Roman"/>
          <w:sz w:val="24"/>
          <w:szCs w:val="24"/>
          <w:lang w:val="en-US"/>
        </w:rPr>
        <w:t>(SUSAR).</w:t>
      </w:r>
      <w:r w:rsidR="00747CFE" w:rsidRPr="007B140B">
        <w:rPr>
          <w:rFonts w:ascii="Times New Roman" w:hAnsi="Times New Roman" w:cs="Times New Roman"/>
          <w:sz w:val="24"/>
          <w:szCs w:val="24"/>
          <w:lang w:val="en-US"/>
        </w:rPr>
        <w:fldChar w:fldCharType="begin" w:fldLock="1"/>
      </w:r>
      <w:r w:rsidR="00272560">
        <w:rPr>
          <w:rFonts w:ascii="Times New Roman" w:hAnsi="Times New Roman" w:cs="Times New Roman"/>
          <w:sz w:val="24"/>
          <w:szCs w:val="24"/>
          <w:lang w:val="en-US"/>
        </w:rPr>
        <w:instrText>ADDIN CSL_CITATION {"citationItems":[{"id":"ITEM-1","itemData":{"id":"ITEM-1","issued":{"date-parts":[["2009"]]},"title":"Directive 2001/20/EC of the European Parliament and of the Council of 4 April 2001 on the approximation of the laws, regulations, and administrative provisions of the Member States relating to the implementation of good clinical practice in the conduct of","type":"book"},"uris":["http://www.mendeley.com/documents/?uuid=57db7409-4aee-4339-aeef-660f87a3714d"]}],"mendeley":{"formattedCitation":"&lt;sup&gt;&lt;sup&gt;49&lt;/sup&gt;&lt;/sup&gt;","plainTextFormattedCitation":"49","previouslyFormattedCitation":"&lt;sup&gt;&lt;sup&gt;49&lt;/sup&gt;&lt;/sup&gt;"},"properties":{"noteIndex":0},"schema":"https://github.com/citation-style-language/schema/raw/master/csl-citation.json"}</w:instrText>
      </w:r>
      <w:r w:rsidR="00747CFE" w:rsidRPr="007B140B">
        <w:rPr>
          <w:rFonts w:ascii="Times New Roman" w:hAnsi="Times New Roman" w:cs="Times New Roman"/>
          <w:sz w:val="24"/>
          <w:szCs w:val="24"/>
          <w:lang w:val="en-US"/>
        </w:rPr>
        <w:fldChar w:fldCharType="separate"/>
      </w:r>
      <w:r w:rsidR="0081127D" w:rsidRPr="0081127D">
        <w:rPr>
          <w:rFonts w:ascii="Times New Roman" w:hAnsi="Times New Roman" w:cs="Times New Roman"/>
          <w:noProof/>
          <w:sz w:val="24"/>
          <w:szCs w:val="24"/>
          <w:vertAlign w:val="superscript"/>
          <w:lang w:val="en-US"/>
        </w:rPr>
        <w:t>49</w:t>
      </w:r>
      <w:r w:rsidR="00747CFE" w:rsidRPr="007B140B">
        <w:rPr>
          <w:rFonts w:ascii="Times New Roman" w:hAnsi="Times New Roman" w:cs="Times New Roman"/>
          <w:sz w:val="24"/>
          <w:szCs w:val="24"/>
          <w:lang w:val="en-US"/>
        </w:rPr>
        <w:fldChar w:fldCharType="end"/>
      </w:r>
    </w:p>
    <w:p w14:paraId="2632EE4C" w14:textId="7AFD5E57" w:rsidR="00863AF9" w:rsidRDefault="00AD0705" w:rsidP="00EF4AD2">
      <w:pPr>
        <w:rPr>
          <w:rFonts w:ascii="Times New Roman" w:hAnsi="Times New Roman" w:cs="Times New Roman"/>
          <w:sz w:val="24"/>
          <w:szCs w:val="24"/>
          <w:lang w:val="en-US"/>
        </w:rPr>
      </w:pPr>
      <w:r w:rsidRPr="007B140B">
        <w:rPr>
          <w:rFonts w:ascii="Times New Roman" w:hAnsi="Times New Roman" w:cs="Times New Roman"/>
          <w:sz w:val="24"/>
          <w:szCs w:val="24"/>
          <w:lang w:val="en-US"/>
        </w:rPr>
        <w:t>In accordance with EU guidelines (Paragraph 29),</w:t>
      </w:r>
      <w:r w:rsidRPr="007B140B">
        <w:rPr>
          <w:rFonts w:ascii="Times New Roman" w:hAnsi="Times New Roman" w:cs="Times New Roman"/>
          <w:sz w:val="24"/>
          <w:szCs w:val="24"/>
          <w:lang w:val="en-US"/>
        </w:rPr>
        <w:fldChar w:fldCharType="begin" w:fldLock="1"/>
      </w:r>
      <w:r w:rsidR="00272560">
        <w:rPr>
          <w:rFonts w:ascii="Times New Roman" w:hAnsi="Times New Roman" w:cs="Times New Roman"/>
          <w:sz w:val="24"/>
          <w:szCs w:val="24"/>
          <w:lang w:val="en-US"/>
        </w:rPr>
        <w:instrText>ADDIN CSL_CITATION {"citationItems":[{"id":"ITEM-1","itemData":{"author":[{"dropping-particle":"","family":"European Commission","given":"","non-dropping-particle":"","parse-names":false,"suffix":""}],"id":"ITEM-1","issued":{"date-parts":[["2011"]]},"title":"Communication from the Commission — detailed guidance on the collection, verification and presentation of adverse event/reaction reports arising from clinical trials on medicinal products for human use (‘CT-3’) (2011/C 172/01)","type":"book","volume":"C"},"uris":["http://www.mendeley.com/documents/?uuid=18ded4de-5706-447a-ab3b-f3f552caeaf7"]}],"mendeley":{"formattedCitation":"&lt;sup&gt;&lt;sup&gt;50&lt;/sup&gt;&lt;/sup&gt;","plainTextFormattedCitation":"50","previouslyFormattedCitation":"&lt;sup&gt;&lt;sup&gt;50&lt;/sup&gt;&lt;/sup&gt;"},"properties":{"noteIndex":0},"schema":"https://github.com/citation-style-language/schema/raw/master/csl-citation.json"}</w:instrText>
      </w:r>
      <w:r w:rsidRPr="007B140B">
        <w:rPr>
          <w:rFonts w:ascii="Times New Roman" w:hAnsi="Times New Roman" w:cs="Times New Roman"/>
          <w:sz w:val="24"/>
          <w:szCs w:val="24"/>
          <w:lang w:val="en-US"/>
        </w:rPr>
        <w:fldChar w:fldCharType="separate"/>
      </w:r>
      <w:r w:rsidR="0081127D" w:rsidRPr="0081127D">
        <w:rPr>
          <w:rFonts w:ascii="Times New Roman" w:hAnsi="Times New Roman" w:cs="Times New Roman"/>
          <w:noProof/>
          <w:sz w:val="24"/>
          <w:szCs w:val="24"/>
          <w:vertAlign w:val="superscript"/>
          <w:lang w:val="en-US"/>
        </w:rPr>
        <w:t>50</w:t>
      </w:r>
      <w:r w:rsidRPr="007B140B">
        <w:rPr>
          <w:rFonts w:ascii="Times New Roman" w:hAnsi="Times New Roman" w:cs="Times New Roman"/>
          <w:sz w:val="24"/>
          <w:szCs w:val="24"/>
          <w:lang w:val="en-US"/>
        </w:rPr>
        <w:fldChar w:fldCharType="end"/>
      </w:r>
      <w:r w:rsidRPr="007B140B">
        <w:rPr>
          <w:rFonts w:ascii="Times New Roman" w:hAnsi="Times New Roman" w:cs="Times New Roman"/>
          <w:sz w:val="24"/>
          <w:szCs w:val="24"/>
          <w:lang w:val="en-US"/>
        </w:rPr>
        <w:t xml:space="preserve"> i</w:t>
      </w:r>
      <w:r w:rsidR="00EF4AD2" w:rsidRPr="007B140B">
        <w:rPr>
          <w:rFonts w:ascii="Times New Roman" w:hAnsi="Times New Roman" w:cs="Times New Roman"/>
          <w:sz w:val="24"/>
          <w:szCs w:val="24"/>
          <w:lang w:val="en-US"/>
        </w:rPr>
        <w:t>nvestigators must report serious adverse events to the sponsor within 24 hours</w:t>
      </w:r>
      <w:r w:rsidR="00D933CB" w:rsidRPr="007B140B">
        <w:rPr>
          <w:rFonts w:ascii="Times New Roman" w:hAnsi="Times New Roman" w:cs="Times New Roman"/>
          <w:sz w:val="24"/>
          <w:szCs w:val="24"/>
          <w:lang w:val="en-US"/>
        </w:rPr>
        <w:t xml:space="preserve"> of becoming aware of them</w:t>
      </w:r>
      <w:r w:rsidRPr="007B140B">
        <w:rPr>
          <w:rFonts w:ascii="Times New Roman" w:hAnsi="Times New Roman" w:cs="Times New Roman"/>
          <w:sz w:val="24"/>
          <w:szCs w:val="24"/>
          <w:lang w:val="en-US"/>
        </w:rPr>
        <w:t xml:space="preserve">. </w:t>
      </w:r>
      <w:r w:rsidR="00D933CB" w:rsidRPr="007B140B">
        <w:rPr>
          <w:rFonts w:ascii="Times New Roman" w:hAnsi="Times New Roman" w:cs="Times New Roman"/>
          <w:sz w:val="24"/>
          <w:szCs w:val="24"/>
          <w:lang w:val="en-US"/>
        </w:rPr>
        <w:t xml:space="preserve">If the adverse event is a SUSAR, the sponsor will report it to the Swedish Medical Products Agency and </w:t>
      </w:r>
      <w:r w:rsidR="0027420D" w:rsidRPr="007B140B">
        <w:rPr>
          <w:rFonts w:ascii="Times New Roman" w:hAnsi="Times New Roman" w:cs="Times New Roman"/>
          <w:sz w:val="24"/>
          <w:szCs w:val="24"/>
          <w:lang w:val="en-US"/>
        </w:rPr>
        <w:t xml:space="preserve">to </w:t>
      </w:r>
      <w:r w:rsidR="00D933CB" w:rsidRPr="007B140B">
        <w:rPr>
          <w:rFonts w:ascii="Times New Roman" w:hAnsi="Times New Roman" w:cs="Times New Roman"/>
          <w:sz w:val="24"/>
          <w:szCs w:val="24"/>
          <w:lang w:val="en-US"/>
        </w:rPr>
        <w:t>the Swedish Ethical Review Authority.</w:t>
      </w:r>
      <w:r w:rsidR="007F0908" w:rsidRPr="007B140B">
        <w:rPr>
          <w:rFonts w:ascii="Times New Roman" w:hAnsi="Times New Roman" w:cs="Times New Roman"/>
          <w:sz w:val="24"/>
          <w:szCs w:val="24"/>
          <w:lang w:val="en-US"/>
        </w:rPr>
        <w:fldChar w:fldCharType="begin" w:fldLock="1"/>
      </w:r>
      <w:r w:rsidR="00272560">
        <w:rPr>
          <w:rFonts w:ascii="Times New Roman" w:hAnsi="Times New Roman" w:cs="Times New Roman"/>
          <w:sz w:val="24"/>
          <w:szCs w:val="24"/>
          <w:lang w:val="en-US"/>
        </w:rPr>
        <w:instrText>ADDIN CSL_CITATION {"citationItems":[{"id":"ITEM-1","itemData":{"id":"ITEM-1","issued":{"date-parts":[["2009"]]},"title":"Directive 2001/20/EC of the European Parliament and of the Council of 4 April 2001 on the approximation of the laws, regulations, and administrative provisions of the Member States relating to the implementation of good clinical practice in the conduct of","type":"book"},"uris":["http://www.mendeley.com/documents/?uuid=57db7409-4aee-4339-aeef-660f87a3714d"]}],"mendeley":{"formattedCitation":"&lt;sup&gt;&lt;sup&gt;49&lt;/sup&gt;&lt;/sup&gt;","plainTextFormattedCitation":"49","previouslyFormattedCitation":"&lt;sup&gt;&lt;sup&gt;49&lt;/sup&gt;&lt;/sup&gt;"},"properties":{"noteIndex":0},"schema":"https://github.com/citation-style-language/schema/raw/master/csl-citation.json"}</w:instrText>
      </w:r>
      <w:r w:rsidR="007F0908" w:rsidRPr="007B140B">
        <w:rPr>
          <w:rFonts w:ascii="Times New Roman" w:hAnsi="Times New Roman" w:cs="Times New Roman"/>
          <w:sz w:val="24"/>
          <w:szCs w:val="24"/>
          <w:lang w:val="en-US"/>
        </w:rPr>
        <w:fldChar w:fldCharType="separate"/>
      </w:r>
      <w:r w:rsidR="0081127D" w:rsidRPr="0081127D">
        <w:rPr>
          <w:rFonts w:ascii="Times New Roman" w:hAnsi="Times New Roman" w:cs="Times New Roman"/>
          <w:noProof/>
          <w:sz w:val="24"/>
          <w:szCs w:val="24"/>
          <w:vertAlign w:val="superscript"/>
          <w:lang w:val="en-US"/>
        </w:rPr>
        <w:t>49</w:t>
      </w:r>
      <w:r w:rsidR="007F0908" w:rsidRPr="007B140B">
        <w:rPr>
          <w:rFonts w:ascii="Times New Roman" w:hAnsi="Times New Roman" w:cs="Times New Roman"/>
          <w:sz w:val="24"/>
          <w:szCs w:val="24"/>
          <w:lang w:val="en-US"/>
        </w:rPr>
        <w:fldChar w:fldCharType="end"/>
      </w:r>
      <w:r w:rsidR="00D933CB" w:rsidRPr="007B140B">
        <w:rPr>
          <w:rFonts w:ascii="Times New Roman" w:hAnsi="Times New Roman" w:cs="Times New Roman"/>
          <w:sz w:val="24"/>
          <w:szCs w:val="24"/>
          <w:lang w:val="en-US"/>
        </w:rPr>
        <w:t xml:space="preserve"> SUSARs that are fatal or life-threatening will be reported within</w:t>
      </w:r>
      <w:r w:rsidR="00D611DC" w:rsidRPr="007B140B">
        <w:rPr>
          <w:rFonts w:ascii="Times New Roman" w:hAnsi="Times New Roman" w:cs="Times New Roman"/>
          <w:sz w:val="24"/>
          <w:szCs w:val="24"/>
          <w:lang w:val="en-US"/>
        </w:rPr>
        <w:t xml:space="preserve"> 7 days, and r</w:t>
      </w:r>
      <w:r w:rsidR="00D933CB" w:rsidRPr="007B140B">
        <w:rPr>
          <w:rFonts w:ascii="Times New Roman" w:hAnsi="Times New Roman" w:cs="Times New Roman"/>
          <w:sz w:val="24"/>
          <w:szCs w:val="24"/>
          <w:lang w:val="en-US"/>
        </w:rPr>
        <w:t xml:space="preserve">elevant follow-up information </w:t>
      </w:r>
      <w:r w:rsidR="00507E8F" w:rsidRPr="007B140B">
        <w:rPr>
          <w:rFonts w:ascii="Times New Roman" w:hAnsi="Times New Roman" w:cs="Times New Roman"/>
          <w:sz w:val="24"/>
          <w:szCs w:val="24"/>
          <w:lang w:val="en-US"/>
        </w:rPr>
        <w:t xml:space="preserve">will be reported </w:t>
      </w:r>
      <w:r w:rsidR="00D933CB" w:rsidRPr="007B140B">
        <w:rPr>
          <w:rFonts w:ascii="Times New Roman" w:hAnsi="Times New Roman" w:cs="Times New Roman"/>
          <w:sz w:val="24"/>
          <w:szCs w:val="24"/>
          <w:lang w:val="en-US"/>
        </w:rPr>
        <w:t xml:space="preserve">within an additional 8 days. Other SUSARs </w:t>
      </w:r>
      <w:r w:rsidR="00D345FF" w:rsidRPr="007B140B">
        <w:rPr>
          <w:rFonts w:ascii="Times New Roman" w:hAnsi="Times New Roman" w:cs="Times New Roman"/>
          <w:sz w:val="24"/>
          <w:szCs w:val="24"/>
          <w:lang w:val="en-US"/>
        </w:rPr>
        <w:t>will be</w:t>
      </w:r>
      <w:r w:rsidR="00D933CB" w:rsidRPr="007B140B">
        <w:rPr>
          <w:rFonts w:ascii="Times New Roman" w:hAnsi="Times New Roman" w:cs="Times New Roman"/>
          <w:sz w:val="24"/>
          <w:szCs w:val="24"/>
          <w:lang w:val="en-US"/>
        </w:rPr>
        <w:t xml:space="preserve"> reported </w:t>
      </w:r>
      <w:r w:rsidR="00D611DC" w:rsidRPr="007B140B">
        <w:rPr>
          <w:rFonts w:ascii="Times New Roman" w:hAnsi="Times New Roman" w:cs="Times New Roman"/>
          <w:sz w:val="24"/>
          <w:szCs w:val="24"/>
          <w:lang w:val="en-US"/>
        </w:rPr>
        <w:t>within</w:t>
      </w:r>
      <w:r w:rsidR="00D933CB" w:rsidRPr="007B140B">
        <w:rPr>
          <w:rFonts w:ascii="Times New Roman" w:hAnsi="Times New Roman" w:cs="Times New Roman"/>
          <w:sz w:val="24"/>
          <w:szCs w:val="24"/>
          <w:lang w:val="en-US"/>
        </w:rPr>
        <w:t xml:space="preserve"> 15 days.</w:t>
      </w:r>
      <w:r w:rsidR="00D611DC" w:rsidRPr="007B140B">
        <w:rPr>
          <w:rFonts w:ascii="Times New Roman" w:hAnsi="Times New Roman" w:cs="Times New Roman"/>
          <w:sz w:val="24"/>
          <w:szCs w:val="24"/>
          <w:lang w:val="en-US"/>
        </w:rPr>
        <w:t xml:space="preserve"> The sponsor will inform a</w:t>
      </w:r>
      <w:r w:rsidR="00D933CB" w:rsidRPr="007B140B">
        <w:rPr>
          <w:rFonts w:ascii="Times New Roman" w:hAnsi="Times New Roman" w:cs="Times New Roman"/>
          <w:sz w:val="24"/>
          <w:szCs w:val="24"/>
          <w:lang w:val="en-US"/>
        </w:rPr>
        <w:t>ll principal investigators of SUSARs that occur.</w:t>
      </w:r>
    </w:p>
    <w:p w14:paraId="2F868C30" w14:textId="1303ECBA" w:rsidR="00685D32" w:rsidRPr="007B140B" w:rsidRDefault="00685D32" w:rsidP="00BF193B">
      <w:pPr>
        <w:pStyle w:val="Formatmall3"/>
        <w:rPr>
          <w:lang w:val="en-US"/>
        </w:rPr>
      </w:pPr>
      <w:bookmarkStart w:id="45" w:name="_Toc99001416"/>
      <w:r>
        <w:rPr>
          <w:lang w:val="en-US"/>
        </w:rPr>
        <w:t>Development Safety Update Report</w:t>
      </w:r>
      <w:bookmarkEnd w:id="45"/>
    </w:p>
    <w:p w14:paraId="17B74E9B" w14:textId="6393580B" w:rsidR="00163E13" w:rsidRPr="007B140B" w:rsidRDefault="00163E13" w:rsidP="00EF4AD2">
      <w:pPr>
        <w:rPr>
          <w:rFonts w:ascii="Times New Roman" w:hAnsi="Times New Roman" w:cs="Times New Roman"/>
          <w:iCs/>
          <w:color w:val="000000" w:themeColor="text1"/>
          <w:sz w:val="24"/>
          <w:szCs w:val="24"/>
          <w:lang w:val="en-US"/>
        </w:rPr>
      </w:pPr>
      <w:r w:rsidRPr="007B140B">
        <w:rPr>
          <w:rFonts w:ascii="Times New Roman" w:hAnsi="Times New Roman" w:cs="Times New Roman"/>
          <w:sz w:val="24"/>
          <w:szCs w:val="24"/>
          <w:lang w:val="en-US"/>
        </w:rPr>
        <w:t>With the help of the University Hospital of Umeå Clinical Research Centre, t</w:t>
      </w:r>
      <w:r w:rsidRPr="007B140B">
        <w:rPr>
          <w:rFonts w:ascii="Times New Roman" w:hAnsi="Times New Roman" w:cs="Times New Roman"/>
          <w:iCs/>
          <w:color w:val="000000" w:themeColor="text1"/>
          <w:sz w:val="24"/>
          <w:szCs w:val="24"/>
          <w:lang w:val="en-US"/>
        </w:rPr>
        <w:t xml:space="preserve">he sponsor will submit </w:t>
      </w:r>
      <w:r w:rsidR="001D2C90" w:rsidRPr="007B140B">
        <w:rPr>
          <w:rFonts w:ascii="Times New Roman" w:hAnsi="Times New Roman" w:cs="Times New Roman"/>
          <w:iCs/>
          <w:color w:val="000000" w:themeColor="text1"/>
          <w:sz w:val="24"/>
          <w:szCs w:val="24"/>
          <w:lang w:val="en-US"/>
        </w:rPr>
        <w:t>to the Swedish Medical Products Agency</w:t>
      </w:r>
      <w:r w:rsidR="00F63356">
        <w:rPr>
          <w:rFonts w:ascii="Times New Roman" w:hAnsi="Times New Roman" w:cs="Times New Roman"/>
          <w:iCs/>
          <w:color w:val="000000" w:themeColor="text1"/>
          <w:sz w:val="24"/>
          <w:szCs w:val="24"/>
          <w:lang w:val="en-US"/>
        </w:rPr>
        <w:t xml:space="preserve"> and the Swedish Ethical Review Authority</w:t>
      </w:r>
      <w:r w:rsidR="001D2C90" w:rsidRPr="007B140B">
        <w:rPr>
          <w:rFonts w:ascii="Times New Roman" w:hAnsi="Times New Roman" w:cs="Times New Roman"/>
          <w:iCs/>
          <w:color w:val="000000" w:themeColor="text1"/>
          <w:sz w:val="24"/>
          <w:szCs w:val="24"/>
          <w:lang w:val="en-US"/>
        </w:rPr>
        <w:t xml:space="preserve"> </w:t>
      </w:r>
      <w:r w:rsidRPr="007B140B">
        <w:rPr>
          <w:rFonts w:ascii="Times New Roman" w:hAnsi="Times New Roman" w:cs="Times New Roman"/>
          <w:iCs/>
          <w:color w:val="000000" w:themeColor="text1"/>
          <w:sz w:val="24"/>
          <w:szCs w:val="24"/>
          <w:lang w:val="en-US"/>
        </w:rPr>
        <w:t xml:space="preserve">an annual Development Safety Update Report (DSUR), listing all serious adverse events and evaluating participant safety, as required by regulations (8 </w:t>
      </w:r>
      <w:r w:rsidR="00A67860">
        <w:rPr>
          <w:rFonts w:ascii="Times New Roman" w:hAnsi="Times New Roman" w:cs="Times New Roman"/>
          <w:iCs/>
          <w:color w:val="000000" w:themeColor="text1"/>
          <w:sz w:val="24"/>
          <w:szCs w:val="24"/>
          <w:lang w:val="en-US"/>
        </w:rPr>
        <w:t>Ch</w:t>
      </w:r>
      <w:r w:rsidRPr="007B140B">
        <w:rPr>
          <w:rFonts w:ascii="Times New Roman" w:hAnsi="Times New Roman" w:cs="Times New Roman"/>
          <w:iCs/>
          <w:color w:val="000000" w:themeColor="text1"/>
          <w:sz w:val="24"/>
          <w:szCs w:val="24"/>
          <w:lang w:val="en-US"/>
        </w:rPr>
        <w:t>. 10 §).</w:t>
      </w:r>
      <w:r w:rsidRPr="007B140B">
        <w:rPr>
          <w:rFonts w:ascii="Times New Roman" w:hAnsi="Times New Roman" w:cs="Times New Roman"/>
          <w:iCs/>
          <w:color w:val="000000" w:themeColor="text1"/>
          <w:sz w:val="24"/>
          <w:szCs w:val="24"/>
          <w:lang w:val="en-US"/>
        </w:rPr>
        <w:fldChar w:fldCharType="begin" w:fldLock="1"/>
      </w:r>
      <w:r w:rsidR="00272560">
        <w:rPr>
          <w:rFonts w:ascii="Times New Roman" w:hAnsi="Times New Roman" w:cs="Times New Roman"/>
          <w:iCs/>
          <w:color w:val="000000" w:themeColor="text1"/>
          <w:sz w:val="24"/>
          <w:szCs w:val="24"/>
          <w:lang w:val="en-US"/>
        </w:rPr>
        <w:instrText>ADDIN CSL_CITATION {"citationItems":[{"id":"ITEM-1","itemData":{"id":"ITEM-1","issued":{"date-parts":[["0"]]},"title":"Läkemedelsverkets föreskrifter (LVFS 2011:19) om kliniska läkemedelsprövningar på människor","type":"article"},"uris":["http://www.mendeley.com/documents/?uuid=1e96a563-be0f-49ca-ab4e-ba2a81c3e339"]}],"mendeley":{"formattedCitation":"&lt;sup&gt;&lt;sup&gt;51&lt;/sup&gt;&lt;/sup&gt;","plainTextFormattedCitation":"51","previouslyFormattedCitation":"&lt;sup&gt;&lt;sup&gt;51&lt;/sup&gt;&lt;/sup&gt;"},"properties":{"noteIndex":0},"schema":"https://github.com/citation-style-language/schema/raw/master/csl-citation.json"}</w:instrText>
      </w:r>
      <w:r w:rsidRPr="007B140B">
        <w:rPr>
          <w:rFonts w:ascii="Times New Roman" w:hAnsi="Times New Roman" w:cs="Times New Roman"/>
          <w:iCs/>
          <w:color w:val="000000" w:themeColor="text1"/>
          <w:sz w:val="24"/>
          <w:szCs w:val="24"/>
          <w:lang w:val="en-US"/>
        </w:rPr>
        <w:fldChar w:fldCharType="separate"/>
      </w:r>
      <w:r w:rsidR="0081127D" w:rsidRPr="0081127D">
        <w:rPr>
          <w:rFonts w:ascii="Times New Roman" w:hAnsi="Times New Roman" w:cs="Times New Roman"/>
          <w:iCs/>
          <w:noProof/>
          <w:color w:val="000000" w:themeColor="text1"/>
          <w:sz w:val="24"/>
          <w:szCs w:val="24"/>
          <w:vertAlign w:val="superscript"/>
          <w:lang w:val="en-US"/>
        </w:rPr>
        <w:t>51</w:t>
      </w:r>
      <w:r w:rsidRPr="007B140B">
        <w:rPr>
          <w:rFonts w:ascii="Times New Roman" w:hAnsi="Times New Roman" w:cs="Times New Roman"/>
          <w:iCs/>
          <w:color w:val="000000" w:themeColor="text1"/>
          <w:sz w:val="24"/>
          <w:szCs w:val="24"/>
          <w:lang w:val="en-US"/>
        </w:rPr>
        <w:fldChar w:fldCharType="end"/>
      </w:r>
      <w:r w:rsidRPr="007B140B">
        <w:rPr>
          <w:rFonts w:ascii="Times New Roman" w:hAnsi="Times New Roman" w:cs="Times New Roman"/>
          <w:iCs/>
          <w:color w:val="000000" w:themeColor="text1"/>
          <w:sz w:val="24"/>
          <w:szCs w:val="24"/>
          <w:lang w:val="en-US"/>
        </w:rPr>
        <w:t xml:space="preserve"> The DSURs will comply with the ICH E2F guidelines.</w:t>
      </w:r>
      <w:r w:rsidRPr="007B140B">
        <w:rPr>
          <w:rFonts w:ascii="Times New Roman" w:hAnsi="Times New Roman" w:cs="Times New Roman"/>
          <w:iCs/>
          <w:color w:val="000000" w:themeColor="text1"/>
          <w:sz w:val="24"/>
          <w:szCs w:val="24"/>
          <w:lang w:val="en-US"/>
        </w:rPr>
        <w:fldChar w:fldCharType="begin" w:fldLock="1"/>
      </w:r>
      <w:r w:rsidR="00272560">
        <w:rPr>
          <w:rFonts w:ascii="Times New Roman" w:hAnsi="Times New Roman" w:cs="Times New Roman"/>
          <w:iCs/>
          <w:color w:val="000000" w:themeColor="text1"/>
          <w:sz w:val="24"/>
          <w:szCs w:val="24"/>
          <w:lang w:val="en-US"/>
        </w:rPr>
        <w:instrText>ADDIN CSL_CITATION {"citationItems":[{"id":"ITEM-1","itemData":{"author":[{"dropping-particle":"","family":"International Conference on Harmonisation of Technical Requirements for Registration of Pharmaceuticals for Human Use","given":"","non-dropping-particle":"","parse-names":false,"suffix":""}],"id":"ITEM-1","issued":{"date-parts":[["2010"]]},"title":"ICH harmonised tripartite guideline E2F: development safety update report","type":"book"},"uris":["http://www.mendeley.com/documents/?uuid=6953e51b-431c-422a-acbe-42b04e4a7049"]}],"mendeley":{"formattedCitation":"&lt;sup&gt;&lt;sup&gt;52&lt;/sup&gt;&lt;/sup&gt;","plainTextFormattedCitation":"52","previouslyFormattedCitation":"&lt;sup&gt;&lt;sup&gt;52&lt;/sup&gt;&lt;/sup&gt;"},"properties":{"noteIndex":0},"schema":"https://github.com/citation-style-language/schema/raw/master/csl-citation.json"}</w:instrText>
      </w:r>
      <w:r w:rsidRPr="007B140B">
        <w:rPr>
          <w:rFonts w:ascii="Times New Roman" w:hAnsi="Times New Roman" w:cs="Times New Roman"/>
          <w:iCs/>
          <w:color w:val="000000" w:themeColor="text1"/>
          <w:sz w:val="24"/>
          <w:szCs w:val="24"/>
          <w:lang w:val="en-US"/>
        </w:rPr>
        <w:fldChar w:fldCharType="separate"/>
      </w:r>
      <w:r w:rsidR="0081127D" w:rsidRPr="0081127D">
        <w:rPr>
          <w:rFonts w:ascii="Times New Roman" w:hAnsi="Times New Roman" w:cs="Times New Roman"/>
          <w:iCs/>
          <w:noProof/>
          <w:color w:val="000000" w:themeColor="text1"/>
          <w:sz w:val="24"/>
          <w:szCs w:val="24"/>
          <w:vertAlign w:val="superscript"/>
          <w:lang w:val="en-US"/>
        </w:rPr>
        <w:t>52</w:t>
      </w:r>
      <w:r w:rsidRPr="007B140B">
        <w:rPr>
          <w:rFonts w:ascii="Times New Roman" w:hAnsi="Times New Roman" w:cs="Times New Roman"/>
          <w:iCs/>
          <w:color w:val="000000" w:themeColor="text1"/>
          <w:sz w:val="24"/>
          <w:szCs w:val="24"/>
          <w:lang w:val="en-US"/>
        </w:rPr>
        <w:fldChar w:fldCharType="end"/>
      </w:r>
      <w:r w:rsidRPr="007B140B">
        <w:rPr>
          <w:rFonts w:ascii="Times New Roman" w:hAnsi="Times New Roman" w:cs="Times New Roman"/>
          <w:iCs/>
          <w:color w:val="000000" w:themeColor="text1"/>
          <w:sz w:val="24"/>
          <w:szCs w:val="24"/>
          <w:lang w:val="en-US"/>
        </w:rPr>
        <w:t xml:space="preserve">  </w:t>
      </w:r>
      <w:r w:rsidRPr="007B140B">
        <w:rPr>
          <w:rFonts w:ascii="Times New Roman" w:hAnsi="Times New Roman" w:cs="Times New Roman"/>
          <w:sz w:val="24"/>
          <w:szCs w:val="24"/>
          <w:lang w:val="en-US"/>
        </w:rPr>
        <w:t xml:space="preserve">  </w:t>
      </w:r>
    </w:p>
    <w:p w14:paraId="439DCEB3" w14:textId="77777777" w:rsidR="00D105EF" w:rsidRPr="007B140B" w:rsidRDefault="00D105EF" w:rsidP="00D105EF">
      <w:pPr>
        <w:ind w:left="360"/>
        <w:rPr>
          <w:rFonts w:ascii="Times New Roman" w:hAnsi="Times New Roman" w:cs="Times New Roman"/>
          <w:sz w:val="24"/>
          <w:szCs w:val="24"/>
          <w:lang w:val="en-US"/>
        </w:rPr>
      </w:pPr>
    </w:p>
    <w:p w14:paraId="093028EB" w14:textId="631C3600" w:rsidR="00CE6F42" w:rsidRPr="007B140B" w:rsidRDefault="00884BA9" w:rsidP="00D36611">
      <w:pPr>
        <w:pStyle w:val="Formatmall4"/>
        <w:rPr>
          <w:rFonts w:cs="Times New Roman"/>
          <w:lang w:val="en-US"/>
        </w:rPr>
      </w:pPr>
      <w:bookmarkStart w:id="46" w:name="_Toc99001417"/>
      <w:r w:rsidRPr="007B140B">
        <w:rPr>
          <w:rFonts w:cs="Times New Roman"/>
          <w:lang w:val="en-US"/>
        </w:rPr>
        <w:t xml:space="preserve">Participant </w:t>
      </w:r>
      <w:r w:rsidR="009A4722">
        <w:rPr>
          <w:rFonts w:cs="Times New Roman"/>
          <w:lang w:val="en-US"/>
        </w:rPr>
        <w:t>T</w:t>
      </w:r>
      <w:r w:rsidRPr="007B140B">
        <w:rPr>
          <w:rFonts w:cs="Times New Roman"/>
          <w:lang w:val="en-US"/>
        </w:rPr>
        <w:t>imeline</w:t>
      </w:r>
      <w:bookmarkEnd w:id="46"/>
    </w:p>
    <w:p w14:paraId="08F79AE0" w14:textId="242EA517" w:rsidR="003C3661" w:rsidRDefault="00D71E1A" w:rsidP="003C3661">
      <w:pPr>
        <w:rPr>
          <w:rFonts w:ascii="Times New Roman" w:eastAsia="Times New Roman" w:hAnsi="Times New Roman" w:cs="Times New Roman"/>
          <w:sz w:val="24"/>
          <w:szCs w:val="24"/>
          <w:lang w:val="en-US" w:eastAsia="sv-SE"/>
        </w:rPr>
      </w:pPr>
      <w:r w:rsidRPr="007B140B">
        <w:rPr>
          <w:rFonts w:ascii="Times New Roman" w:eastAsia="Times New Roman" w:hAnsi="Times New Roman" w:cs="Times New Roman"/>
          <w:sz w:val="24"/>
          <w:szCs w:val="24"/>
          <w:lang w:val="en-US" w:eastAsia="sv-SE"/>
        </w:rPr>
        <w:t xml:space="preserve">A participant timeline </w:t>
      </w:r>
      <w:r w:rsidR="006F36B3">
        <w:rPr>
          <w:rFonts w:ascii="Times New Roman" w:eastAsia="Times New Roman" w:hAnsi="Times New Roman" w:cs="Times New Roman"/>
          <w:sz w:val="24"/>
          <w:szCs w:val="24"/>
          <w:lang w:val="en-US" w:eastAsia="sv-SE"/>
        </w:rPr>
        <w:t>for</w:t>
      </w:r>
      <w:r w:rsidR="00405654">
        <w:rPr>
          <w:rFonts w:ascii="Times New Roman" w:eastAsia="Times New Roman" w:hAnsi="Times New Roman" w:cs="Times New Roman"/>
          <w:sz w:val="24"/>
          <w:szCs w:val="24"/>
          <w:lang w:val="en-US" w:eastAsia="sv-SE"/>
        </w:rPr>
        <w:t xml:space="preserve"> the 4-year Main Phase</w:t>
      </w:r>
      <w:r w:rsidR="00405654" w:rsidRPr="007B140B">
        <w:rPr>
          <w:rFonts w:ascii="Times New Roman" w:eastAsia="Times New Roman" w:hAnsi="Times New Roman" w:cs="Times New Roman"/>
          <w:sz w:val="24"/>
          <w:szCs w:val="24"/>
          <w:lang w:val="en-US" w:eastAsia="sv-SE"/>
        </w:rPr>
        <w:t xml:space="preserve"> </w:t>
      </w:r>
      <w:r w:rsidRPr="007B140B">
        <w:rPr>
          <w:rFonts w:ascii="Times New Roman" w:eastAsia="Times New Roman" w:hAnsi="Times New Roman" w:cs="Times New Roman"/>
          <w:sz w:val="24"/>
          <w:szCs w:val="24"/>
          <w:lang w:val="en-US" w:eastAsia="sv-SE"/>
        </w:rPr>
        <w:t>can be found in Table 1. As shown, potential participants will be invited to a screening visit</w:t>
      </w:r>
      <w:r w:rsidR="00585DA2">
        <w:rPr>
          <w:rFonts w:ascii="Times New Roman" w:eastAsia="Times New Roman" w:hAnsi="Times New Roman" w:cs="Times New Roman"/>
          <w:sz w:val="24"/>
          <w:szCs w:val="24"/>
          <w:lang w:val="en-US" w:eastAsia="sv-SE"/>
        </w:rPr>
        <w:t xml:space="preserve"> (Visit 1)</w:t>
      </w:r>
      <w:r w:rsidRPr="007B140B">
        <w:rPr>
          <w:rFonts w:ascii="Times New Roman" w:eastAsia="Times New Roman" w:hAnsi="Times New Roman" w:cs="Times New Roman"/>
          <w:sz w:val="24"/>
          <w:szCs w:val="24"/>
          <w:lang w:val="en-US" w:eastAsia="sv-SE"/>
        </w:rPr>
        <w:t xml:space="preserve"> to provide written informed consent, </w:t>
      </w:r>
      <w:r w:rsidR="001D1726" w:rsidRPr="007B140B">
        <w:rPr>
          <w:rFonts w:ascii="Times New Roman" w:eastAsia="Times New Roman" w:hAnsi="Times New Roman" w:cs="Times New Roman"/>
          <w:sz w:val="24"/>
          <w:szCs w:val="24"/>
          <w:lang w:val="en-US" w:eastAsia="sv-SE"/>
        </w:rPr>
        <w:t xml:space="preserve">to </w:t>
      </w:r>
      <w:r w:rsidRPr="007B140B">
        <w:rPr>
          <w:rFonts w:ascii="Times New Roman" w:eastAsia="Times New Roman" w:hAnsi="Times New Roman" w:cs="Times New Roman"/>
          <w:sz w:val="24"/>
          <w:szCs w:val="24"/>
          <w:lang w:val="en-US" w:eastAsia="sv-SE"/>
        </w:rPr>
        <w:t xml:space="preserve">be assessed for eligibility, </w:t>
      </w:r>
      <w:r w:rsidR="001D1726" w:rsidRPr="007B140B">
        <w:rPr>
          <w:rFonts w:ascii="Times New Roman" w:eastAsia="Times New Roman" w:hAnsi="Times New Roman" w:cs="Times New Roman"/>
          <w:sz w:val="24"/>
          <w:szCs w:val="24"/>
          <w:lang w:val="en-US" w:eastAsia="sv-SE"/>
        </w:rPr>
        <w:t xml:space="preserve">to </w:t>
      </w:r>
      <w:r w:rsidRPr="007B140B">
        <w:rPr>
          <w:rFonts w:ascii="Times New Roman" w:eastAsia="Times New Roman" w:hAnsi="Times New Roman" w:cs="Times New Roman"/>
          <w:sz w:val="24"/>
          <w:szCs w:val="24"/>
          <w:lang w:val="en-US" w:eastAsia="sv-SE"/>
        </w:rPr>
        <w:t>be assigned a participant identification (ID) code,</w:t>
      </w:r>
      <w:r w:rsidR="00B550A8">
        <w:rPr>
          <w:rFonts w:ascii="Times New Roman" w:eastAsia="Times New Roman" w:hAnsi="Times New Roman" w:cs="Times New Roman"/>
          <w:sz w:val="24"/>
          <w:szCs w:val="24"/>
          <w:lang w:val="en-US" w:eastAsia="sv-SE"/>
        </w:rPr>
        <w:t xml:space="preserve"> to undergo baseline testing</w:t>
      </w:r>
      <w:r w:rsidR="005E5719">
        <w:rPr>
          <w:rFonts w:ascii="Times New Roman" w:eastAsia="Times New Roman" w:hAnsi="Times New Roman" w:cs="Times New Roman"/>
          <w:sz w:val="24"/>
          <w:szCs w:val="24"/>
          <w:lang w:val="en-US" w:eastAsia="sv-SE"/>
        </w:rPr>
        <w:t xml:space="preserve">, and to </w:t>
      </w:r>
      <w:r w:rsidR="00233974">
        <w:rPr>
          <w:rFonts w:ascii="Times New Roman" w:eastAsia="Times New Roman" w:hAnsi="Times New Roman" w:cs="Times New Roman"/>
          <w:sz w:val="24"/>
          <w:szCs w:val="24"/>
          <w:lang w:val="en-US" w:eastAsia="sv-SE"/>
        </w:rPr>
        <w:t>receive</w:t>
      </w:r>
      <w:r w:rsidR="005E5719">
        <w:rPr>
          <w:rFonts w:ascii="Times New Roman" w:eastAsia="Times New Roman" w:hAnsi="Times New Roman" w:cs="Times New Roman"/>
          <w:sz w:val="24"/>
          <w:szCs w:val="24"/>
          <w:lang w:val="en-US" w:eastAsia="sv-SE"/>
        </w:rPr>
        <w:t xml:space="preserve"> a loading dose of vitamin D</w:t>
      </w:r>
      <w:r w:rsidRPr="007B140B">
        <w:rPr>
          <w:rFonts w:ascii="Times New Roman" w:eastAsia="Times New Roman" w:hAnsi="Times New Roman" w:cs="Times New Roman"/>
          <w:sz w:val="24"/>
          <w:szCs w:val="24"/>
          <w:lang w:val="en-US" w:eastAsia="sv-SE"/>
        </w:rPr>
        <w:t xml:space="preserve">. Of these steps, informed consent must come first, followed by </w:t>
      </w:r>
      <w:r w:rsidR="00DE37BA">
        <w:rPr>
          <w:rFonts w:ascii="Times New Roman" w:eastAsia="Times New Roman" w:hAnsi="Times New Roman" w:cs="Times New Roman"/>
          <w:sz w:val="24"/>
          <w:szCs w:val="24"/>
          <w:lang w:val="en-US" w:eastAsia="sv-SE"/>
        </w:rPr>
        <w:t xml:space="preserve">the </w:t>
      </w:r>
      <w:r w:rsidRPr="007B140B">
        <w:rPr>
          <w:rFonts w:ascii="Times New Roman" w:eastAsia="Times New Roman" w:hAnsi="Times New Roman" w:cs="Times New Roman"/>
          <w:sz w:val="24"/>
          <w:szCs w:val="24"/>
          <w:lang w:val="en-US" w:eastAsia="sv-SE"/>
        </w:rPr>
        <w:t xml:space="preserve">assignment of a participant ID code. </w:t>
      </w:r>
      <w:r w:rsidR="00D860B8">
        <w:rPr>
          <w:rFonts w:ascii="Times New Roman" w:eastAsia="Times New Roman" w:hAnsi="Times New Roman" w:cs="Times New Roman"/>
          <w:sz w:val="24"/>
          <w:szCs w:val="24"/>
          <w:lang w:val="en-US" w:eastAsia="sv-SE"/>
        </w:rPr>
        <w:t>The</w:t>
      </w:r>
      <w:r w:rsidR="00EC3246">
        <w:rPr>
          <w:rFonts w:ascii="Times New Roman" w:eastAsia="Times New Roman" w:hAnsi="Times New Roman" w:cs="Times New Roman"/>
          <w:sz w:val="24"/>
          <w:szCs w:val="24"/>
          <w:lang w:val="en-US" w:eastAsia="sv-SE"/>
        </w:rPr>
        <w:t xml:space="preserve"> baseline tests will include</w:t>
      </w:r>
      <w:r w:rsidR="00B550A8" w:rsidRPr="007B140B">
        <w:rPr>
          <w:rFonts w:ascii="Times New Roman" w:eastAsia="Times New Roman" w:hAnsi="Times New Roman" w:cs="Times New Roman"/>
          <w:sz w:val="24"/>
          <w:szCs w:val="24"/>
          <w:lang w:val="en-US" w:eastAsia="sv-SE"/>
        </w:rPr>
        <w:t xml:space="preserve"> </w:t>
      </w:r>
      <w:r w:rsidR="00B03D53">
        <w:rPr>
          <w:rFonts w:ascii="Times New Roman" w:eastAsia="Times New Roman" w:hAnsi="Times New Roman" w:cs="Times New Roman"/>
          <w:sz w:val="24"/>
          <w:szCs w:val="24"/>
          <w:lang w:val="en-US" w:eastAsia="sv-SE"/>
        </w:rPr>
        <w:t>the EQ-5D-5L,</w:t>
      </w:r>
      <w:r w:rsidR="00B03D53" w:rsidRPr="007B140B">
        <w:rPr>
          <w:rFonts w:ascii="Times New Roman" w:eastAsia="Times New Roman" w:hAnsi="Times New Roman" w:cs="Times New Roman"/>
          <w:sz w:val="24"/>
          <w:szCs w:val="24"/>
          <w:lang w:val="en-US" w:eastAsia="sv-SE"/>
        </w:rPr>
        <w:t xml:space="preserve"> </w:t>
      </w:r>
      <w:r w:rsidR="00B03D53">
        <w:rPr>
          <w:rFonts w:ascii="Times New Roman" w:eastAsia="Times New Roman" w:hAnsi="Times New Roman" w:cs="Times New Roman"/>
          <w:sz w:val="24"/>
          <w:szCs w:val="24"/>
          <w:lang w:val="en-US" w:eastAsia="sv-SE"/>
        </w:rPr>
        <w:t xml:space="preserve">a </w:t>
      </w:r>
      <w:r w:rsidR="00B550A8" w:rsidRPr="007B140B">
        <w:rPr>
          <w:rFonts w:ascii="Times New Roman" w:eastAsia="Times New Roman" w:hAnsi="Times New Roman" w:cs="Times New Roman"/>
          <w:sz w:val="24"/>
          <w:szCs w:val="24"/>
          <w:lang w:val="en-US" w:eastAsia="sv-SE"/>
        </w:rPr>
        <w:t>self-administered health</w:t>
      </w:r>
      <w:r w:rsidR="00CB3718">
        <w:rPr>
          <w:rFonts w:ascii="Times New Roman" w:eastAsia="Times New Roman" w:hAnsi="Times New Roman" w:cs="Times New Roman"/>
          <w:sz w:val="24"/>
          <w:szCs w:val="24"/>
          <w:lang w:val="en-US" w:eastAsia="sv-SE"/>
        </w:rPr>
        <w:t>/lifestyle</w:t>
      </w:r>
      <w:r w:rsidR="00B550A8" w:rsidRPr="007B140B">
        <w:rPr>
          <w:rFonts w:ascii="Times New Roman" w:eastAsia="Times New Roman" w:hAnsi="Times New Roman" w:cs="Times New Roman"/>
          <w:sz w:val="24"/>
          <w:szCs w:val="24"/>
          <w:lang w:val="en-US" w:eastAsia="sv-SE"/>
        </w:rPr>
        <w:t xml:space="preserve"> questionnaire (see the variables in Section 13.2)</w:t>
      </w:r>
      <w:r w:rsidR="00B03D53">
        <w:rPr>
          <w:rFonts w:ascii="Times New Roman" w:eastAsia="Times New Roman" w:hAnsi="Times New Roman" w:cs="Times New Roman"/>
          <w:sz w:val="24"/>
          <w:szCs w:val="24"/>
          <w:lang w:val="en-US" w:eastAsia="sv-SE"/>
        </w:rPr>
        <w:t xml:space="preserve">, </w:t>
      </w:r>
      <w:r w:rsidR="00B550A8" w:rsidRPr="007B140B">
        <w:rPr>
          <w:rFonts w:ascii="Times New Roman" w:eastAsia="Times New Roman" w:hAnsi="Times New Roman" w:cs="Times New Roman"/>
          <w:sz w:val="24"/>
          <w:szCs w:val="24"/>
          <w:lang w:val="en-US" w:eastAsia="sv-SE"/>
        </w:rPr>
        <w:t xml:space="preserve">and measurements of body height and body weight (using a stadiometer and a medical scale). In addition, baseline tests of hand-grip strength will be conducted </w:t>
      </w:r>
      <w:r w:rsidR="00B550A8">
        <w:rPr>
          <w:rFonts w:ascii="Times New Roman" w:eastAsia="Times New Roman" w:hAnsi="Times New Roman" w:cs="Times New Roman"/>
          <w:sz w:val="24"/>
          <w:szCs w:val="24"/>
          <w:lang w:val="en-US" w:eastAsia="sv-SE"/>
        </w:rPr>
        <w:t>using</w:t>
      </w:r>
      <w:r w:rsidR="00B550A8" w:rsidRPr="007B140B">
        <w:rPr>
          <w:rFonts w:ascii="Times New Roman" w:eastAsia="Times New Roman" w:hAnsi="Times New Roman" w:cs="Times New Roman"/>
          <w:sz w:val="24"/>
          <w:szCs w:val="24"/>
          <w:lang w:val="en-US" w:eastAsia="sv-SE"/>
        </w:rPr>
        <w:t xml:space="preserve"> hand dynamometer</w:t>
      </w:r>
      <w:r w:rsidR="00B550A8">
        <w:rPr>
          <w:rFonts w:ascii="Times New Roman" w:eastAsia="Times New Roman" w:hAnsi="Times New Roman" w:cs="Times New Roman"/>
          <w:sz w:val="24"/>
          <w:szCs w:val="24"/>
          <w:lang w:val="en-US" w:eastAsia="sv-SE"/>
        </w:rPr>
        <w:t>s</w:t>
      </w:r>
      <w:r w:rsidR="00B550A8" w:rsidRPr="007B140B">
        <w:rPr>
          <w:rFonts w:ascii="Times New Roman" w:eastAsia="Times New Roman" w:hAnsi="Times New Roman" w:cs="Times New Roman"/>
          <w:sz w:val="24"/>
          <w:szCs w:val="24"/>
          <w:lang w:val="en-US" w:eastAsia="sv-SE"/>
        </w:rPr>
        <w:t xml:space="preserve">. </w:t>
      </w:r>
      <w:r w:rsidR="00233974">
        <w:rPr>
          <w:rFonts w:ascii="Times New Roman" w:eastAsia="Times New Roman" w:hAnsi="Times New Roman" w:cs="Times New Roman"/>
          <w:sz w:val="24"/>
          <w:szCs w:val="24"/>
          <w:lang w:val="en-US" w:eastAsia="sv-SE"/>
        </w:rPr>
        <w:t>Participants</w:t>
      </w:r>
      <w:r w:rsidR="003C3661">
        <w:rPr>
          <w:rFonts w:ascii="Times New Roman" w:eastAsia="Times New Roman" w:hAnsi="Times New Roman" w:cs="Times New Roman"/>
          <w:sz w:val="24"/>
          <w:szCs w:val="24"/>
          <w:lang w:val="en-US" w:eastAsia="sv-SE"/>
        </w:rPr>
        <w:t xml:space="preserve"> will receive a card with study information (e.g., contact information to the center, the participant’s participant ID) to carry in their wallet. A</w:t>
      </w:r>
      <w:r w:rsidR="003C3661" w:rsidRPr="007B140B">
        <w:rPr>
          <w:rFonts w:ascii="Times New Roman" w:eastAsia="Times New Roman" w:hAnsi="Times New Roman" w:cs="Times New Roman"/>
          <w:sz w:val="24"/>
          <w:szCs w:val="24"/>
          <w:lang w:val="en-US" w:eastAsia="sv-SE"/>
        </w:rPr>
        <w:t>ll participants will</w:t>
      </w:r>
      <w:r w:rsidR="003C3661">
        <w:rPr>
          <w:rFonts w:ascii="Times New Roman" w:eastAsia="Times New Roman" w:hAnsi="Times New Roman" w:cs="Times New Roman"/>
          <w:sz w:val="24"/>
          <w:szCs w:val="24"/>
          <w:lang w:val="en-US" w:eastAsia="sv-SE"/>
        </w:rPr>
        <w:t xml:space="preserve"> also take home </w:t>
      </w:r>
      <w:r w:rsidR="003C3661" w:rsidRPr="007B140B">
        <w:rPr>
          <w:rFonts w:ascii="Times New Roman" w:eastAsia="Times New Roman" w:hAnsi="Times New Roman" w:cs="Times New Roman"/>
          <w:sz w:val="24"/>
          <w:szCs w:val="24"/>
          <w:lang w:val="en-US" w:eastAsia="sv-SE"/>
        </w:rPr>
        <w:t>a loading dose of oral vitamin D (see Section 6).</w:t>
      </w:r>
      <w:r w:rsidR="003C3661">
        <w:rPr>
          <w:rFonts w:ascii="Times New Roman" w:eastAsia="Times New Roman" w:hAnsi="Times New Roman" w:cs="Times New Roman"/>
          <w:sz w:val="24"/>
          <w:szCs w:val="24"/>
          <w:lang w:val="en-US" w:eastAsia="sv-SE"/>
        </w:rPr>
        <w:t xml:space="preserve"> They will be instructed </w:t>
      </w:r>
      <w:r w:rsidR="003C3661">
        <w:rPr>
          <w:rFonts w:ascii="Times New Roman" w:eastAsia="Times New Roman" w:hAnsi="Times New Roman" w:cs="Times New Roman"/>
          <w:i/>
          <w:sz w:val="24"/>
          <w:szCs w:val="24"/>
          <w:lang w:val="en-US" w:eastAsia="sv-SE"/>
        </w:rPr>
        <w:t xml:space="preserve">not </w:t>
      </w:r>
      <w:r w:rsidR="003C3661">
        <w:rPr>
          <w:rFonts w:ascii="Times New Roman" w:eastAsia="Times New Roman" w:hAnsi="Times New Roman" w:cs="Times New Roman"/>
          <w:sz w:val="24"/>
          <w:szCs w:val="24"/>
          <w:lang w:val="en-US" w:eastAsia="sv-SE"/>
        </w:rPr>
        <w:t>to take the vitamin D until study staff have notified them that this is safe to do based on the results of the</w:t>
      </w:r>
      <w:r w:rsidR="00D92C25">
        <w:rPr>
          <w:rFonts w:ascii="Times New Roman" w:eastAsia="Times New Roman" w:hAnsi="Times New Roman" w:cs="Times New Roman"/>
          <w:sz w:val="24"/>
          <w:szCs w:val="24"/>
          <w:lang w:val="en-US" w:eastAsia="sv-SE"/>
        </w:rPr>
        <w:t>ir</w:t>
      </w:r>
      <w:r w:rsidR="003C3661">
        <w:rPr>
          <w:rFonts w:ascii="Times New Roman" w:eastAsia="Times New Roman" w:hAnsi="Times New Roman" w:cs="Times New Roman"/>
          <w:sz w:val="24"/>
          <w:szCs w:val="24"/>
          <w:lang w:val="en-US" w:eastAsia="sv-SE"/>
        </w:rPr>
        <w:t xml:space="preserve"> blood test</w:t>
      </w:r>
      <w:r w:rsidR="00B72F55">
        <w:rPr>
          <w:rFonts w:ascii="Times New Roman" w:eastAsia="Times New Roman" w:hAnsi="Times New Roman" w:cs="Times New Roman"/>
          <w:sz w:val="24"/>
          <w:szCs w:val="24"/>
          <w:lang w:val="en-US" w:eastAsia="sv-SE"/>
        </w:rPr>
        <w:t>s</w:t>
      </w:r>
      <w:r w:rsidR="003C3661">
        <w:rPr>
          <w:rFonts w:ascii="Times New Roman" w:eastAsia="Times New Roman" w:hAnsi="Times New Roman" w:cs="Times New Roman"/>
          <w:sz w:val="24"/>
          <w:szCs w:val="24"/>
          <w:lang w:val="en-US" w:eastAsia="sv-SE"/>
        </w:rPr>
        <w:t xml:space="preserve">. </w:t>
      </w:r>
      <w:r w:rsidR="00446B74">
        <w:rPr>
          <w:rFonts w:ascii="Times New Roman" w:eastAsia="Times New Roman" w:hAnsi="Times New Roman" w:cs="Times New Roman"/>
          <w:sz w:val="24"/>
          <w:szCs w:val="24"/>
          <w:lang w:val="en-US" w:eastAsia="sv-SE"/>
        </w:rPr>
        <w:t xml:space="preserve">If the measurement of calcium deviates from the reference value, this can be re-tested once. </w:t>
      </w:r>
      <w:r w:rsidR="003C3661">
        <w:rPr>
          <w:rFonts w:ascii="Times New Roman" w:eastAsia="Times New Roman" w:hAnsi="Times New Roman" w:cs="Times New Roman"/>
          <w:sz w:val="24"/>
          <w:szCs w:val="24"/>
          <w:lang w:val="en-US" w:eastAsia="sv-SE"/>
        </w:rPr>
        <w:t xml:space="preserve">Participants must take the loading dose 1 to 4 weeks prior to the randomization visit (see below). </w:t>
      </w:r>
    </w:p>
    <w:p w14:paraId="719DD8A2" w14:textId="79D35EAE" w:rsidR="00FD6EEE" w:rsidRDefault="003C3661" w:rsidP="00273AA9">
      <w:pPr>
        <w:rPr>
          <w:rFonts w:ascii="Times New Roman" w:eastAsia="Times New Roman" w:hAnsi="Times New Roman" w:cs="Times New Roman"/>
          <w:iCs/>
          <w:sz w:val="24"/>
          <w:szCs w:val="24"/>
          <w:lang w:val="en-US" w:eastAsia="sv-SE"/>
        </w:rPr>
      </w:pPr>
      <w:r w:rsidRPr="00FC078C">
        <w:rPr>
          <w:rFonts w:ascii="Times New Roman" w:eastAsia="Times New Roman" w:hAnsi="Times New Roman" w:cs="Times New Roman"/>
          <w:sz w:val="24"/>
          <w:szCs w:val="24"/>
          <w:lang w:val="en-US" w:eastAsia="sv-SE"/>
        </w:rPr>
        <w:t xml:space="preserve">Approximately </w:t>
      </w:r>
      <w:r>
        <w:rPr>
          <w:rFonts w:ascii="Times New Roman" w:eastAsia="Times New Roman" w:hAnsi="Times New Roman" w:cs="Times New Roman"/>
          <w:sz w:val="24"/>
          <w:szCs w:val="24"/>
          <w:lang w:val="en-US" w:eastAsia="sv-SE"/>
        </w:rPr>
        <w:t>10 days after the screening visit</w:t>
      </w:r>
      <w:r w:rsidR="00D71E1A" w:rsidRPr="007B140B">
        <w:rPr>
          <w:rFonts w:ascii="Times New Roman" w:eastAsia="Times New Roman" w:hAnsi="Times New Roman" w:cs="Times New Roman"/>
          <w:sz w:val="24"/>
          <w:szCs w:val="24"/>
          <w:lang w:val="en-US" w:eastAsia="sv-SE"/>
        </w:rPr>
        <w:t>, participants will return for a randomization visit</w:t>
      </w:r>
      <w:r w:rsidR="00585DA2">
        <w:rPr>
          <w:rFonts w:ascii="Times New Roman" w:eastAsia="Times New Roman" w:hAnsi="Times New Roman" w:cs="Times New Roman"/>
          <w:sz w:val="24"/>
          <w:szCs w:val="24"/>
          <w:lang w:val="en-US" w:eastAsia="sv-SE"/>
        </w:rPr>
        <w:t xml:space="preserve"> (Visit 2)</w:t>
      </w:r>
      <w:r w:rsidR="00D71E1A" w:rsidRPr="007B140B">
        <w:rPr>
          <w:rFonts w:ascii="Times New Roman" w:eastAsia="Times New Roman" w:hAnsi="Times New Roman" w:cs="Times New Roman"/>
          <w:sz w:val="24"/>
          <w:szCs w:val="24"/>
          <w:lang w:val="en-US" w:eastAsia="sv-SE"/>
        </w:rPr>
        <w:t>. The randomization visit may be cancelled by telephone if the results of the blood tests indicate that the participant does not meet the eligibility criteria. In this case, the patient will be informed that his or her participation ends here</w:t>
      </w:r>
      <w:r w:rsidR="00E25260">
        <w:rPr>
          <w:rFonts w:ascii="Times New Roman" w:eastAsia="Times New Roman" w:hAnsi="Times New Roman" w:cs="Times New Roman"/>
          <w:sz w:val="24"/>
          <w:szCs w:val="24"/>
          <w:lang w:val="en-US" w:eastAsia="sv-SE"/>
        </w:rPr>
        <w:t xml:space="preserve"> (without follow-up</w:t>
      </w:r>
      <w:r w:rsidR="006D2756">
        <w:rPr>
          <w:rFonts w:ascii="Times New Roman" w:eastAsia="Times New Roman" w:hAnsi="Times New Roman" w:cs="Times New Roman"/>
          <w:sz w:val="24"/>
          <w:szCs w:val="24"/>
          <w:lang w:val="en-US" w:eastAsia="sv-SE"/>
        </w:rPr>
        <w:t xml:space="preserve"> of any kind</w:t>
      </w:r>
      <w:r w:rsidR="00E25260">
        <w:rPr>
          <w:rFonts w:ascii="Times New Roman" w:eastAsia="Times New Roman" w:hAnsi="Times New Roman" w:cs="Times New Roman"/>
          <w:sz w:val="24"/>
          <w:szCs w:val="24"/>
          <w:lang w:val="en-US" w:eastAsia="sv-SE"/>
        </w:rPr>
        <w:t>)</w:t>
      </w:r>
      <w:r w:rsidR="00D71E1A" w:rsidRPr="007B140B">
        <w:rPr>
          <w:rFonts w:ascii="Times New Roman" w:eastAsia="Times New Roman" w:hAnsi="Times New Roman" w:cs="Times New Roman"/>
          <w:sz w:val="24"/>
          <w:szCs w:val="24"/>
          <w:lang w:val="en-US" w:eastAsia="sv-SE"/>
        </w:rPr>
        <w:t xml:space="preserve">. </w:t>
      </w:r>
      <w:r w:rsidR="00B550A8" w:rsidRPr="007B140B">
        <w:rPr>
          <w:rFonts w:ascii="Times New Roman" w:eastAsia="Times New Roman" w:hAnsi="Times New Roman" w:cs="Times New Roman"/>
          <w:sz w:val="24"/>
          <w:szCs w:val="24"/>
          <w:lang w:val="en-US" w:eastAsia="sv-SE"/>
        </w:rPr>
        <w:t>If, on the other hand, the participant is still eligible</w:t>
      </w:r>
      <w:r w:rsidR="00B550A8">
        <w:rPr>
          <w:rFonts w:ascii="Times New Roman" w:eastAsia="Times New Roman" w:hAnsi="Times New Roman" w:cs="Times New Roman"/>
          <w:sz w:val="24"/>
          <w:szCs w:val="24"/>
          <w:lang w:val="en-US" w:eastAsia="sv-SE"/>
        </w:rPr>
        <w:t xml:space="preserve">, he or she </w:t>
      </w:r>
      <w:r w:rsidR="00D71E1A" w:rsidRPr="007B140B">
        <w:rPr>
          <w:rFonts w:ascii="Times New Roman" w:eastAsia="Times New Roman" w:hAnsi="Times New Roman" w:cs="Times New Roman"/>
          <w:sz w:val="24"/>
          <w:szCs w:val="24"/>
          <w:lang w:val="en-US" w:eastAsia="sv-SE"/>
        </w:rPr>
        <w:t xml:space="preserve">will be </w:t>
      </w:r>
      <w:r w:rsidR="0060312C">
        <w:rPr>
          <w:rFonts w:ascii="Times New Roman" w:eastAsia="Times New Roman" w:hAnsi="Times New Roman" w:cs="Times New Roman"/>
          <w:sz w:val="24"/>
          <w:szCs w:val="24"/>
          <w:lang w:val="en-US" w:eastAsia="sv-SE"/>
        </w:rPr>
        <w:t>randomized</w:t>
      </w:r>
      <w:r w:rsidR="005E5719">
        <w:rPr>
          <w:rFonts w:ascii="Times New Roman" w:eastAsia="Times New Roman" w:hAnsi="Times New Roman" w:cs="Times New Roman"/>
          <w:sz w:val="24"/>
          <w:szCs w:val="24"/>
          <w:lang w:val="en-US" w:eastAsia="sv-SE"/>
        </w:rPr>
        <w:t xml:space="preserve"> </w:t>
      </w:r>
      <w:r w:rsidR="0060312C">
        <w:rPr>
          <w:rFonts w:ascii="Times New Roman" w:eastAsia="Times New Roman" w:hAnsi="Times New Roman" w:cs="Times New Roman"/>
          <w:sz w:val="24"/>
          <w:szCs w:val="24"/>
          <w:lang w:val="en-US" w:eastAsia="sv-SE"/>
        </w:rPr>
        <w:t xml:space="preserve">and </w:t>
      </w:r>
      <w:r w:rsidR="004974B9">
        <w:rPr>
          <w:rFonts w:ascii="Times New Roman" w:eastAsia="Times New Roman" w:hAnsi="Times New Roman" w:cs="Times New Roman"/>
          <w:sz w:val="24"/>
          <w:szCs w:val="24"/>
          <w:lang w:val="en-US" w:eastAsia="sv-SE"/>
        </w:rPr>
        <w:t xml:space="preserve">be </w:t>
      </w:r>
      <w:r w:rsidR="00D71E1A" w:rsidRPr="007B140B">
        <w:rPr>
          <w:rFonts w:ascii="Times New Roman" w:eastAsia="Times New Roman" w:hAnsi="Times New Roman" w:cs="Times New Roman"/>
          <w:sz w:val="24"/>
          <w:szCs w:val="24"/>
          <w:lang w:val="en-US" w:eastAsia="sv-SE"/>
        </w:rPr>
        <w:t xml:space="preserve">infused with </w:t>
      </w:r>
      <w:r w:rsidR="00CE4633">
        <w:rPr>
          <w:rFonts w:ascii="Times New Roman" w:eastAsia="Times New Roman" w:hAnsi="Times New Roman" w:cs="Times New Roman"/>
          <w:sz w:val="24"/>
          <w:szCs w:val="24"/>
          <w:lang w:val="en-US" w:eastAsia="sv-SE"/>
        </w:rPr>
        <w:t>zoledronic acid or placebo</w:t>
      </w:r>
      <w:r w:rsidR="00D71E1A" w:rsidRPr="007B140B">
        <w:rPr>
          <w:rFonts w:ascii="Times New Roman" w:eastAsia="Times New Roman" w:hAnsi="Times New Roman" w:cs="Times New Roman"/>
          <w:sz w:val="24"/>
          <w:szCs w:val="24"/>
          <w:lang w:val="en-US" w:eastAsia="sv-SE"/>
        </w:rPr>
        <w:t>.</w:t>
      </w:r>
      <w:r w:rsidR="00FD6EEE">
        <w:rPr>
          <w:rFonts w:ascii="Times New Roman" w:eastAsia="Times New Roman" w:hAnsi="Times New Roman" w:cs="Times New Roman"/>
          <w:sz w:val="24"/>
          <w:szCs w:val="24"/>
          <w:lang w:val="en-US" w:eastAsia="sv-SE"/>
        </w:rPr>
        <w:t xml:space="preserve"> </w:t>
      </w:r>
      <w:r w:rsidR="005110DF">
        <w:rPr>
          <w:rFonts w:ascii="Times New Roman" w:eastAsia="Times New Roman" w:hAnsi="Times New Roman" w:cs="Times New Roman"/>
          <w:iCs/>
          <w:sz w:val="24"/>
          <w:szCs w:val="24"/>
          <w:lang w:val="en-US" w:eastAsia="sv-SE"/>
        </w:rPr>
        <w:t>P</w:t>
      </w:r>
      <w:r w:rsidR="00B42D72">
        <w:rPr>
          <w:rFonts w:ascii="Times New Roman" w:eastAsia="Times New Roman" w:hAnsi="Times New Roman" w:cs="Times New Roman"/>
          <w:iCs/>
          <w:sz w:val="24"/>
          <w:szCs w:val="24"/>
          <w:lang w:val="en-US" w:eastAsia="sv-SE"/>
        </w:rPr>
        <w:t xml:space="preserve">articipants will be </w:t>
      </w:r>
      <w:r w:rsidR="005110DF">
        <w:rPr>
          <w:rFonts w:ascii="Times New Roman" w:eastAsia="Times New Roman" w:hAnsi="Times New Roman" w:cs="Times New Roman"/>
          <w:iCs/>
          <w:sz w:val="24"/>
          <w:szCs w:val="24"/>
          <w:lang w:val="en-US" w:eastAsia="sv-SE"/>
        </w:rPr>
        <w:t xml:space="preserve">encouraged </w:t>
      </w:r>
      <w:r w:rsidR="00B42D72">
        <w:rPr>
          <w:rFonts w:ascii="Times New Roman" w:eastAsia="Times New Roman" w:hAnsi="Times New Roman" w:cs="Times New Roman"/>
          <w:iCs/>
          <w:sz w:val="24"/>
          <w:szCs w:val="24"/>
          <w:lang w:val="en-US" w:eastAsia="sv-SE"/>
        </w:rPr>
        <w:t xml:space="preserve">to report adverse events by telephone </w:t>
      </w:r>
      <w:r w:rsidR="005110DF">
        <w:rPr>
          <w:rFonts w:ascii="Times New Roman" w:eastAsia="Times New Roman" w:hAnsi="Times New Roman" w:cs="Times New Roman"/>
          <w:iCs/>
          <w:sz w:val="24"/>
          <w:szCs w:val="24"/>
          <w:lang w:val="en-US" w:eastAsia="sv-SE"/>
        </w:rPr>
        <w:t>throughout the Main Phase (48 months)</w:t>
      </w:r>
      <w:r w:rsidR="00297A1B">
        <w:rPr>
          <w:rFonts w:ascii="Times New Roman" w:eastAsia="Times New Roman" w:hAnsi="Times New Roman" w:cs="Times New Roman"/>
          <w:iCs/>
          <w:sz w:val="24"/>
          <w:szCs w:val="24"/>
          <w:lang w:val="en-US" w:eastAsia="sv-SE"/>
        </w:rPr>
        <w:t xml:space="preserve">. </w:t>
      </w:r>
    </w:p>
    <w:p w14:paraId="746772A2" w14:textId="2E774748" w:rsidR="00FD6EEE" w:rsidRDefault="00FD6EEE" w:rsidP="00273AA9">
      <w:pPr>
        <w:rPr>
          <w:rFonts w:ascii="Times New Roman" w:eastAsia="Times New Roman" w:hAnsi="Times New Roman" w:cs="Times New Roman"/>
          <w:iCs/>
          <w:sz w:val="24"/>
          <w:szCs w:val="24"/>
          <w:lang w:val="en-US" w:eastAsia="sv-SE"/>
        </w:rPr>
      </w:pPr>
      <w:r>
        <w:rPr>
          <w:rFonts w:ascii="Times New Roman" w:eastAsia="Times New Roman" w:hAnsi="Times New Roman" w:cs="Times New Roman"/>
          <w:iCs/>
          <w:sz w:val="24"/>
          <w:szCs w:val="24"/>
          <w:lang w:val="en-US" w:eastAsia="sv-SE"/>
        </w:rPr>
        <w:t>O</w:t>
      </w:r>
      <w:r w:rsidRPr="007B140B">
        <w:rPr>
          <w:rFonts w:ascii="Times New Roman" w:eastAsia="Times New Roman" w:hAnsi="Times New Roman" w:cs="Times New Roman"/>
          <w:iCs/>
          <w:sz w:val="24"/>
          <w:szCs w:val="24"/>
          <w:lang w:val="en-US" w:eastAsia="sv-SE"/>
        </w:rPr>
        <w:t>ne week before the second infusion</w:t>
      </w:r>
      <w:r>
        <w:rPr>
          <w:rFonts w:ascii="Times New Roman" w:eastAsia="Times New Roman" w:hAnsi="Times New Roman" w:cs="Times New Roman"/>
          <w:iCs/>
          <w:sz w:val="24"/>
          <w:szCs w:val="24"/>
          <w:lang w:val="en-US" w:eastAsia="sv-SE"/>
        </w:rPr>
        <w:t xml:space="preserve"> (at 24 months), participants will undergo new blood tests of plasma calcium and creatinine clearance (Visit 3). Investigators may instead choose to refer participants to primary care for blood tests. </w:t>
      </w:r>
      <w:r w:rsidR="00D30837">
        <w:rPr>
          <w:rFonts w:ascii="Times New Roman" w:eastAsia="Times New Roman" w:hAnsi="Times New Roman" w:cs="Times New Roman"/>
          <w:iCs/>
          <w:sz w:val="24"/>
          <w:szCs w:val="24"/>
          <w:lang w:val="en-US" w:eastAsia="sv-SE"/>
        </w:rPr>
        <w:t>They will also take the EQ-5D-5L, undergo measurements of body height, body weight, and hand-grip strength.</w:t>
      </w:r>
    </w:p>
    <w:p w14:paraId="649E6960" w14:textId="224E5C31" w:rsidR="00B07F0D" w:rsidRDefault="00DC00B6" w:rsidP="00273AA9">
      <w:pPr>
        <w:rPr>
          <w:rFonts w:ascii="Times New Roman" w:eastAsia="Times New Roman" w:hAnsi="Times New Roman" w:cs="Times New Roman"/>
          <w:iCs/>
          <w:sz w:val="24"/>
          <w:szCs w:val="24"/>
          <w:lang w:val="en-US" w:eastAsia="sv-SE"/>
        </w:rPr>
      </w:pPr>
      <w:r>
        <w:rPr>
          <w:rFonts w:ascii="Times New Roman" w:eastAsia="Times New Roman" w:hAnsi="Times New Roman" w:cs="Times New Roman"/>
          <w:iCs/>
          <w:sz w:val="24"/>
          <w:szCs w:val="24"/>
          <w:lang w:val="en-US" w:eastAsia="sv-SE"/>
        </w:rPr>
        <w:t>At</w:t>
      </w:r>
      <w:r w:rsidR="00CE4633" w:rsidRPr="007B140B">
        <w:rPr>
          <w:rFonts w:ascii="Times New Roman" w:eastAsia="Times New Roman" w:hAnsi="Times New Roman" w:cs="Times New Roman"/>
          <w:iCs/>
          <w:sz w:val="24"/>
          <w:szCs w:val="24"/>
          <w:lang w:val="en-US" w:eastAsia="sv-SE"/>
        </w:rPr>
        <w:t xml:space="preserve"> </w:t>
      </w:r>
      <w:r w:rsidR="00956584" w:rsidRPr="007B140B">
        <w:rPr>
          <w:rFonts w:ascii="Times New Roman" w:eastAsia="Times New Roman" w:hAnsi="Times New Roman" w:cs="Times New Roman"/>
          <w:iCs/>
          <w:sz w:val="24"/>
          <w:szCs w:val="24"/>
          <w:lang w:val="en-US" w:eastAsia="sv-SE"/>
        </w:rPr>
        <w:t xml:space="preserve">24 </w:t>
      </w:r>
      <w:r w:rsidR="00602928" w:rsidRPr="007B140B">
        <w:rPr>
          <w:rFonts w:ascii="Times New Roman" w:eastAsia="Times New Roman" w:hAnsi="Times New Roman" w:cs="Times New Roman"/>
          <w:iCs/>
          <w:sz w:val="24"/>
          <w:szCs w:val="24"/>
          <w:lang w:val="en-US" w:eastAsia="sv-SE"/>
        </w:rPr>
        <w:t>month</w:t>
      </w:r>
      <w:r w:rsidR="00956584" w:rsidRPr="007B140B">
        <w:rPr>
          <w:rFonts w:ascii="Times New Roman" w:eastAsia="Times New Roman" w:hAnsi="Times New Roman" w:cs="Times New Roman"/>
          <w:iCs/>
          <w:sz w:val="24"/>
          <w:szCs w:val="24"/>
          <w:lang w:val="en-US" w:eastAsia="sv-SE"/>
        </w:rPr>
        <w:t>s</w:t>
      </w:r>
      <w:r w:rsidR="00602928" w:rsidRPr="007B140B">
        <w:rPr>
          <w:rFonts w:ascii="Times New Roman" w:eastAsia="Times New Roman" w:hAnsi="Times New Roman" w:cs="Times New Roman"/>
          <w:iCs/>
          <w:sz w:val="24"/>
          <w:szCs w:val="24"/>
          <w:lang w:val="en-US" w:eastAsia="sv-SE"/>
        </w:rPr>
        <w:t>,</w:t>
      </w:r>
      <w:r w:rsidR="00F666D5" w:rsidRPr="007B140B">
        <w:rPr>
          <w:rFonts w:ascii="Times New Roman" w:eastAsia="Times New Roman" w:hAnsi="Times New Roman" w:cs="Times New Roman"/>
          <w:iCs/>
          <w:sz w:val="24"/>
          <w:szCs w:val="24"/>
          <w:lang w:val="en-US" w:eastAsia="sv-SE"/>
        </w:rPr>
        <w:t xml:space="preserve"> participants will visit their study center </w:t>
      </w:r>
      <w:r w:rsidR="00C353A4">
        <w:rPr>
          <w:rFonts w:ascii="Times New Roman" w:eastAsia="Times New Roman" w:hAnsi="Times New Roman" w:cs="Times New Roman"/>
          <w:iCs/>
          <w:sz w:val="24"/>
          <w:szCs w:val="24"/>
          <w:lang w:val="en-US" w:eastAsia="sv-SE"/>
        </w:rPr>
        <w:t xml:space="preserve">to receive </w:t>
      </w:r>
      <w:r w:rsidR="00D55574" w:rsidRPr="007B140B">
        <w:rPr>
          <w:rFonts w:ascii="Times New Roman" w:eastAsia="Times New Roman" w:hAnsi="Times New Roman" w:cs="Times New Roman"/>
          <w:iCs/>
          <w:sz w:val="24"/>
          <w:szCs w:val="24"/>
          <w:lang w:val="en-US" w:eastAsia="sv-SE"/>
        </w:rPr>
        <w:t>a second</w:t>
      </w:r>
      <w:r w:rsidR="00D55574">
        <w:rPr>
          <w:rFonts w:ascii="Times New Roman" w:eastAsia="Times New Roman" w:hAnsi="Times New Roman" w:cs="Times New Roman"/>
          <w:iCs/>
          <w:sz w:val="24"/>
          <w:szCs w:val="24"/>
          <w:lang w:val="en-US" w:eastAsia="sv-SE"/>
        </w:rPr>
        <w:t xml:space="preserve"> loading dose of vitamin D</w:t>
      </w:r>
      <w:r w:rsidR="00D55574" w:rsidRPr="007B140B" w:rsidDel="00AB0825">
        <w:rPr>
          <w:rFonts w:ascii="Times New Roman" w:eastAsia="Times New Roman" w:hAnsi="Times New Roman" w:cs="Times New Roman"/>
          <w:iCs/>
          <w:sz w:val="24"/>
          <w:szCs w:val="24"/>
          <w:lang w:val="en-US" w:eastAsia="sv-SE"/>
        </w:rPr>
        <w:t xml:space="preserve"> </w:t>
      </w:r>
      <w:r w:rsidR="00D55574">
        <w:rPr>
          <w:rFonts w:ascii="Times New Roman" w:eastAsia="Times New Roman" w:hAnsi="Times New Roman" w:cs="Times New Roman"/>
          <w:iCs/>
          <w:sz w:val="24"/>
          <w:szCs w:val="24"/>
          <w:lang w:val="en-US" w:eastAsia="sv-SE"/>
        </w:rPr>
        <w:t xml:space="preserve">and </w:t>
      </w:r>
      <w:r w:rsidR="007D0B93">
        <w:rPr>
          <w:rFonts w:ascii="Times New Roman" w:eastAsia="Times New Roman" w:hAnsi="Times New Roman" w:cs="Times New Roman"/>
          <w:iCs/>
          <w:sz w:val="24"/>
          <w:szCs w:val="24"/>
          <w:lang w:val="en-US" w:eastAsia="sv-SE"/>
        </w:rPr>
        <w:t>a second</w:t>
      </w:r>
      <w:r w:rsidR="00F666D5" w:rsidRPr="007B140B">
        <w:rPr>
          <w:rFonts w:ascii="Times New Roman" w:eastAsia="Times New Roman" w:hAnsi="Times New Roman" w:cs="Times New Roman"/>
          <w:iCs/>
          <w:sz w:val="24"/>
          <w:szCs w:val="24"/>
          <w:lang w:val="en-US" w:eastAsia="sv-SE"/>
        </w:rPr>
        <w:t xml:space="preserve"> infusion of zoledronic acid or placebo</w:t>
      </w:r>
      <w:r w:rsidR="00585DA2">
        <w:rPr>
          <w:rFonts w:ascii="Times New Roman" w:eastAsia="Times New Roman" w:hAnsi="Times New Roman" w:cs="Times New Roman"/>
          <w:iCs/>
          <w:sz w:val="24"/>
          <w:szCs w:val="24"/>
          <w:lang w:val="en-US" w:eastAsia="sv-SE"/>
        </w:rPr>
        <w:t xml:space="preserve"> (Visit 4</w:t>
      </w:r>
      <w:proofErr w:type="gramStart"/>
      <w:r w:rsidR="00585DA2">
        <w:rPr>
          <w:rFonts w:ascii="Times New Roman" w:eastAsia="Times New Roman" w:hAnsi="Times New Roman" w:cs="Times New Roman"/>
          <w:iCs/>
          <w:sz w:val="24"/>
          <w:szCs w:val="24"/>
          <w:lang w:val="en-US" w:eastAsia="sv-SE"/>
        </w:rPr>
        <w:t>)</w:t>
      </w:r>
      <w:r w:rsidR="000B0946">
        <w:rPr>
          <w:rFonts w:ascii="Times New Roman" w:eastAsia="Times New Roman" w:hAnsi="Times New Roman" w:cs="Times New Roman"/>
          <w:iCs/>
          <w:sz w:val="24"/>
          <w:szCs w:val="24"/>
          <w:lang w:val="en-US" w:eastAsia="sv-SE"/>
        </w:rPr>
        <w:t>, and</w:t>
      </w:r>
      <w:proofErr w:type="gramEnd"/>
      <w:r w:rsidR="000B0946">
        <w:rPr>
          <w:rFonts w:ascii="Times New Roman" w:eastAsia="Times New Roman" w:hAnsi="Times New Roman" w:cs="Times New Roman"/>
          <w:iCs/>
          <w:sz w:val="24"/>
          <w:szCs w:val="24"/>
          <w:lang w:val="en-US" w:eastAsia="sv-SE"/>
        </w:rPr>
        <w:t xml:space="preserve"> be</w:t>
      </w:r>
      <w:r w:rsidR="007D0B93">
        <w:rPr>
          <w:rFonts w:ascii="Times New Roman" w:eastAsia="Times New Roman" w:hAnsi="Times New Roman" w:cs="Times New Roman"/>
          <w:iCs/>
          <w:sz w:val="24"/>
          <w:szCs w:val="24"/>
          <w:lang w:val="en-US" w:eastAsia="sv-SE"/>
        </w:rPr>
        <w:t xml:space="preserve"> </w:t>
      </w:r>
      <w:r>
        <w:rPr>
          <w:rFonts w:ascii="Times New Roman" w:eastAsia="Times New Roman" w:hAnsi="Times New Roman" w:cs="Times New Roman"/>
          <w:iCs/>
          <w:sz w:val="24"/>
          <w:szCs w:val="24"/>
          <w:lang w:val="en-US" w:eastAsia="sv-SE"/>
        </w:rPr>
        <w:t>i</w:t>
      </w:r>
      <w:r w:rsidR="000B0946">
        <w:rPr>
          <w:rFonts w:ascii="Times New Roman" w:eastAsia="Times New Roman" w:hAnsi="Times New Roman" w:cs="Times New Roman"/>
          <w:iCs/>
          <w:sz w:val="24"/>
          <w:szCs w:val="24"/>
          <w:lang w:val="en-US" w:eastAsia="sv-SE"/>
        </w:rPr>
        <w:t xml:space="preserve">nterviewed about </w:t>
      </w:r>
      <w:r w:rsidR="005110DF">
        <w:rPr>
          <w:rFonts w:ascii="Times New Roman" w:eastAsia="Times New Roman" w:hAnsi="Times New Roman" w:cs="Times New Roman"/>
          <w:iCs/>
          <w:sz w:val="24"/>
          <w:szCs w:val="24"/>
          <w:lang w:val="en-US" w:eastAsia="sv-SE"/>
        </w:rPr>
        <w:t xml:space="preserve">adverse events and </w:t>
      </w:r>
      <w:r w:rsidR="000B0946">
        <w:rPr>
          <w:rFonts w:ascii="Times New Roman" w:eastAsia="Times New Roman" w:hAnsi="Times New Roman" w:cs="Times New Roman"/>
          <w:iCs/>
          <w:sz w:val="24"/>
          <w:szCs w:val="24"/>
          <w:lang w:val="en-US" w:eastAsia="sv-SE"/>
        </w:rPr>
        <w:t>non-investigational bone-protective therapy</w:t>
      </w:r>
      <w:r w:rsidR="007D0B93">
        <w:rPr>
          <w:rFonts w:ascii="Times New Roman" w:eastAsia="Times New Roman" w:hAnsi="Times New Roman" w:cs="Times New Roman"/>
          <w:iCs/>
          <w:sz w:val="24"/>
          <w:szCs w:val="24"/>
          <w:lang w:val="en-US" w:eastAsia="sv-SE"/>
        </w:rPr>
        <w:t xml:space="preserve">. </w:t>
      </w:r>
    </w:p>
    <w:p w14:paraId="6C565162" w14:textId="3333781A" w:rsidR="005A6A43" w:rsidRDefault="0041561B" w:rsidP="005111FC">
      <w:pPr>
        <w:rPr>
          <w:rFonts w:ascii="Times New Roman" w:eastAsia="Times New Roman" w:hAnsi="Times New Roman" w:cs="Times New Roman"/>
          <w:iCs/>
          <w:sz w:val="24"/>
          <w:szCs w:val="24"/>
          <w:lang w:val="en-US" w:eastAsia="sv-SE"/>
        </w:rPr>
      </w:pPr>
      <w:r w:rsidRPr="007B140B">
        <w:rPr>
          <w:rFonts w:ascii="Times New Roman" w:eastAsia="Times New Roman" w:hAnsi="Times New Roman" w:cs="Times New Roman"/>
          <w:iCs/>
          <w:sz w:val="24"/>
          <w:szCs w:val="24"/>
          <w:lang w:val="en-US" w:eastAsia="sv-SE"/>
        </w:rPr>
        <w:t xml:space="preserve">Investigators must </w:t>
      </w:r>
      <w:r w:rsidR="002A7D6F" w:rsidRPr="007B140B">
        <w:rPr>
          <w:rFonts w:ascii="Times New Roman" w:eastAsia="Times New Roman" w:hAnsi="Times New Roman" w:cs="Times New Roman"/>
          <w:iCs/>
          <w:sz w:val="24"/>
          <w:szCs w:val="24"/>
          <w:lang w:val="en-US" w:eastAsia="sv-SE"/>
        </w:rPr>
        <w:t xml:space="preserve">do their best to </w:t>
      </w:r>
      <w:r w:rsidRPr="007B140B">
        <w:rPr>
          <w:rFonts w:ascii="Times New Roman" w:eastAsia="Times New Roman" w:hAnsi="Times New Roman" w:cs="Times New Roman"/>
          <w:iCs/>
          <w:sz w:val="24"/>
          <w:szCs w:val="24"/>
          <w:lang w:val="en-US" w:eastAsia="sv-SE"/>
        </w:rPr>
        <w:t xml:space="preserve">ensure that study contacts </w:t>
      </w:r>
      <w:r w:rsidR="00B66778" w:rsidRPr="007B140B">
        <w:rPr>
          <w:rFonts w:ascii="Times New Roman" w:eastAsia="Times New Roman" w:hAnsi="Times New Roman" w:cs="Times New Roman"/>
          <w:iCs/>
          <w:sz w:val="24"/>
          <w:szCs w:val="24"/>
          <w:lang w:val="en-US" w:eastAsia="sv-SE"/>
        </w:rPr>
        <w:t xml:space="preserve">occur in the designated time windows by scheduling </w:t>
      </w:r>
      <w:r w:rsidR="007D1EF8">
        <w:rPr>
          <w:rFonts w:ascii="Times New Roman" w:eastAsia="Times New Roman" w:hAnsi="Times New Roman" w:cs="Times New Roman"/>
          <w:iCs/>
          <w:sz w:val="24"/>
          <w:szCs w:val="24"/>
          <w:lang w:val="en-US" w:eastAsia="sv-SE"/>
        </w:rPr>
        <w:t xml:space="preserve">the </w:t>
      </w:r>
      <w:r w:rsidR="00C44E4D">
        <w:rPr>
          <w:rFonts w:ascii="Times New Roman" w:eastAsia="Times New Roman" w:hAnsi="Times New Roman" w:cs="Times New Roman"/>
          <w:iCs/>
          <w:sz w:val="24"/>
          <w:szCs w:val="24"/>
          <w:lang w:val="en-US" w:eastAsia="sv-SE"/>
        </w:rPr>
        <w:t xml:space="preserve">study </w:t>
      </w:r>
      <w:r w:rsidR="007D1EF8">
        <w:rPr>
          <w:rFonts w:ascii="Times New Roman" w:eastAsia="Times New Roman" w:hAnsi="Times New Roman" w:cs="Times New Roman"/>
          <w:iCs/>
          <w:sz w:val="24"/>
          <w:szCs w:val="24"/>
          <w:lang w:val="en-US" w:eastAsia="sv-SE"/>
        </w:rPr>
        <w:t>contacts</w:t>
      </w:r>
      <w:r w:rsidR="00B66778" w:rsidRPr="007B140B">
        <w:rPr>
          <w:rFonts w:ascii="Times New Roman" w:eastAsia="Times New Roman" w:hAnsi="Times New Roman" w:cs="Times New Roman"/>
          <w:iCs/>
          <w:sz w:val="24"/>
          <w:szCs w:val="24"/>
          <w:lang w:val="en-US" w:eastAsia="sv-SE"/>
        </w:rPr>
        <w:t xml:space="preserve"> in good time.</w:t>
      </w:r>
      <w:r w:rsidR="00AC53CD" w:rsidRPr="007B140B">
        <w:rPr>
          <w:rFonts w:ascii="Times New Roman" w:eastAsia="Times New Roman" w:hAnsi="Times New Roman" w:cs="Times New Roman"/>
          <w:iCs/>
          <w:sz w:val="24"/>
          <w:szCs w:val="24"/>
          <w:lang w:val="en-US" w:eastAsia="sv-SE"/>
        </w:rPr>
        <w:t xml:space="preserve"> </w:t>
      </w:r>
      <w:r w:rsidR="00630FAC">
        <w:rPr>
          <w:rFonts w:ascii="Times New Roman" w:eastAsia="Times New Roman" w:hAnsi="Times New Roman" w:cs="Times New Roman"/>
          <w:iCs/>
          <w:sz w:val="24"/>
          <w:szCs w:val="24"/>
          <w:lang w:val="en-US" w:eastAsia="sv-SE"/>
        </w:rPr>
        <w:t>T</w:t>
      </w:r>
      <w:r w:rsidR="009F7B4D">
        <w:rPr>
          <w:rFonts w:ascii="Times New Roman" w:eastAsia="Times New Roman" w:hAnsi="Times New Roman" w:cs="Times New Roman"/>
          <w:iCs/>
          <w:sz w:val="24"/>
          <w:szCs w:val="24"/>
          <w:lang w:val="en-US" w:eastAsia="sv-SE"/>
        </w:rPr>
        <w:t>he procedures performed at screening (Visit 1)</w:t>
      </w:r>
      <w:r w:rsidR="00F361C1">
        <w:rPr>
          <w:rFonts w:ascii="Times New Roman" w:eastAsia="Times New Roman" w:hAnsi="Times New Roman" w:cs="Times New Roman"/>
          <w:iCs/>
          <w:sz w:val="24"/>
          <w:szCs w:val="24"/>
          <w:lang w:val="en-US" w:eastAsia="sv-SE"/>
        </w:rPr>
        <w:t xml:space="preserve"> do not need to be re</w:t>
      </w:r>
      <w:r w:rsidR="009F7B4D">
        <w:rPr>
          <w:rFonts w:ascii="Times New Roman" w:eastAsia="Times New Roman" w:hAnsi="Times New Roman" w:cs="Times New Roman"/>
          <w:iCs/>
          <w:sz w:val="24"/>
          <w:szCs w:val="24"/>
          <w:lang w:val="en-US" w:eastAsia="sv-SE"/>
        </w:rPr>
        <w:t>peated if randomization (Visit 2) is delayed</w:t>
      </w:r>
      <w:r w:rsidR="007D2F21">
        <w:rPr>
          <w:rFonts w:ascii="Times New Roman" w:eastAsia="Times New Roman" w:hAnsi="Times New Roman" w:cs="Times New Roman"/>
          <w:iCs/>
          <w:sz w:val="24"/>
          <w:szCs w:val="24"/>
          <w:lang w:val="en-US" w:eastAsia="sv-SE"/>
        </w:rPr>
        <w:t xml:space="preserve"> no more than two months</w:t>
      </w:r>
      <w:r w:rsidR="009F7B4D">
        <w:rPr>
          <w:rFonts w:ascii="Times New Roman" w:eastAsia="Times New Roman" w:hAnsi="Times New Roman" w:cs="Times New Roman"/>
          <w:iCs/>
          <w:sz w:val="24"/>
          <w:szCs w:val="24"/>
          <w:lang w:val="en-US" w:eastAsia="sv-SE"/>
        </w:rPr>
        <w:t xml:space="preserve">. </w:t>
      </w:r>
      <w:r w:rsidR="004646EE">
        <w:rPr>
          <w:rFonts w:ascii="Times New Roman" w:eastAsia="Times New Roman" w:hAnsi="Times New Roman" w:cs="Times New Roman"/>
          <w:iCs/>
          <w:sz w:val="24"/>
          <w:szCs w:val="24"/>
          <w:lang w:val="en-US" w:eastAsia="sv-SE"/>
        </w:rPr>
        <w:t>Each visit is anticipated to take 1 hour.</w:t>
      </w:r>
    </w:p>
    <w:p w14:paraId="1399AC1D" w14:textId="77777777" w:rsidR="00373376" w:rsidRDefault="00373376" w:rsidP="005111FC">
      <w:pPr>
        <w:rPr>
          <w:rFonts w:ascii="Times New Roman" w:eastAsia="Times New Roman" w:hAnsi="Times New Roman" w:cs="Times New Roman"/>
          <w:iCs/>
          <w:sz w:val="24"/>
          <w:szCs w:val="24"/>
          <w:lang w:val="en-US" w:eastAsia="sv-SE"/>
        </w:rPr>
      </w:pPr>
    </w:p>
    <w:tbl>
      <w:tblPr>
        <w:tblStyle w:val="Tabellrutnt"/>
        <w:tblW w:w="5000" w:type="pct"/>
        <w:tblLayout w:type="fixed"/>
        <w:tblLook w:val="04A0" w:firstRow="1" w:lastRow="0" w:firstColumn="1" w:lastColumn="0" w:noHBand="0" w:noVBand="1"/>
      </w:tblPr>
      <w:tblGrid>
        <w:gridCol w:w="3261"/>
        <w:gridCol w:w="1190"/>
        <w:gridCol w:w="1027"/>
        <w:gridCol w:w="1540"/>
        <w:gridCol w:w="1027"/>
        <w:gridCol w:w="1027"/>
      </w:tblGrid>
      <w:tr w:rsidR="00F479F3" w:rsidRPr="00390BA5" w14:paraId="41AE6786" w14:textId="77777777" w:rsidTr="00066B77">
        <w:trPr>
          <w:trHeight w:val="242"/>
        </w:trPr>
        <w:tc>
          <w:tcPr>
            <w:tcW w:w="5000" w:type="pct"/>
            <w:gridSpan w:val="6"/>
            <w:tcBorders>
              <w:top w:val="nil"/>
              <w:left w:val="nil"/>
              <w:bottom w:val="nil"/>
              <w:right w:val="nil"/>
            </w:tcBorders>
          </w:tcPr>
          <w:p w14:paraId="100AB127" w14:textId="13E663FA" w:rsidR="00F479F3" w:rsidRPr="00066B77" w:rsidRDefault="00F479F3">
            <w:pPr>
              <w:spacing w:after="0"/>
              <w:rPr>
                <w:rFonts w:ascii="Times New Roman" w:hAnsi="Times New Roman" w:cs="Times New Roman"/>
                <w:b/>
                <w:sz w:val="24"/>
                <w:szCs w:val="24"/>
                <w:lang w:val="en-US"/>
              </w:rPr>
            </w:pPr>
            <w:r w:rsidRPr="00066B77">
              <w:rPr>
                <w:rFonts w:ascii="Times New Roman" w:hAnsi="Times New Roman" w:cs="Times New Roman"/>
                <w:b/>
                <w:sz w:val="24"/>
                <w:szCs w:val="24"/>
                <w:lang w:val="en-US"/>
              </w:rPr>
              <w:lastRenderedPageBreak/>
              <w:t>Table 1.</w:t>
            </w:r>
            <w:r w:rsidRPr="00066B77">
              <w:rPr>
                <w:rFonts w:ascii="Times New Roman" w:hAnsi="Times New Roman" w:cs="Times New Roman"/>
                <w:sz w:val="24"/>
                <w:szCs w:val="24"/>
                <w:lang w:val="en-US"/>
              </w:rPr>
              <w:t xml:space="preserve"> Participant Timeline </w:t>
            </w:r>
            <w:r w:rsidR="00CA34AC" w:rsidRPr="00066B77">
              <w:rPr>
                <w:rFonts w:ascii="Times New Roman" w:hAnsi="Times New Roman" w:cs="Times New Roman"/>
                <w:sz w:val="24"/>
                <w:szCs w:val="24"/>
                <w:lang w:val="en-US"/>
              </w:rPr>
              <w:t>for</w:t>
            </w:r>
            <w:r w:rsidRPr="00066B77">
              <w:rPr>
                <w:rFonts w:ascii="Times New Roman" w:hAnsi="Times New Roman" w:cs="Times New Roman"/>
                <w:sz w:val="24"/>
                <w:szCs w:val="24"/>
                <w:lang w:val="en-US"/>
              </w:rPr>
              <w:t xml:space="preserve"> the 4-Year Main Phase</w:t>
            </w:r>
          </w:p>
        </w:tc>
      </w:tr>
      <w:tr w:rsidR="009F4F9D" w:rsidRPr="00E37EAB" w14:paraId="5DB1C0D5" w14:textId="77777777" w:rsidTr="00066B77">
        <w:trPr>
          <w:gridAfter w:val="1"/>
          <w:wAfter w:w="566" w:type="pct"/>
          <w:trHeight w:val="254"/>
        </w:trPr>
        <w:tc>
          <w:tcPr>
            <w:tcW w:w="1797" w:type="pct"/>
            <w:vAlign w:val="bottom"/>
          </w:tcPr>
          <w:p w14:paraId="725470F7" w14:textId="77777777" w:rsidR="009F4F9D" w:rsidRPr="00066B77" w:rsidRDefault="009F4F9D" w:rsidP="00BF62FF">
            <w:pPr>
              <w:spacing w:after="0"/>
              <w:rPr>
                <w:rFonts w:ascii="Times New Roman" w:hAnsi="Times New Roman" w:cs="Times New Roman"/>
                <w:b/>
                <w:sz w:val="24"/>
                <w:szCs w:val="24"/>
                <w:lang w:val="en-US"/>
              </w:rPr>
            </w:pPr>
            <w:r w:rsidRPr="00066B77">
              <w:rPr>
                <w:rFonts w:ascii="Times New Roman" w:hAnsi="Times New Roman" w:cs="Times New Roman"/>
                <w:b/>
                <w:sz w:val="24"/>
                <w:szCs w:val="24"/>
                <w:lang w:val="en-US"/>
              </w:rPr>
              <w:t>Timing/procedure</w:t>
            </w:r>
          </w:p>
        </w:tc>
        <w:tc>
          <w:tcPr>
            <w:tcW w:w="656" w:type="pct"/>
            <w:vAlign w:val="bottom"/>
          </w:tcPr>
          <w:p w14:paraId="2C7EA639" w14:textId="3ED0D766" w:rsidR="009F4F9D" w:rsidRPr="00066B77" w:rsidRDefault="009F4F9D" w:rsidP="0024388A">
            <w:pPr>
              <w:spacing w:after="0"/>
              <w:rPr>
                <w:rFonts w:ascii="Times New Roman" w:hAnsi="Times New Roman" w:cs="Times New Roman"/>
                <w:b/>
                <w:sz w:val="24"/>
                <w:szCs w:val="24"/>
                <w:lang w:val="en-US"/>
              </w:rPr>
            </w:pPr>
            <w:r>
              <w:rPr>
                <w:rFonts w:ascii="Times New Roman" w:hAnsi="Times New Roman" w:cs="Times New Roman"/>
                <w:b/>
                <w:sz w:val="24"/>
                <w:szCs w:val="24"/>
                <w:lang w:val="en-US"/>
              </w:rPr>
              <w:t>Visit 1</w:t>
            </w:r>
          </w:p>
        </w:tc>
        <w:tc>
          <w:tcPr>
            <w:tcW w:w="566" w:type="pct"/>
            <w:vAlign w:val="bottom"/>
          </w:tcPr>
          <w:p w14:paraId="11BBA12A" w14:textId="6CE4460F" w:rsidR="009F4F9D" w:rsidRPr="00066B77" w:rsidRDefault="009F4F9D" w:rsidP="0024388A">
            <w:pP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 Visit 2</w:t>
            </w:r>
          </w:p>
        </w:tc>
        <w:tc>
          <w:tcPr>
            <w:tcW w:w="849" w:type="pct"/>
            <w:vAlign w:val="bottom"/>
          </w:tcPr>
          <w:p w14:paraId="66229488" w14:textId="71914CD4" w:rsidR="009F4F9D" w:rsidRPr="00066B77" w:rsidRDefault="009F4F9D" w:rsidP="00FD6EEE">
            <w:pPr>
              <w:spacing w:after="0"/>
              <w:rPr>
                <w:rFonts w:ascii="Times New Roman" w:hAnsi="Times New Roman" w:cs="Times New Roman"/>
                <w:b/>
                <w:sz w:val="24"/>
                <w:szCs w:val="24"/>
                <w:lang w:val="en-US"/>
              </w:rPr>
            </w:pPr>
            <w:r>
              <w:rPr>
                <w:rFonts w:ascii="Times New Roman" w:hAnsi="Times New Roman" w:cs="Times New Roman"/>
                <w:b/>
                <w:sz w:val="24"/>
                <w:szCs w:val="24"/>
                <w:lang w:val="en-US"/>
              </w:rPr>
              <w:t>Visit 3</w:t>
            </w:r>
            <w:r w:rsidRPr="00066B77">
              <w:rPr>
                <w:rFonts w:ascii="Times New Roman" w:hAnsi="Times New Roman" w:cs="Times New Roman"/>
                <w:b/>
                <w:sz w:val="24"/>
                <w:szCs w:val="24"/>
                <w:lang w:val="en-US"/>
              </w:rPr>
              <w:t>*</w:t>
            </w:r>
          </w:p>
        </w:tc>
        <w:tc>
          <w:tcPr>
            <w:tcW w:w="566" w:type="pct"/>
            <w:vAlign w:val="bottom"/>
          </w:tcPr>
          <w:p w14:paraId="57A92229" w14:textId="6E3D5F0B" w:rsidR="009F4F9D" w:rsidRPr="00066B77" w:rsidRDefault="009F4F9D" w:rsidP="00BF62FF">
            <w:pPr>
              <w:spacing w:after="0"/>
              <w:rPr>
                <w:rFonts w:ascii="Times New Roman" w:hAnsi="Times New Roman" w:cs="Times New Roman"/>
                <w:b/>
                <w:sz w:val="24"/>
                <w:szCs w:val="24"/>
                <w:lang w:val="en-US"/>
              </w:rPr>
            </w:pPr>
            <w:r>
              <w:rPr>
                <w:rFonts w:ascii="Times New Roman" w:hAnsi="Times New Roman" w:cs="Times New Roman"/>
                <w:b/>
                <w:sz w:val="24"/>
                <w:szCs w:val="24"/>
                <w:lang w:val="en-US"/>
              </w:rPr>
              <w:t>Visit 4</w:t>
            </w:r>
          </w:p>
        </w:tc>
      </w:tr>
      <w:tr w:rsidR="009F4F9D" w:rsidRPr="00E37EAB" w14:paraId="3F4A8476" w14:textId="77777777" w:rsidTr="00066B77">
        <w:trPr>
          <w:gridAfter w:val="1"/>
          <w:wAfter w:w="566" w:type="pct"/>
          <w:trHeight w:val="160"/>
        </w:trPr>
        <w:tc>
          <w:tcPr>
            <w:tcW w:w="1797" w:type="pct"/>
          </w:tcPr>
          <w:p w14:paraId="073F93FC" w14:textId="77777777" w:rsidR="009F4F9D" w:rsidRPr="00066B77" w:rsidRDefault="009F4F9D" w:rsidP="00F479F3">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Time point</w:t>
            </w:r>
          </w:p>
        </w:tc>
        <w:tc>
          <w:tcPr>
            <w:tcW w:w="656" w:type="pct"/>
          </w:tcPr>
          <w:p w14:paraId="2D1CCD8A" w14:textId="36182C51" w:rsidR="009F4F9D" w:rsidRPr="00066B77" w:rsidRDefault="009F4F9D" w:rsidP="00F479F3">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w:t>
            </w:r>
            <w:r>
              <w:rPr>
                <w:rFonts w:ascii="Times New Roman" w:hAnsi="Times New Roman" w:cs="Times New Roman"/>
                <w:sz w:val="24"/>
                <w:szCs w:val="24"/>
                <w:lang w:val="en-US"/>
              </w:rPr>
              <w:t>10</w:t>
            </w:r>
            <w:r w:rsidRPr="00066B77">
              <w:rPr>
                <w:rFonts w:ascii="Times New Roman" w:hAnsi="Times New Roman" w:cs="Times New Roman"/>
                <w:sz w:val="24"/>
                <w:szCs w:val="24"/>
                <w:lang w:val="en-US"/>
              </w:rPr>
              <w:t xml:space="preserve"> d</w:t>
            </w:r>
          </w:p>
        </w:tc>
        <w:tc>
          <w:tcPr>
            <w:tcW w:w="566" w:type="pct"/>
          </w:tcPr>
          <w:p w14:paraId="4505FA4E" w14:textId="77777777" w:rsidR="009F4F9D" w:rsidRPr="00066B77" w:rsidRDefault="009F4F9D" w:rsidP="00F479F3">
            <w:pPr>
              <w:spacing w:after="0"/>
              <w:ind w:right="-159"/>
              <w:rPr>
                <w:rFonts w:ascii="Times New Roman" w:hAnsi="Times New Roman" w:cs="Times New Roman"/>
                <w:sz w:val="24"/>
                <w:szCs w:val="24"/>
                <w:lang w:val="en-US"/>
              </w:rPr>
            </w:pPr>
            <w:r w:rsidRPr="00066B77">
              <w:rPr>
                <w:rFonts w:ascii="Times New Roman" w:hAnsi="Times New Roman" w:cs="Times New Roman"/>
                <w:sz w:val="24"/>
                <w:szCs w:val="24"/>
                <w:lang w:val="en-US"/>
              </w:rPr>
              <w:t>0</w:t>
            </w:r>
          </w:p>
        </w:tc>
        <w:tc>
          <w:tcPr>
            <w:tcW w:w="849" w:type="pct"/>
          </w:tcPr>
          <w:p w14:paraId="11604DA4" w14:textId="5ABD9900" w:rsidR="009F4F9D" w:rsidRPr="00066B77" w:rsidRDefault="009F4F9D" w:rsidP="00F479F3">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23 m + 3 w</w:t>
            </w:r>
          </w:p>
        </w:tc>
        <w:tc>
          <w:tcPr>
            <w:tcW w:w="566" w:type="pct"/>
          </w:tcPr>
          <w:p w14:paraId="368F551C" w14:textId="36A371D6" w:rsidR="009F4F9D" w:rsidRPr="00066B77" w:rsidRDefault="009F4F9D" w:rsidP="00F479F3">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24 m</w:t>
            </w:r>
          </w:p>
        </w:tc>
      </w:tr>
      <w:tr w:rsidR="009F4F9D" w:rsidRPr="00E37EAB" w14:paraId="0051A0E0" w14:textId="77777777" w:rsidTr="00066B77">
        <w:trPr>
          <w:gridAfter w:val="1"/>
          <w:wAfter w:w="566" w:type="pct"/>
          <w:trHeight w:val="178"/>
        </w:trPr>
        <w:tc>
          <w:tcPr>
            <w:tcW w:w="1797" w:type="pct"/>
          </w:tcPr>
          <w:p w14:paraId="28C86D0C" w14:textId="77777777" w:rsidR="009F4F9D" w:rsidRPr="00066B77" w:rsidRDefault="009F4F9D" w:rsidP="00F479F3">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Time window</w:t>
            </w:r>
          </w:p>
        </w:tc>
        <w:tc>
          <w:tcPr>
            <w:tcW w:w="656" w:type="pct"/>
          </w:tcPr>
          <w:p w14:paraId="2C0C3875" w14:textId="77777777" w:rsidR="009F4F9D" w:rsidRPr="00066B77" w:rsidRDefault="009F4F9D" w:rsidP="00F479F3">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-4 to -1 w</w:t>
            </w:r>
          </w:p>
        </w:tc>
        <w:tc>
          <w:tcPr>
            <w:tcW w:w="566" w:type="pct"/>
          </w:tcPr>
          <w:p w14:paraId="6BDEA4D6" w14:textId="77777777" w:rsidR="009F4F9D" w:rsidRPr="00066B77" w:rsidRDefault="009F4F9D" w:rsidP="00F479F3">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0</w:t>
            </w:r>
          </w:p>
        </w:tc>
        <w:tc>
          <w:tcPr>
            <w:tcW w:w="849" w:type="pct"/>
          </w:tcPr>
          <w:p w14:paraId="576698C2" w14:textId="352BEA4E" w:rsidR="009F4F9D" w:rsidRPr="00066B77" w:rsidRDefault="009F4F9D" w:rsidP="00F479F3">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±4 w</w:t>
            </w:r>
          </w:p>
        </w:tc>
        <w:tc>
          <w:tcPr>
            <w:tcW w:w="566" w:type="pct"/>
          </w:tcPr>
          <w:p w14:paraId="15FF1D6D" w14:textId="70C89191" w:rsidR="009F4F9D" w:rsidRPr="00066B77" w:rsidRDefault="009F4F9D" w:rsidP="00F479F3">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±4 w</w:t>
            </w:r>
          </w:p>
        </w:tc>
      </w:tr>
      <w:tr w:rsidR="009F4F9D" w:rsidRPr="00E37EAB" w14:paraId="42C4F803" w14:textId="77777777" w:rsidTr="00066B77">
        <w:trPr>
          <w:gridAfter w:val="1"/>
          <w:wAfter w:w="566" w:type="pct"/>
          <w:trHeight w:val="254"/>
        </w:trPr>
        <w:tc>
          <w:tcPr>
            <w:tcW w:w="1797" w:type="pct"/>
          </w:tcPr>
          <w:p w14:paraId="56956CA4" w14:textId="77777777" w:rsidR="009F4F9D" w:rsidRPr="00066B77" w:rsidRDefault="009F4F9D" w:rsidP="00F479F3">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Informed consent</w:t>
            </w:r>
          </w:p>
        </w:tc>
        <w:tc>
          <w:tcPr>
            <w:tcW w:w="656" w:type="pct"/>
          </w:tcPr>
          <w:p w14:paraId="3D75C36B" w14:textId="77777777" w:rsidR="009F4F9D" w:rsidRPr="00066B77" w:rsidRDefault="009F4F9D" w:rsidP="00F479F3">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X</w:t>
            </w:r>
          </w:p>
        </w:tc>
        <w:tc>
          <w:tcPr>
            <w:tcW w:w="566" w:type="pct"/>
          </w:tcPr>
          <w:p w14:paraId="69D6C10D" w14:textId="77777777" w:rsidR="009F4F9D" w:rsidRPr="00066B77" w:rsidRDefault="009F4F9D" w:rsidP="00F479F3">
            <w:pPr>
              <w:spacing w:after="0"/>
              <w:rPr>
                <w:rFonts w:ascii="Times New Roman" w:hAnsi="Times New Roman" w:cs="Times New Roman"/>
                <w:sz w:val="24"/>
                <w:szCs w:val="24"/>
                <w:lang w:val="en-US"/>
              </w:rPr>
            </w:pPr>
          </w:p>
        </w:tc>
        <w:tc>
          <w:tcPr>
            <w:tcW w:w="849" w:type="pct"/>
          </w:tcPr>
          <w:p w14:paraId="6EB9001D" w14:textId="77777777" w:rsidR="009F4F9D" w:rsidRPr="00066B77" w:rsidRDefault="009F4F9D" w:rsidP="00F479F3">
            <w:pPr>
              <w:spacing w:after="0"/>
              <w:rPr>
                <w:rFonts w:ascii="Times New Roman" w:hAnsi="Times New Roman" w:cs="Times New Roman"/>
                <w:sz w:val="24"/>
                <w:szCs w:val="24"/>
                <w:lang w:val="en-US"/>
              </w:rPr>
            </w:pPr>
          </w:p>
        </w:tc>
        <w:tc>
          <w:tcPr>
            <w:tcW w:w="566" w:type="pct"/>
          </w:tcPr>
          <w:p w14:paraId="4A46440F" w14:textId="77777777" w:rsidR="009F4F9D" w:rsidRPr="00066B77" w:rsidRDefault="009F4F9D" w:rsidP="00F479F3">
            <w:pPr>
              <w:spacing w:after="0"/>
              <w:rPr>
                <w:rFonts w:ascii="Times New Roman" w:hAnsi="Times New Roman" w:cs="Times New Roman"/>
                <w:sz w:val="24"/>
                <w:szCs w:val="24"/>
                <w:lang w:val="en-US"/>
              </w:rPr>
            </w:pPr>
          </w:p>
        </w:tc>
      </w:tr>
      <w:tr w:rsidR="009F4F9D" w:rsidRPr="00E37EAB" w14:paraId="0AFBBDD9" w14:textId="77777777" w:rsidTr="00066B77">
        <w:trPr>
          <w:gridAfter w:val="1"/>
          <w:wAfter w:w="566" w:type="pct"/>
          <w:trHeight w:val="309"/>
        </w:trPr>
        <w:tc>
          <w:tcPr>
            <w:tcW w:w="1797" w:type="pct"/>
          </w:tcPr>
          <w:p w14:paraId="196B538C" w14:textId="6D289D7B" w:rsidR="009F4F9D" w:rsidRPr="00066B77" w:rsidRDefault="009F4F9D" w:rsidP="00F479F3">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 xml:space="preserve">Participant ID  </w:t>
            </w:r>
          </w:p>
        </w:tc>
        <w:tc>
          <w:tcPr>
            <w:tcW w:w="656" w:type="pct"/>
          </w:tcPr>
          <w:p w14:paraId="4570EE23" w14:textId="77777777" w:rsidR="009F4F9D" w:rsidRPr="00066B77" w:rsidRDefault="009F4F9D" w:rsidP="00F479F3">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X</w:t>
            </w:r>
          </w:p>
        </w:tc>
        <w:tc>
          <w:tcPr>
            <w:tcW w:w="566" w:type="pct"/>
          </w:tcPr>
          <w:p w14:paraId="186C8B1C" w14:textId="4A2E6ED2" w:rsidR="009F4F9D" w:rsidRPr="00066B77" w:rsidRDefault="009F4F9D" w:rsidP="00F479F3">
            <w:pPr>
              <w:spacing w:after="0"/>
              <w:rPr>
                <w:rFonts w:ascii="Times New Roman" w:hAnsi="Times New Roman" w:cs="Times New Roman"/>
                <w:sz w:val="24"/>
                <w:szCs w:val="24"/>
                <w:lang w:val="en-US"/>
              </w:rPr>
            </w:pPr>
          </w:p>
        </w:tc>
        <w:tc>
          <w:tcPr>
            <w:tcW w:w="849" w:type="pct"/>
          </w:tcPr>
          <w:p w14:paraId="17217536" w14:textId="77777777" w:rsidR="009F4F9D" w:rsidRPr="00066B77" w:rsidRDefault="009F4F9D" w:rsidP="00F479F3">
            <w:pPr>
              <w:spacing w:after="0"/>
              <w:rPr>
                <w:rFonts w:ascii="Times New Roman" w:hAnsi="Times New Roman" w:cs="Times New Roman"/>
                <w:sz w:val="24"/>
                <w:szCs w:val="24"/>
                <w:lang w:val="en-US"/>
              </w:rPr>
            </w:pPr>
          </w:p>
        </w:tc>
        <w:tc>
          <w:tcPr>
            <w:tcW w:w="566" w:type="pct"/>
          </w:tcPr>
          <w:p w14:paraId="799A4964" w14:textId="77777777" w:rsidR="009F4F9D" w:rsidRPr="00066B77" w:rsidRDefault="009F4F9D" w:rsidP="00F479F3">
            <w:pPr>
              <w:spacing w:after="0"/>
              <w:rPr>
                <w:rFonts w:ascii="Times New Roman" w:hAnsi="Times New Roman" w:cs="Times New Roman"/>
                <w:sz w:val="24"/>
                <w:szCs w:val="24"/>
                <w:lang w:val="en-US"/>
              </w:rPr>
            </w:pPr>
          </w:p>
        </w:tc>
      </w:tr>
      <w:tr w:rsidR="009F4F9D" w:rsidRPr="00E37EAB" w14:paraId="573EBBD7" w14:textId="77777777" w:rsidTr="00066B77">
        <w:trPr>
          <w:gridAfter w:val="1"/>
          <w:wAfter w:w="566" w:type="pct"/>
          <w:trHeight w:val="309"/>
        </w:trPr>
        <w:tc>
          <w:tcPr>
            <w:tcW w:w="1797" w:type="pct"/>
          </w:tcPr>
          <w:p w14:paraId="76AEDAF0" w14:textId="24EDF814" w:rsidR="009F4F9D" w:rsidRPr="00066B77" w:rsidRDefault="009F4F9D" w:rsidP="00F479F3">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Inclusion/exclusion criteria</w:t>
            </w:r>
          </w:p>
        </w:tc>
        <w:tc>
          <w:tcPr>
            <w:tcW w:w="656" w:type="pct"/>
          </w:tcPr>
          <w:p w14:paraId="2D12105E" w14:textId="77777777" w:rsidR="009F4F9D" w:rsidRPr="00066B77" w:rsidRDefault="009F4F9D" w:rsidP="00F479F3">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X</w:t>
            </w:r>
          </w:p>
        </w:tc>
        <w:tc>
          <w:tcPr>
            <w:tcW w:w="566" w:type="pct"/>
          </w:tcPr>
          <w:p w14:paraId="290A9E45" w14:textId="77777777" w:rsidR="009F4F9D" w:rsidRPr="00066B77" w:rsidRDefault="009F4F9D" w:rsidP="00F479F3">
            <w:pPr>
              <w:spacing w:after="0"/>
              <w:rPr>
                <w:rFonts w:ascii="Times New Roman" w:hAnsi="Times New Roman" w:cs="Times New Roman"/>
                <w:sz w:val="24"/>
                <w:szCs w:val="24"/>
                <w:lang w:val="en-US"/>
              </w:rPr>
            </w:pPr>
          </w:p>
        </w:tc>
        <w:tc>
          <w:tcPr>
            <w:tcW w:w="849" w:type="pct"/>
          </w:tcPr>
          <w:p w14:paraId="176698C8" w14:textId="77777777" w:rsidR="009F4F9D" w:rsidRPr="00066B77" w:rsidRDefault="009F4F9D" w:rsidP="00F479F3">
            <w:pPr>
              <w:spacing w:after="0"/>
              <w:rPr>
                <w:rFonts w:ascii="Times New Roman" w:hAnsi="Times New Roman" w:cs="Times New Roman"/>
                <w:sz w:val="24"/>
                <w:szCs w:val="24"/>
                <w:lang w:val="en-US"/>
              </w:rPr>
            </w:pPr>
          </w:p>
        </w:tc>
        <w:tc>
          <w:tcPr>
            <w:tcW w:w="566" w:type="pct"/>
          </w:tcPr>
          <w:p w14:paraId="55FFF0B8" w14:textId="77777777" w:rsidR="009F4F9D" w:rsidRPr="00066B77" w:rsidRDefault="009F4F9D" w:rsidP="00F479F3">
            <w:pPr>
              <w:spacing w:after="0"/>
              <w:rPr>
                <w:rFonts w:ascii="Times New Roman" w:hAnsi="Times New Roman" w:cs="Times New Roman"/>
                <w:sz w:val="24"/>
                <w:szCs w:val="24"/>
                <w:lang w:val="en-US"/>
              </w:rPr>
            </w:pPr>
          </w:p>
        </w:tc>
      </w:tr>
      <w:tr w:rsidR="009F4F9D" w:rsidRPr="00E37EAB" w14:paraId="23A0B705" w14:textId="77777777" w:rsidTr="00066B77">
        <w:trPr>
          <w:gridAfter w:val="1"/>
          <w:wAfter w:w="566" w:type="pct"/>
          <w:trHeight w:val="309"/>
        </w:trPr>
        <w:tc>
          <w:tcPr>
            <w:tcW w:w="1797" w:type="pct"/>
          </w:tcPr>
          <w:p w14:paraId="1CB91926" w14:textId="3CB70074" w:rsidR="009F4F9D" w:rsidRPr="00066B77" w:rsidRDefault="009F4F9D" w:rsidP="00F479F3">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Health/lifestyle questionnaire</w:t>
            </w:r>
          </w:p>
        </w:tc>
        <w:tc>
          <w:tcPr>
            <w:tcW w:w="656" w:type="pct"/>
          </w:tcPr>
          <w:p w14:paraId="04068BD1" w14:textId="5B250EAC" w:rsidR="009F4F9D" w:rsidRPr="00066B77" w:rsidRDefault="009F4F9D" w:rsidP="00F479F3">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X</w:t>
            </w:r>
          </w:p>
        </w:tc>
        <w:tc>
          <w:tcPr>
            <w:tcW w:w="566" w:type="pct"/>
          </w:tcPr>
          <w:p w14:paraId="0A2E8F92" w14:textId="5852D66E" w:rsidR="009F4F9D" w:rsidRPr="00066B77" w:rsidRDefault="009F4F9D" w:rsidP="00F479F3">
            <w:pPr>
              <w:spacing w:after="0"/>
              <w:rPr>
                <w:rFonts w:ascii="Times New Roman" w:hAnsi="Times New Roman" w:cs="Times New Roman"/>
                <w:sz w:val="24"/>
                <w:szCs w:val="24"/>
                <w:lang w:val="en-US"/>
              </w:rPr>
            </w:pPr>
          </w:p>
        </w:tc>
        <w:tc>
          <w:tcPr>
            <w:tcW w:w="849" w:type="pct"/>
          </w:tcPr>
          <w:p w14:paraId="374681D2" w14:textId="77777777" w:rsidR="009F4F9D" w:rsidRPr="00066B77" w:rsidRDefault="009F4F9D" w:rsidP="00F479F3">
            <w:pPr>
              <w:spacing w:after="0"/>
              <w:rPr>
                <w:rFonts w:ascii="Times New Roman" w:hAnsi="Times New Roman" w:cs="Times New Roman"/>
                <w:sz w:val="24"/>
                <w:szCs w:val="24"/>
                <w:lang w:val="en-US"/>
              </w:rPr>
            </w:pPr>
          </w:p>
        </w:tc>
        <w:tc>
          <w:tcPr>
            <w:tcW w:w="566" w:type="pct"/>
          </w:tcPr>
          <w:p w14:paraId="26EF2E75" w14:textId="24F419C0" w:rsidR="009F4F9D" w:rsidRPr="00066B77" w:rsidRDefault="009F4F9D" w:rsidP="00F479F3">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X</w:t>
            </w:r>
          </w:p>
        </w:tc>
      </w:tr>
      <w:tr w:rsidR="009F4F9D" w:rsidRPr="00E37EAB" w14:paraId="1269585B" w14:textId="77777777" w:rsidTr="00066B77">
        <w:trPr>
          <w:gridAfter w:val="1"/>
          <w:wAfter w:w="566" w:type="pct"/>
          <w:trHeight w:val="309"/>
        </w:trPr>
        <w:tc>
          <w:tcPr>
            <w:tcW w:w="1797" w:type="pct"/>
          </w:tcPr>
          <w:p w14:paraId="3D67EF8B" w14:textId="39FF5253" w:rsidR="009F4F9D" w:rsidRPr="00066B77" w:rsidRDefault="009F4F9D" w:rsidP="00F479F3">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Body height</w:t>
            </w:r>
          </w:p>
        </w:tc>
        <w:tc>
          <w:tcPr>
            <w:tcW w:w="656" w:type="pct"/>
          </w:tcPr>
          <w:p w14:paraId="575D7F9C" w14:textId="64D6DF34" w:rsidR="009F4F9D" w:rsidRPr="00066B77" w:rsidRDefault="009F4F9D" w:rsidP="00F479F3">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X</w:t>
            </w:r>
          </w:p>
        </w:tc>
        <w:tc>
          <w:tcPr>
            <w:tcW w:w="566" w:type="pct"/>
          </w:tcPr>
          <w:p w14:paraId="38F574E4" w14:textId="77777777" w:rsidR="009F4F9D" w:rsidRPr="00066B77" w:rsidDel="002C1F25" w:rsidRDefault="009F4F9D" w:rsidP="00F479F3">
            <w:pPr>
              <w:spacing w:after="0"/>
              <w:rPr>
                <w:rFonts w:ascii="Times New Roman" w:hAnsi="Times New Roman" w:cs="Times New Roman"/>
                <w:sz w:val="24"/>
                <w:szCs w:val="24"/>
                <w:lang w:val="en-US"/>
              </w:rPr>
            </w:pPr>
          </w:p>
        </w:tc>
        <w:tc>
          <w:tcPr>
            <w:tcW w:w="849" w:type="pct"/>
          </w:tcPr>
          <w:p w14:paraId="3B9213EA" w14:textId="529D0C64" w:rsidR="009F4F9D" w:rsidRPr="00066B77" w:rsidRDefault="002D3E8F" w:rsidP="00F479F3">
            <w:pPr>
              <w:spacing w:after="0"/>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566" w:type="pct"/>
          </w:tcPr>
          <w:p w14:paraId="6E12BD9D" w14:textId="58934F0B" w:rsidR="009F4F9D" w:rsidRPr="00066B77" w:rsidRDefault="009F4F9D" w:rsidP="00F479F3">
            <w:pPr>
              <w:spacing w:after="0"/>
              <w:rPr>
                <w:rFonts w:ascii="Times New Roman" w:hAnsi="Times New Roman" w:cs="Times New Roman"/>
                <w:sz w:val="24"/>
                <w:szCs w:val="24"/>
                <w:lang w:val="en-US"/>
              </w:rPr>
            </w:pPr>
          </w:p>
        </w:tc>
      </w:tr>
      <w:tr w:rsidR="009F4F9D" w:rsidRPr="00E37EAB" w14:paraId="429A5FF9" w14:textId="77777777" w:rsidTr="00066B77">
        <w:trPr>
          <w:gridAfter w:val="1"/>
          <w:wAfter w:w="566" w:type="pct"/>
          <w:trHeight w:val="309"/>
        </w:trPr>
        <w:tc>
          <w:tcPr>
            <w:tcW w:w="1797" w:type="pct"/>
          </w:tcPr>
          <w:p w14:paraId="679A0CB6" w14:textId="77777777" w:rsidR="009F4F9D" w:rsidRPr="00066B77" w:rsidRDefault="009F4F9D" w:rsidP="00F479F3">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Body weight</w:t>
            </w:r>
          </w:p>
        </w:tc>
        <w:tc>
          <w:tcPr>
            <w:tcW w:w="656" w:type="pct"/>
          </w:tcPr>
          <w:p w14:paraId="1BE6906A" w14:textId="779B56B7" w:rsidR="009F4F9D" w:rsidRPr="00066B77" w:rsidRDefault="009F4F9D" w:rsidP="00F479F3">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X</w:t>
            </w:r>
          </w:p>
        </w:tc>
        <w:tc>
          <w:tcPr>
            <w:tcW w:w="566" w:type="pct"/>
          </w:tcPr>
          <w:p w14:paraId="773EF45E" w14:textId="7CF91884" w:rsidR="009F4F9D" w:rsidRPr="00066B77" w:rsidRDefault="009F4F9D" w:rsidP="00F479F3">
            <w:pPr>
              <w:spacing w:after="0"/>
              <w:rPr>
                <w:rFonts w:ascii="Times New Roman" w:hAnsi="Times New Roman" w:cs="Times New Roman"/>
                <w:sz w:val="24"/>
                <w:szCs w:val="24"/>
                <w:lang w:val="en-US"/>
              </w:rPr>
            </w:pPr>
          </w:p>
        </w:tc>
        <w:tc>
          <w:tcPr>
            <w:tcW w:w="849" w:type="pct"/>
          </w:tcPr>
          <w:p w14:paraId="4531AD63" w14:textId="41483CD9" w:rsidR="009F4F9D" w:rsidRPr="00066B77" w:rsidRDefault="002D3E8F" w:rsidP="00F479F3">
            <w:pPr>
              <w:spacing w:after="0"/>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566" w:type="pct"/>
          </w:tcPr>
          <w:p w14:paraId="1DD596E5" w14:textId="264C2B6B" w:rsidR="009F4F9D" w:rsidRPr="00066B77" w:rsidRDefault="009F4F9D" w:rsidP="00F479F3">
            <w:pPr>
              <w:spacing w:after="0"/>
              <w:rPr>
                <w:rFonts w:ascii="Times New Roman" w:hAnsi="Times New Roman" w:cs="Times New Roman"/>
                <w:sz w:val="24"/>
                <w:szCs w:val="24"/>
                <w:lang w:val="en-US"/>
              </w:rPr>
            </w:pPr>
          </w:p>
        </w:tc>
      </w:tr>
      <w:tr w:rsidR="009F4F9D" w:rsidRPr="00E37EAB" w14:paraId="4FF306AF" w14:textId="77777777" w:rsidTr="00066B77">
        <w:trPr>
          <w:gridAfter w:val="1"/>
          <w:wAfter w:w="566" w:type="pct"/>
          <w:trHeight w:val="309"/>
        </w:trPr>
        <w:tc>
          <w:tcPr>
            <w:tcW w:w="1797" w:type="pct"/>
          </w:tcPr>
          <w:p w14:paraId="37609AA4" w14:textId="77777777" w:rsidR="009F4F9D" w:rsidRPr="00066B77" w:rsidRDefault="009F4F9D" w:rsidP="00F479F3">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Blood samples</w:t>
            </w:r>
          </w:p>
        </w:tc>
        <w:tc>
          <w:tcPr>
            <w:tcW w:w="656" w:type="pct"/>
          </w:tcPr>
          <w:p w14:paraId="10194E7D" w14:textId="77777777" w:rsidR="009F4F9D" w:rsidRPr="00066B77" w:rsidRDefault="009F4F9D" w:rsidP="00F479F3">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X</w:t>
            </w:r>
          </w:p>
        </w:tc>
        <w:tc>
          <w:tcPr>
            <w:tcW w:w="566" w:type="pct"/>
          </w:tcPr>
          <w:p w14:paraId="35E4BAC6" w14:textId="77777777" w:rsidR="009F4F9D" w:rsidRPr="00066B77" w:rsidRDefault="009F4F9D" w:rsidP="00F479F3">
            <w:pPr>
              <w:spacing w:after="0"/>
              <w:rPr>
                <w:rFonts w:ascii="Times New Roman" w:hAnsi="Times New Roman" w:cs="Times New Roman"/>
                <w:sz w:val="24"/>
                <w:szCs w:val="24"/>
                <w:lang w:val="en-US"/>
              </w:rPr>
            </w:pPr>
          </w:p>
        </w:tc>
        <w:tc>
          <w:tcPr>
            <w:tcW w:w="849" w:type="pct"/>
          </w:tcPr>
          <w:p w14:paraId="22DDFB99" w14:textId="59893795" w:rsidR="009F4F9D" w:rsidRPr="00066B77" w:rsidRDefault="009F4F9D" w:rsidP="00F479F3">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X</w:t>
            </w:r>
          </w:p>
        </w:tc>
        <w:tc>
          <w:tcPr>
            <w:tcW w:w="566" w:type="pct"/>
          </w:tcPr>
          <w:p w14:paraId="3909E2DE" w14:textId="28D5DE16" w:rsidR="009F4F9D" w:rsidRPr="00066B77" w:rsidRDefault="009F4F9D" w:rsidP="00F479F3">
            <w:pPr>
              <w:spacing w:after="0"/>
              <w:rPr>
                <w:rFonts w:ascii="Times New Roman" w:hAnsi="Times New Roman" w:cs="Times New Roman"/>
                <w:sz w:val="24"/>
                <w:szCs w:val="24"/>
                <w:lang w:val="en-US"/>
              </w:rPr>
            </w:pPr>
          </w:p>
        </w:tc>
      </w:tr>
      <w:tr w:rsidR="009F4F9D" w:rsidRPr="00E37EAB" w14:paraId="44E2B7EB" w14:textId="77777777" w:rsidTr="00066B77">
        <w:trPr>
          <w:gridAfter w:val="1"/>
          <w:wAfter w:w="566" w:type="pct"/>
          <w:trHeight w:val="309"/>
        </w:trPr>
        <w:tc>
          <w:tcPr>
            <w:tcW w:w="1797" w:type="pct"/>
          </w:tcPr>
          <w:p w14:paraId="445D288B" w14:textId="434A8105" w:rsidR="009F4F9D" w:rsidRPr="00066B77" w:rsidRDefault="009F4F9D" w:rsidP="004974B9">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Vitamin D loading dose</w:t>
            </w:r>
          </w:p>
        </w:tc>
        <w:tc>
          <w:tcPr>
            <w:tcW w:w="656" w:type="pct"/>
          </w:tcPr>
          <w:p w14:paraId="44E930DE" w14:textId="1C446354" w:rsidR="009F4F9D" w:rsidRPr="00066B77" w:rsidRDefault="009F4F9D" w:rsidP="004974B9">
            <w:pPr>
              <w:spacing w:after="0"/>
              <w:rPr>
                <w:rFonts w:ascii="Times New Roman" w:hAnsi="Times New Roman" w:cs="Times New Roman"/>
                <w:sz w:val="24"/>
                <w:szCs w:val="24"/>
                <w:lang w:val="en-US"/>
              </w:rPr>
            </w:pPr>
            <w:r w:rsidRPr="007C36E8">
              <w:rPr>
                <w:rFonts w:ascii="Times New Roman" w:hAnsi="Times New Roman" w:cs="Times New Roman"/>
                <w:sz w:val="24"/>
                <w:szCs w:val="24"/>
                <w:lang w:val="en-US"/>
              </w:rPr>
              <w:t>X</w:t>
            </w:r>
          </w:p>
        </w:tc>
        <w:tc>
          <w:tcPr>
            <w:tcW w:w="566" w:type="pct"/>
          </w:tcPr>
          <w:p w14:paraId="41047C5B" w14:textId="58576658" w:rsidR="009F4F9D" w:rsidRPr="00066B77" w:rsidRDefault="009F4F9D" w:rsidP="004974B9">
            <w:pPr>
              <w:spacing w:after="0"/>
              <w:rPr>
                <w:rFonts w:ascii="Times New Roman" w:hAnsi="Times New Roman" w:cs="Times New Roman"/>
                <w:sz w:val="24"/>
                <w:szCs w:val="24"/>
                <w:lang w:val="en-US"/>
              </w:rPr>
            </w:pPr>
          </w:p>
        </w:tc>
        <w:tc>
          <w:tcPr>
            <w:tcW w:w="849" w:type="pct"/>
          </w:tcPr>
          <w:p w14:paraId="64238261" w14:textId="641753F3" w:rsidR="009F4F9D" w:rsidRPr="00066B77" w:rsidRDefault="009B731D" w:rsidP="004974B9">
            <w:pPr>
              <w:spacing w:after="0"/>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566" w:type="pct"/>
          </w:tcPr>
          <w:p w14:paraId="414D9C7A" w14:textId="532A7A37" w:rsidR="009F4F9D" w:rsidRPr="00066B77" w:rsidRDefault="009F4F9D" w:rsidP="004974B9">
            <w:pPr>
              <w:spacing w:after="0"/>
              <w:rPr>
                <w:rFonts w:ascii="Times New Roman" w:hAnsi="Times New Roman" w:cs="Times New Roman"/>
                <w:sz w:val="24"/>
                <w:szCs w:val="24"/>
                <w:lang w:val="en-US"/>
              </w:rPr>
            </w:pPr>
          </w:p>
        </w:tc>
      </w:tr>
      <w:tr w:rsidR="009F4F9D" w:rsidRPr="00E37EAB" w14:paraId="5B0516A5" w14:textId="77777777" w:rsidTr="00066B77">
        <w:trPr>
          <w:gridAfter w:val="1"/>
          <w:wAfter w:w="566" w:type="pct"/>
          <w:trHeight w:val="309"/>
        </w:trPr>
        <w:tc>
          <w:tcPr>
            <w:tcW w:w="1797" w:type="pct"/>
          </w:tcPr>
          <w:p w14:paraId="39733809" w14:textId="2CCB9122" w:rsidR="009F4F9D" w:rsidRPr="00066B77" w:rsidRDefault="009F4F9D" w:rsidP="004974B9">
            <w:pPr>
              <w:spacing w:after="0"/>
              <w:rPr>
                <w:rFonts w:ascii="Times New Roman" w:hAnsi="Times New Roman" w:cs="Times New Roman"/>
                <w:sz w:val="24"/>
                <w:szCs w:val="24"/>
                <w:lang w:val="en-US"/>
              </w:rPr>
            </w:pPr>
            <w:r>
              <w:rPr>
                <w:rFonts w:ascii="Times New Roman" w:hAnsi="Times New Roman" w:cs="Times New Roman"/>
                <w:sz w:val="24"/>
                <w:szCs w:val="24"/>
                <w:lang w:val="en-US"/>
              </w:rPr>
              <w:t>Randomization</w:t>
            </w:r>
          </w:p>
        </w:tc>
        <w:tc>
          <w:tcPr>
            <w:tcW w:w="656" w:type="pct"/>
          </w:tcPr>
          <w:p w14:paraId="14398B56" w14:textId="77777777" w:rsidR="009F4F9D" w:rsidRPr="007C36E8" w:rsidRDefault="009F4F9D" w:rsidP="004974B9">
            <w:pPr>
              <w:spacing w:after="0"/>
              <w:rPr>
                <w:rFonts w:ascii="Times New Roman" w:hAnsi="Times New Roman" w:cs="Times New Roman"/>
                <w:sz w:val="24"/>
                <w:szCs w:val="24"/>
                <w:lang w:val="en-US"/>
              </w:rPr>
            </w:pPr>
          </w:p>
        </w:tc>
        <w:tc>
          <w:tcPr>
            <w:tcW w:w="566" w:type="pct"/>
          </w:tcPr>
          <w:p w14:paraId="7EA32274" w14:textId="2F4B3AAE" w:rsidR="009F4F9D" w:rsidRPr="00066B77" w:rsidRDefault="009F4F9D" w:rsidP="004974B9">
            <w:pPr>
              <w:spacing w:after="0"/>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849" w:type="pct"/>
          </w:tcPr>
          <w:p w14:paraId="536DAF88" w14:textId="77777777" w:rsidR="009F4F9D" w:rsidRPr="00066B77" w:rsidRDefault="009F4F9D" w:rsidP="004974B9">
            <w:pPr>
              <w:spacing w:after="0"/>
              <w:rPr>
                <w:rFonts w:ascii="Times New Roman" w:hAnsi="Times New Roman" w:cs="Times New Roman"/>
                <w:sz w:val="24"/>
                <w:szCs w:val="24"/>
                <w:lang w:val="en-US"/>
              </w:rPr>
            </w:pPr>
          </w:p>
        </w:tc>
        <w:tc>
          <w:tcPr>
            <w:tcW w:w="566" w:type="pct"/>
          </w:tcPr>
          <w:p w14:paraId="31F3C3C2" w14:textId="77777777" w:rsidR="009F4F9D" w:rsidRPr="007C36E8" w:rsidRDefault="009F4F9D" w:rsidP="004974B9">
            <w:pPr>
              <w:spacing w:after="0"/>
              <w:rPr>
                <w:rFonts w:ascii="Times New Roman" w:hAnsi="Times New Roman" w:cs="Times New Roman"/>
                <w:sz w:val="24"/>
                <w:szCs w:val="24"/>
                <w:lang w:val="en-US"/>
              </w:rPr>
            </w:pPr>
          </w:p>
        </w:tc>
      </w:tr>
      <w:tr w:rsidR="009F4F9D" w:rsidRPr="00E37EAB" w14:paraId="2151377F" w14:textId="77777777" w:rsidTr="00066B77">
        <w:trPr>
          <w:gridAfter w:val="1"/>
          <w:wAfter w:w="566" w:type="pct"/>
          <w:trHeight w:val="254"/>
        </w:trPr>
        <w:tc>
          <w:tcPr>
            <w:tcW w:w="1797" w:type="pct"/>
          </w:tcPr>
          <w:p w14:paraId="10EC4AF6" w14:textId="77777777" w:rsidR="009F4F9D" w:rsidRPr="00066B77" w:rsidRDefault="009F4F9D" w:rsidP="004974B9">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Infusion</w:t>
            </w:r>
          </w:p>
        </w:tc>
        <w:tc>
          <w:tcPr>
            <w:tcW w:w="656" w:type="pct"/>
          </w:tcPr>
          <w:p w14:paraId="5404844D" w14:textId="77777777" w:rsidR="009F4F9D" w:rsidRPr="00066B77" w:rsidRDefault="009F4F9D" w:rsidP="004974B9">
            <w:pPr>
              <w:spacing w:after="0"/>
              <w:rPr>
                <w:rFonts w:ascii="Times New Roman" w:hAnsi="Times New Roman" w:cs="Times New Roman"/>
                <w:sz w:val="24"/>
                <w:szCs w:val="24"/>
                <w:lang w:val="en-US"/>
              </w:rPr>
            </w:pPr>
          </w:p>
        </w:tc>
        <w:tc>
          <w:tcPr>
            <w:tcW w:w="566" w:type="pct"/>
          </w:tcPr>
          <w:p w14:paraId="4C545C02" w14:textId="77777777" w:rsidR="009F4F9D" w:rsidRPr="00066B77" w:rsidRDefault="009F4F9D" w:rsidP="004974B9">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X</w:t>
            </w:r>
          </w:p>
        </w:tc>
        <w:tc>
          <w:tcPr>
            <w:tcW w:w="849" w:type="pct"/>
          </w:tcPr>
          <w:p w14:paraId="5B5A90FE" w14:textId="77777777" w:rsidR="009F4F9D" w:rsidRPr="00066B77" w:rsidRDefault="009F4F9D" w:rsidP="004974B9">
            <w:pPr>
              <w:spacing w:after="0"/>
              <w:rPr>
                <w:rFonts w:ascii="Times New Roman" w:hAnsi="Times New Roman" w:cs="Times New Roman"/>
                <w:sz w:val="24"/>
                <w:szCs w:val="24"/>
                <w:lang w:val="en-US"/>
              </w:rPr>
            </w:pPr>
          </w:p>
        </w:tc>
        <w:tc>
          <w:tcPr>
            <w:tcW w:w="566" w:type="pct"/>
          </w:tcPr>
          <w:p w14:paraId="3C793910" w14:textId="6308EF65" w:rsidR="009F4F9D" w:rsidRPr="00066B77" w:rsidRDefault="009F4F9D" w:rsidP="004974B9">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X</w:t>
            </w:r>
          </w:p>
        </w:tc>
      </w:tr>
      <w:tr w:rsidR="009F4F9D" w:rsidRPr="00E37EAB" w14:paraId="5C29E4FA" w14:textId="77777777" w:rsidTr="00066B77">
        <w:trPr>
          <w:gridAfter w:val="1"/>
          <w:wAfter w:w="566" w:type="pct"/>
          <w:trHeight w:val="112"/>
        </w:trPr>
        <w:tc>
          <w:tcPr>
            <w:tcW w:w="1797" w:type="pct"/>
          </w:tcPr>
          <w:p w14:paraId="33D03AB5" w14:textId="3F9106FD" w:rsidR="009F4F9D" w:rsidRPr="00066B77" w:rsidRDefault="009F4F9D" w:rsidP="00066B77">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Use of other bone-protective therapy</w:t>
            </w:r>
          </w:p>
        </w:tc>
        <w:tc>
          <w:tcPr>
            <w:tcW w:w="656" w:type="pct"/>
          </w:tcPr>
          <w:p w14:paraId="5669024D" w14:textId="77777777" w:rsidR="009F4F9D" w:rsidRPr="00066B77" w:rsidRDefault="009F4F9D" w:rsidP="004974B9">
            <w:pPr>
              <w:spacing w:after="0"/>
              <w:rPr>
                <w:rFonts w:ascii="Times New Roman" w:hAnsi="Times New Roman" w:cs="Times New Roman"/>
                <w:sz w:val="24"/>
                <w:szCs w:val="24"/>
                <w:lang w:val="en-US"/>
              </w:rPr>
            </w:pPr>
          </w:p>
        </w:tc>
        <w:tc>
          <w:tcPr>
            <w:tcW w:w="566" w:type="pct"/>
          </w:tcPr>
          <w:p w14:paraId="158A27EE" w14:textId="77777777" w:rsidR="009F4F9D" w:rsidRPr="00066B77" w:rsidRDefault="009F4F9D" w:rsidP="004974B9">
            <w:pPr>
              <w:spacing w:after="0"/>
              <w:rPr>
                <w:rFonts w:ascii="Times New Roman" w:hAnsi="Times New Roman" w:cs="Times New Roman"/>
                <w:sz w:val="24"/>
                <w:szCs w:val="24"/>
                <w:lang w:val="en-US"/>
              </w:rPr>
            </w:pPr>
          </w:p>
        </w:tc>
        <w:tc>
          <w:tcPr>
            <w:tcW w:w="849" w:type="pct"/>
          </w:tcPr>
          <w:p w14:paraId="702A94C6" w14:textId="39C5F891" w:rsidR="009F4F9D" w:rsidRPr="00066B77" w:rsidRDefault="009F4F9D" w:rsidP="004974B9">
            <w:pPr>
              <w:spacing w:after="0"/>
              <w:rPr>
                <w:rFonts w:ascii="Times New Roman" w:hAnsi="Times New Roman" w:cs="Times New Roman"/>
                <w:sz w:val="24"/>
                <w:szCs w:val="24"/>
                <w:lang w:val="en-US"/>
              </w:rPr>
            </w:pPr>
          </w:p>
        </w:tc>
        <w:tc>
          <w:tcPr>
            <w:tcW w:w="566" w:type="pct"/>
          </w:tcPr>
          <w:p w14:paraId="2C9A5C6D" w14:textId="7ADDB8A6" w:rsidR="009F4F9D" w:rsidRPr="00066B77" w:rsidRDefault="009F4F9D" w:rsidP="004974B9">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X</w:t>
            </w:r>
          </w:p>
        </w:tc>
      </w:tr>
      <w:tr w:rsidR="009F4F9D" w:rsidRPr="00E37EAB" w14:paraId="475202C5" w14:textId="77777777" w:rsidTr="00066B77">
        <w:trPr>
          <w:gridAfter w:val="1"/>
          <w:wAfter w:w="566" w:type="pct"/>
          <w:trHeight w:val="254"/>
        </w:trPr>
        <w:tc>
          <w:tcPr>
            <w:tcW w:w="1797" w:type="pct"/>
          </w:tcPr>
          <w:p w14:paraId="4E42343E" w14:textId="094976CE" w:rsidR="009F4F9D" w:rsidRPr="00066B77" w:rsidRDefault="009F4F9D" w:rsidP="00066B77">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Adverse events</w:t>
            </w:r>
          </w:p>
        </w:tc>
        <w:tc>
          <w:tcPr>
            <w:tcW w:w="656" w:type="pct"/>
          </w:tcPr>
          <w:p w14:paraId="5CDB1E2A" w14:textId="77777777" w:rsidR="009F4F9D" w:rsidRPr="00066B77" w:rsidRDefault="009F4F9D" w:rsidP="004974B9">
            <w:pPr>
              <w:spacing w:after="0"/>
              <w:rPr>
                <w:rFonts w:ascii="Times New Roman" w:hAnsi="Times New Roman" w:cs="Times New Roman"/>
                <w:sz w:val="24"/>
                <w:szCs w:val="24"/>
                <w:lang w:val="en-US"/>
              </w:rPr>
            </w:pPr>
          </w:p>
        </w:tc>
        <w:tc>
          <w:tcPr>
            <w:tcW w:w="566" w:type="pct"/>
          </w:tcPr>
          <w:p w14:paraId="5D2123D2" w14:textId="77777777" w:rsidR="009F4F9D" w:rsidRPr="00066B77" w:rsidRDefault="009F4F9D" w:rsidP="004974B9">
            <w:pPr>
              <w:spacing w:after="0"/>
              <w:rPr>
                <w:rFonts w:ascii="Times New Roman" w:hAnsi="Times New Roman" w:cs="Times New Roman"/>
                <w:sz w:val="24"/>
                <w:szCs w:val="24"/>
                <w:lang w:val="en-US"/>
              </w:rPr>
            </w:pPr>
          </w:p>
        </w:tc>
        <w:tc>
          <w:tcPr>
            <w:tcW w:w="849" w:type="pct"/>
          </w:tcPr>
          <w:p w14:paraId="5B682513" w14:textId="625F7B06" w:rsidR="009F4F9D" w:rsidRPr="00066B77" w:rsidRDefault="009F4F9D" w:rsidP="004974B9">
            <w:pPr>
              <w:spacing w:after="0"/>
              <w:rPr>
                <w:rFonts w:ascii="Times New Roman" w:hAnsi="Times New Roman" w:cs="Times New Roman"/>
                <w:sz w:val="24"/>
                <w:szCs w:val="24"/>
                <w:lang w:val="en-US"/>
              </w:rPr>
            </w:pPr>
          </w:p>
        </w:tc>
        <w:tc>
          <w:tcPr>
            <w:tcW w:w="566" w:type="pct"/>
          </w:tcPr>
          <w:p w14:paraId="4563386C" w14:textId="03FF8C3F" w:rsidR="009F4F9D" w:rsidRPr="00066B77" w:rsidRDefault="009F4F9D" w:rsidP="004974B9">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X</w:t>
            </w:r>
          </w:p>
        </w:tc>
      </w:tr>
      <w:tr w:rsidR="009F4F9D" w:rsidRPr="00E37EAB" w14:paraId="1A565AAF" w14:textId="77777777" w:rsidTr="00066B77">
        <w:trPr>
          <w:gridAfter w:val="1"/>
          <w:wAfter w:w="566" w:type="pct"/>
          <w:trHeight w:val="144"/>
        </w:trPr>
        <w:tc>
          <w:tcPr>
            <w:tcW w:w="1797" w:type="pct"/>
          </w:tcPr>
          <w:p w14:paraId="413BAE58" w14:textId="7B59BA28" w:rsidR="009F4F9D" w:rsidRPr="00066B77" w:rsidRDefault="009F4F9D" w:rsidP="004974B9">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Hand-grip strength</w:t>
            </w:r>
          </w:p>
        </w:tc>
        <w:tc>
          <w:tcPr>
            <w:tcW w:w="656" w:type="pct"/>
          </w:tcPr>
          <w:p w14:paraId="299C43C8" w14:textId="073EB6A0" w:rsidR="009F4F9D" w:rsidRPr="00066B77" w:rsidRDefault="009F4F9D" w:rsidP="004974B9">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X</w:t>
            </w:r>
          </w:p>
        </w:tc>
        <w:tc>
          <w:tcPr>
            <w:tcW w:w="566" w:type="pct"/>
          </w:tcPr>
          <w:p w14:paraId="6AE11304" w14:textId="3C477DDA" w:rsidR="009F4F9D" w:rsidRPr="00066B77" w:rsidRDefault="009F4F9D" w:rsidP="004974B9">
            <w:pPr>
              <w:spacing w:after="0"/>
              <w:rPr>
                <w:rFonts w:ascii="Times New Roman" w:hAnsi="Times New Roman" w:cs="Times New Roman"/>
                <w:sz w:val="24"/>
                <w:szCs w:val="24"/>
                <w:lang w:val="en-US"/>
              </w:rPr>
            </w:pPr>
          </w:p>
        </w:tc>
        <w:tc>
          <w:tcPr>
            <w:tcW w:w="849" w:type="pct"/>
          </w:tcPr>
          <w:p w14:paraId="57A3659B" w14:textId="47FCDB2E" w:rsidR="009F4F9D" w:rsidRPr="00066B77" w:rsidRDefault="002D3E8F" w:rsidP="004974B9">
            <w:pPr>
              <w:spacing w:after="0"/>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566" w:type="pct"/>
          </w:tcPr>
          <w:p w14:paraId="327DCD8A" w14:textId="77777777" w:rsidR="009F4F9D" w:rsidRPr="00066B77" w:rsidRDefault="009F4F9D" w:rsidP="004974B9">
            <w:pPr>
              <w:spacing w:after="0"/>
              <w:rPr>
                <w:rFonts w:ascii="Times New Roman" w:hAnsi="Times New Roman" w:cs="Times New Roman"/>
                <w:sz w:val="24"/>
                <w:szCs w:val="24"/>
                <w:lang w:val="en-US"/>
              </w:rPr>
            </w:pPr>
          </w:p>
        </w:tc>
      </w:tr>
      <w:tr w:rsidR="009F4F9D" w:rsidRPr="00E37EAB" w14:paraId="73D27116" w14:textId="77777777" w:rsidTr="00066B77">
        <w:trPr>
          <w:gridAfter w:val="1"/>
          <w:wAfter w:w="566" w:type="pct"/>
          <w:trHeight w:val="124"/>
        </w:trPr>
        <w:tc>
          <w:tcPr>
            <w:tcW w:w="1797" w:type="pct"/>
            <w:tcBorders>
              <w:bottom w:val="single" w:sz="4" w:space="0" w:color="auto"/>
            </w:tcBorders>
          </w:tcPr>
          <w:p w14:paraId="1618A7D3" w14:textId="4A421BFE" w:rsidR="009F4F9D" w:rsidRPr="00066B77" w:rsidRDefault="009F4F9D" w:rsidP="004974B9">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EQ-5D-5L</w:t>
            </w:r>
          </w:p>
        </w:tc>
        <w:tc>
          <w:tcPr>
            <w:tcW w:w="656" w:type="pct"/>
            <w:tcBorders>
              <w:bottom w:val="single" w:sz="4" w:space="0" w:color="auto"/>
            </w:tcBorders>
          </w:tcPr>
          <w:p w14:paraId="4AEAF449" w14:textId="1EAD9A88" w:rsidR="009F4F9D" w:rsidRPr="00066B77" w:rsidRDefault="009F4F9D" w:rsidP="004974B9">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X</w:t>
            </w:r>
          </w:p>
        </w:tc>
        <w:tc>
          <w:tcPr>
            <w:tcW w:w="566" w:type="pct"/>
            <w:tcBorders>
              <w:bottom w:val="single" w:sz="4" w:space="0" w:color="auto"/>
            </w:tcBorders>
          </w:tcPr>
          <w:p w14:paraId="32AA7BEC" w14:textId="1AADE337" w:rsidR="009F4F9D" w:rsidRPr="00066B77" w:rsidRDefault="009F4F9D" w:rsidP="004974B9">
            <w:pPr>
              <w:spacing w:after="0"/>
              <w:rPr>
                <w:rFonts w:ascii="Times New Roman" w:hAnsi="Times New Roman" w:cs="Times New Roman"/>
                <w:sz w:val="24"/>
                <w:szCs w:val="24"/>
                <w:lang w:val="en-US"/>
              </w:rPr>
            </w:pPr>
          </w:p>
        </w:tc>
        <w:tc>
          <w:tcPr>
            <w:tcW w:w="849" w:type="pct"/>
            <w:tcBorders>
              <w:bottom w:val="single" w:sz="4" w:space="0" w:color="auto"/>
            </w:tcBorders>
          </w:tcPr>
          <w:p w14:paraId="5160D9AF" w14:textId="68B51E5B" w:rsidR="009F4F9D" w:rsidRPr="00066B77" w:rsidRDefault="009B731D" w:rsidP="004974B9">
            <w:pPr>
              <w:spacing w:after="0"/>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566" w:type="pct"/>
            <w:tcBorders>
              <w:bottom w:val="single" w:sz="4" w:space="0" w:color="auto"/>
            </w:tcBorders>
          </w:tcPr>
          <w:p w14:paraId="0B8BFD52" w14:textId="1F9F81B9" w:rsidR="009F4F9D" w:rsidRPr="00066B77" w:rsidRDefault="009F4F9D" w:rsidP="004974B9">
            <w:pPr>
              <w:spacing w:after="0"/>
              <w:rPr>
                <w:rFonts w:ascii="Times New Roman" w:hAnsi="Times New Roman" w:cs="Times New Roman"/>
                <w:sz w:val="24"/>
                <w:szCs w:val="24"/>
                <w:lang w:val="en-US"/>
              </w:rPr>
            </w:pPr>
          </w:p>
        </w:tc>
      </w:tr>
      <w:tr w:rsidR="004974B9" w:rsidRPr="00390BA5" w14:paraId="33C71483" w14:textId="77777777" w:rsidTr="00066B77">
        <w:trPr>
          <w:trHeight w:val="423"/>
        </w:trPr>
        <w:tc>
          <w:tcPr>
            <w:tcW w:w="5000" w:type="pct"/>
            <w:gridSpan w:val="6"/>
            <w:tcBorders>
              <w:top w:val="single" w:sz="4" w:space="0" w:color="auto"/>
              <w:left w:val="nil"/>
              <w:bottom w:val="nil"/>
              <w:right w:val="nil"/>
            </w:tcBorders>
          </w:tcPr>
          <w:p w14:paraId="1A7D7C7C" w14:textId="528A9FE1" w:rsidR="004974B9" w:rsidRPr="00066B77" w:rsidRDefault="004974B9" w:rsidP="004974B9">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 xml:space="preserve">Abbreviations:  D, </w:t>
            </w:r>
            <w:proofErr w:type="gramStart"/>
            <w:r w:rsidRPr="00066B77">
              <w:rPr>
                <w:rFonts w:ascii="Times New Roman" w:hAnsi="Times New Roman" w:cs="Times New Roman"/>
                <w:sz w:val="24"/>
                <w:szCs w:val="24"/>
                <w:lang w:val="en-US"/>
              </w:rPr>
              <w:t>day;  EQ</w:t>
            </w:r>
            <w:proofErr w:type="gramEnd"/>
            <w:r w:rsidRPr="00066B77">
              <w:rPr>
                <w:rFonts w:ascii="Times New Roman" w:hAnsi="Times New Roman" w:cs="Times New Roman"/>
                <w:sz w:val="24"/>
                <w:szCs w:val="24"/>
                <w:lang w:val="en-US"/>
              </w:rPr>
              <w:t>-5D-5L, EuroQol-5 Dimensions-5 Levels; M, month; W, week</w:t>
            </w:r>
          </w:p>
          <w:p w14:paraId="6D43C314" w14:textId="560E0696" w:rsidR="004974B9" w:rsidRPr="00066B77" w:rsidRDefault="004974B9" w:rsidP="004974B9">
            <w:pPr>
              <w:spacing w:after="0"/>
              <w:rPr>
                <w:rFonts w:ascii="Times New Roman" w:hAnsi="Times New Roman" w:cs="Times New Roman"/>
                <w:sz w:val="24"/>
                <w:szCs w:val="24"/>
                <w:lang w:val="en-US"/>
              </w:rPr>
            </w:pPr>
            <w:r w:rsidRPr="00066B77">
              <w:rPr>
                <w:rFonts w:ascii="Times New Roman" w:hAnsi="Times New Roman" w:cs="Times New Roman"/>
                <w:sz w:val="24"/>
                <w:szCs w:val="24"/>
                <w:lang w:val="en-US"/>
              </w:rPr>
              <w:t>*This visit may be replaced with a referral to primary care for blood tests</w:t>
            </w:r>
          </w:p>
        </w:tc>
      </w:tr>
    </w:tbl>
    <w:p w14:paraId="49300ECF" w14:textId="72C7CA05" w:rsidR="007A506E" w:rsidRDefault="007A506E" w:rsidP="00BF62FF">
      <w:pPr>
        <w:spacing w:after="0"/>
        <w:rPr>
          <w:rFonts w:ascii="Times New Roman" w:hAnsi="Times New Roman" w:cs="Times New Roman"/>
          <w:lang w:val="en-US"/>
        </w:rPr>
      </w:pPr>
    </w:p>
    <w:p w14:paraId="759E29A9" w14:textId="7F88DEA0" w:rsidR="005A6A43" w:rsidRDefault="005A6A43" w:rsidP="00BF62FF">
      <w:pPr>
        <w:spacing w:after="0"/>
        <w:rPr>
          <w:rFonts w:ascii="Times New Roman" w:hAnsi="Times New Roman" w:cs="Times New Roman"/>
          <w:lang w:val="en-US"/>
        </w:rPr>
      </w:pPr>
    </w:p>
    <w:p w14:paraId="464A53CF" w14:textId="5B2E07F8" w:rsidR="005A6A43" w:rsidRDefault="005A6A43" w:rsidP="00BF62FF">
      <w:pPr>
        <w:spacing w:after="0"/>
        <w:rPr>
          <w:rFonts w:ascii="Times New Roman" w:hAnsi="Times New Roman" w:cs="Times New Roman"/>
          <w:lang w:val="en-US"/>
        </w:rPr>
      </w:pPr>
    </w:p>
    <w:p w14:paraId="7A569F05" w14:textId="638D3C87" w:rsidR="00884BA9" w:rsidRPr="007B140B" w:rsidRDefault="00E13ABE" w:rsidP="00D36611">
      <w:pPr>
        <w:pStyle w:val="Formatmall4"/>
        <w:rPr>
          <w:rFonts w:cs="Times New Roman"/>
          <w:lang w:val="en-US"/>
        </w:rPr>
      </w:pPr>
      <w:bookmarkStart w:id="47" w:name="_Toc52774811"/>
      <w:bookmarkStart w:id="48" w:name="_Toc52775108"/>
      <w:bookmarkStart w:id="49" w:name="_Toc53084171"/>
      <w:bookmarkStart w:id="50" w:name="_Toc53153926"/>
      <w:bookmarkStart w:id="51" w:name="_Toc61597836"/>
      <w:bookmarkStart w:id="52" w:name="_Toc61613701"/>
      <w:bookmarkStart w:id="53" w:name="_Toc64964988"/>
      <w:bookmarkStart w:id="54" w:name="_Toc66083648"/>
      <w:bookmarkStart w:id="55" w:name="_Toc66259361"/>
      <w:bookmarkStart w:id="56" w:name="_Toc66349124"/>
      <w:bookmarkStart w:id="57" w:name="_Toc66383538"/>
      <w:bookmarkStart w:id="58" w:name="_Toc66385230"/>
      <w:bookmarkStart w:id="59" w:name="_Toc67897624"/>
      <w:bookmarkStart w:id="60" w:name="_Toc68001558"/>
      <w:bookmarkStart w:id="61" w:name="_Toc69901240"/>
      <w:bookmarkStart w:id="62" w:name="_Toc71188147"/>
      <w:bookmarkStart w:id="63" w:name="_Toc52774812"/>
      <w:bookmarkStart w:id="64" w:name="_Toc52775109"/>
      <w:bookmarkStart w:id="65" w:name="_Toc53084172"/>
      <w:bookmarkStart w:id="66" w:name="_Toc53153927"/>
      <w:bookmarkStart w:id="67" w:name="_Toc61597837"/>
      <w:bookmarkStart w:id="68" w:name="_Toc61613702"/>
      <w:bookmarkStart w:id="69" w:name="_Toc64964989"/>
      <w:bookmarkStart w:id="70" w:name="_Toc66083649"/>
      <w:bookmarkStart w:id="71" w:name="_Toc66259362"/>
      <w:bookmarkStart w:id="72" w:name="_Toc66349125"/>
      <w:bookmarkStart w:id="73" w:name="_Toc66383539"/>
      <w:bookmarkStart w:id="74" w:name="_Toc66385231"/>
      <w:bookmarkStart w:id="75" w:name="_Toc67897625"/>
      <w:bookmarkStart w:id="76" w:name="_Toc68001559"/>
      <w:bookmarkStart w:id="77" w:name="_Toc69901241"/>
      <w:bookmarkStart w:id="78" w:name="_Toc71188148"/>
      <w:bookmarkStart w:id="79" w:name="_Toc99001418"/>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7B140B">
        <w:rPr>
          <w:rFonts w:cs="Times New Roman"/>
          <w:lang w:val="en-US"/>
        </w:rPr>
        <w:t>Treatment A</w:t>
      </w:r>
      <w:r w:rsidR="00884BA9" w:rsidRPr="007B140B">
        <w:rPr>
          <w:rFonts w:cs="Times New Roman"/>
          <w:lang w:val="en-US"/>
        </w:rPr>
        <w:t>llocation</w:t>
      </w:r>
      <w:r w:rsidRPr="007B140B">
        <w:rPr>
          <w:rFonts w:cs="Times New Roman"/>
          <w:lang w:val="en-US"/>
        </w:rPr>
        <w:t xml:space="preserve"> and B</w:t>
      </w:r>
      <w:r w:rsidR="00673F8E" w:rsidRPr="007B140B">
        <w:rPr>
          <w:rFonts w:cs="Times New Roman"/>
          <w:lang w:val="en-US"/>
        </w:rPr>
        <w:t>linding</w:t>
      </w:r>
      <w:bookmarkEnd w:id="79"/>
    </w:p>
    <w:p w14:paraId="3FA1DF7D" w14:textId="34C011A5" w:rsidR="007451CF" w:rsidRPr="007B140B" w:rsidRDefault="0062100B" w:rsidP="0097314B">
      <w:pPr>
        <w:rPr>
          <w:rFonts w:ascii="Times New Roman" w:hAnsi="Times New Roman" w:cs="Times New Roman"/>
          <w:sz w:val="24"/>
          <w:szCs w:val="24"/>
          <w:lang w:val="en-US"/>
        </w:rPr>
      </w:pPr>
      <w:r w:rsidRPr="007B140B">
        <w:rPr>
          <w:rFonts w:ascii="Times New Roman" w:hAnsi="Times New Roman" w:cs="Times New Roman"/>
          <w:sz w:val="24"/>
          <w:szCs w:val="24"/>
          <w:lang w:val="en-US"/>
        </w:rPr>
        <w:t>Participants will be</w:t>
      </w:r>
      <w:r w:rsidR="004C7727" w:rsidRPr="007B140B">
        <w:rPr>
          <w:rFonts w:ascii="Times New Roman" w:hAnsi="Times New Roman" w:cs="Times New Roman"/>
          <w:sz w:val="24"/>
          <w:szCs w:val="24"/>
          <w:lang w:val="en-US"/>
        </w:rPr>
        <w:t xml:space="preserve"> r</w:t>
      </w:r>
      <w:r w:rsidR="00245A4B" w:rsidRPr="007B140B">
        <w:rPr>
          <w:rFonts w:ascii="Times New Roman" w:hAnsi="Times New Roman" w:cs="Times New Roman"/>
          <w:sz w:val="24"/>
          <w:szCs w:val="24"/>
          <w:lang w:val="en-US"/>
        </w:rPr>
        <w:t>andomiz</w:t>
      </w:r>
      <w:r w:rsidRPr="007B140B">
        <w:rPr>
          <w:rFonts w:ascii="Times New Roman" w:hAnsi="Times New Roman" w:cs="Times New Roman"/>
          <w:sz w:val="24"/>
          <w:szCs w:val="24"/>
          <w:lang w:val="en-US"/>
        </w:rPr>
        <w:t>ed according to a</w:t>
      </w:r>
      <w:r w:rsidR="00296407" w:rsidRPr="007B140B">
        <w:rPr>
          <w:rFonts w:ascii="Times New Roman" w:hAnsi="Times New Roman" w:cs="Times New Roman"/>
          <w:sz w:val="24"/>
          <w:szCs w:val="24"/>
          <w:lang w:val="en-US"/>
        </w:rPr>
        <w:t xml:space="preserve"> </w:t>
      </w:r>
      <w:r w:rsidR="0097314B" w:rsidRPr="007B140B">
        <w:rPr>
          <w:rFonts w:ascii="Times New Roman" w:hAnsi="Times New Roman" w:cs="Times New Roman"/>
          <w:sz w:val="24"/>
          <w:szCs w:val="24"/>
          <w:lang w:val="en-US"/>
        </w:rPr>
        <w:t xml:space="preserve">1:1 </w:t>
      </w:r>
      <w:r w:rsidR="00296407" w:rsidRPr="007B140B">
        <w:rPr>
          <w:rFonts w:ascii="Times New Roman" w:hAnsi="Times New Roman" w:cs="Times New Roman"/>
          <w:sz w:val="24"/>
          <w:szCs w:val="24"/>
          <w:lang w:val="en-US"/>
        </w:rPr>
        <w:t>permuted-</w:t>
      </w:r>
      <w:r w:rsidR="00245A4B" w:rsidRPr="007B140B">
        <w:rPr>
          <w:rFonts w:ascii="Times New Roman" w:hAnsi="Times New Roman" w:cs="Times New Roman"/>
          <w:sz w:val="24"/>
          <w:szCs w:val="24"/>
          <w:lang w:val="en-US"/>
        </w:rPr>
        <w:t>block design</w:t>
      </w:r>
      <w:r w:rsidR="001159E7" w:rsidRPr="007B140B">
        <w:rPr>
          <w:rFonts w:ascii="Times New Roman" w:hAnsi="Times New Roman" w:cs="Times New Roman"/>
          <w:sz w:val="24"/>
          <w:szCs w:val="24"/>
          <w:lang w:val="en-US"/>
        </w:rPr>
        <w:t>, with randomly varying block sizes</w:t>
      </w:r>
      <w:r w:rsidR="000B551E">
        <w:rPr>
          <w:rFonts w:ascii="Times New Roman" w:hAnsi="Times New Roman" w:cs="Times New Roman"/>
          <w:sz w:val="24"/>
          <w:szCs w:val="24"/>
          <w:lang w:val="en-US"/>
        </w:rPr>
        <w:t xml:space="preserve"> and stratification by center</w:t>
      </w:r>
      <w:r w:rsidR="00245A4B" w:rsidRPr="007B140B">
        <w:rPr>
          <w:rFonts w:ascii="Times New Roman" w:hAnsi="Times New Roman" w:cs="Times New Roman"/>
          <w:sz w:val="24"/>
          <w:szCs w:val="24"/>
          <w:lang w:val="en-US"/>
        </w:rPr>
        <w:t>.</w:t>
      </w:r>
      <w:r w:rsidR="007451CF" w:rsidRPr="007B140B">
        <w:rPr>
          <w:rFonts w:ascii="Times New Roman" w:hAnsi="Times New Roman" w:cs="Times New Roman"/>
          <w:sz w:val="24"/>
          <w:szCs w:val="24"/>
          <w:lang w:val="en-US"/>
        </w:rPr>
        <w:t xml:space="preserve"> </w:t>
      </w:r>
      <w:r w:rsidR="000C3F6C" w:rsidRPr="000C3F6C">
        <w:rPr>
          <w:rFonts w:ascii="Times New Roman" w:hAnsi="Times New Roman" w:cs="Times New Roman"/>
          <w:iCs/>
          <w:color w:val="000000" w:themeColor="text1"/>
          <w:sz w:val="24"/>
          <w:szCs w:val="24"/>
          <w:lang w:val="en-US"/>
        </w:rPr>
        <w:t xml:space="preserve"> </w:t>
      </w:r>
      <w:r w:rsidR="000C3F6C" w:rsidRPr="007B140B">
        <w:rPr>
          <w:rFonts w:ascii="Times New Roman" w:hAnsi="Times New Roman" w:cs="Times New Roman"/>
          <w:iCs/>
          <w:color w:val="000000" w:themeColor="text1"/>
          <w:sz w:val="24"/>
          <w:szCs w:val="24"/>
          <w:lang w:val="en-US"/>
        </w:rPr>
        <w:t>T</w:t>
      </w:r>
      <w:r w:rsidR="000C3F6C" w:rsidRPr="007B140B">
        <w:rPr>
          <w:rFonts w:ascii="Times New Roman" w:hAnsi="Times New Roman" w:cs="Times New Roman"/>
          <w:sz w:val="24"/>
          <w:szCs w:val="24"/>
          <w:lang w:val="en-US"/>
        </w:rPr>
        <w:t>he trial statistician will not reveal the block sizes to anyone else directly involved in the trial (e.g., the sponsor, principal investigators, or investigators’ staff).</w:t>
      </w:r>
    </w:p>
    <w:p w14:paraId="655A6A81" w14:textId="41C5EBAB" w:rsidR="005208E6" w:rsidRDefault="00245A4B" w:rsidP="00273AA9">
      <w:p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The </w:t>
      </w:r>
      <w:r w:rsidR="00CF350C" w:rsidRPr="007B140B">
        <w:rPr>
          <w:rFonts w:ascii="Times New Roman" w:hAnsi="Times New Roman" w:cs="Times New Roman"/>
          <w:sz w:val="24"/>
          <w:szCs w:val="24"/>
          <w:lang w:val="en-US"/>
        </w:rPr>
        <w:t>trial</w:t>
      </w:r>
      <w:r w:rsidRPr="007B140B">
        <w:rPr>
          <w:rFonts w:ascii="Times New Roman" w:hAnsi="Times New Roman" w:cs="Times New Roman"/>
          <w:sz w:val="24"/>
          <w:szCs w:val="24"/>
          <w:lang w:val="en-US"/>
        </w:rPr>
        <w:t xml:space="preserve"> statistician will </w:t>
      </w:r>
      <w:r w:rsidR="0097314B" w:rsidRPr="007B140B">
        <w:rPr>
          <w:rFonts w:ascii="Times New Roman" w:hAnsi="Times New Roman" w:cs="Times New Roman"/>
          <w:sz w:val="24"/>
          <w:szCs w:val="24"/>
          <w:lang w:val="en-US"/>
        </w:rPr>
        <w:t>use a computer</w:t>
      </w:r>
      <w:r w:rsidR="00C4588E" w:rsidRPr="007B140B">
        <w:rPr>
          <w:rFonts w:ascii="Times New Roman" w:hAnsi="Times New Roman" w:cs="Times New Roman"/>
          <w:sz w:val="24"/>
          <w:szCs w:val="24"/>
          <w:lang w:val="en-US"/>
        </w:rPr>
        <w:t xml:space="preserve">ized random </w:t>
      </w:r>
      <w:r w:rsidR="0097190E" w:rsidRPr="007B140B">
        <w:rPr>
          <w:rFonts w:ascii="Times New Roman" w:hAnsi="Times New Roman" w:cs="Times New Roman"/>
          <w:sz w:val="24"/>
          <w:szCs w:val="24"/>
          <w:lang w:val="en-US"/>
        </w:rPr>
        <w:t>number generator</w:t>
      </w:r>
      <w:r w:rsidR="0097314B" w:rsidRPr="007B140B">
        <w:rPr>
          <w:rFonts w:ascii="Times New Roman" w:hAnsi="Times New Roman" w:cs="Times New Roman"/>
          <w:sz w:val="24"/>
          <w:szCs w:val="24"/>
          <w:lang w:val="en-US"/>
        </w:rPr>
        <w:t xml:space="preserve"> to </w:t>
      </w:r>
      <w:r w:rsidR="0097190E" w:rsidRPr="007B140B">
        <w:rPr>
          <w:rFonts w:ascii="Times New Roman" w:hAnsi="Times New Roman" w:cs="Times New Roman"/>
          <w:sz w:val="24"/>
          <w:szCs w:val="24"/>
          <w:lang w:val="en-US"/>
        </w:rPr>
        <w:t>create</w:t>
      </w:r>
      <w:r w:rsidRPr="007B140B">
        <w:rPr>
          <w:rFonts w:ascii="Times New Roman" w:hAnsi="Times New Roman" w:cs="Times New Roman"/>
          <w:sz w:val="24"/>
          <w:szCs w:val="24"/>
          <w:lang w:val="en-US"/>
        </w:rPr>
        <w:t xml:space="preserve"> a randomiz</w:t>
      </w:r>
      <w:r w:rsidR="0097314B" w:rsidRPr="007B140B">
        <w:rPr>
          <w:rFonts w:ascii="Times New Roman" w:hAnsi="Times New Roman" w:cs="Times New Roman"/>
          <w:sz w:val="24"/>
          <w:szCs w:val="24"/>
          <w:lang w:val="en-US"/>
        </w:rPr>
        <w:t>ation list</w:t>
      </w:r>
      <w:r w:rsidR="00B95285" w:rsidRPr="007B140B">
        <w:rPr>
          <w:rFonts w:ascii="Times New Roman" w:hAnsi="Times New Roman" w:cs="Times New Roman"/>
          <w:sz w:val="24"/>
          <w:szCs w:val="24"/>
          <w:lang w:val="en-US"/>
        </w:rPr>
        <w:t xml:space="preserve">. </w:t>
      </w:r>
      <w:r w:rsidR="00162C40">
        <w:rPr>
          <w:rFonts w:ascii="Times New Roman" w:hAnsi="Times New Roman" w:cs="Times New Roman"/>
          <w:sz w:val="24"/>
          <w:szCs w:val="24"/>
          <w:lang w:val="en-US"/>
        </w:rPr>
        <w:t>T</w:t>
      </w:r>
      <w:r w:rsidR="001D34FA" w:rsidRPr="007B140B">
        <w:rPr>
          <w:rFonts w:ascii="Times New Roman" w:hAnsi="Times New Roman" w:cs="Times New Roman"/>
          <w:sz w:val="24"/>
          <w:szCs w:val="24"/>
          <w:lang w:val="en-US"/>
        </w:rPr>
        <w:t>o maintain the trial statistician’s blinding</w:t>
      </w:r>
      <w:r w:rsidR="00867B3B" w:rsidRPr="007B140B">
        <w:rPr>
          <w:rFonts w:ascii="Times New Roman" w:hAnsi="Times New Roman" w:cs="Times New Roman"/>
          <w:sz w:val="24"/>
          <w:szCs w:val="24"/>
          <w:lang w:val="en-US"/>
        </w:rPr>
        <w:t xml:space="preserve">, </w:t>
      </w:r>
      <w:r w:rsidR="00E636AF" w:rsidRPr="007B140B">
        <w:rPr>
          <w:rFonts w:ascii="Times New Roman" w:hAnsi="Times New Roman" w:cs="Times New Roman"/>
          <w:sz w:val="24"/>
          <w:szCs w:val="24"/>
          <w:lang w:val="en-US"/>
        </w:rPr>
        <w:t>t</w:t>
      </w:r>
      <w:r w:rsidR="00867B3B" w:rsidRPr="007B140B">
        <w:rPr>
          <w:rFonts w:ascii="Times New Roman" w:hAnsi="Times New Roman" w:cs="Times New Roman"/>
          <w:sz w:val="24"/>
          <w:szCs w:val="24"/>
          <w:lang w:val="en-US"/>
        </w:rPr>
        <w:t>h</w:t>
      </w:r>
      <w:r w:rsidR="006D1A59">
        <w:rPr>
          <w:rFonts w:ascii="Times New Roman" w:hAnsi="Times New Roman" w:cs="Times New Roman"/>
          <w:sz w:val="24"/>
          <w:szCs w:val="24"/>
          <w:lang w:val="en-US"/>
        </w:rPr>
        <w:t>e</w:t>
      </w:r>
      <w:r w:rsidR="00544AB7" w:rsidRPr="007B140B">
        <w:rPr>
          <w:rFonts w:ascii="Times New Roman" w:hAnsi="Times New Roman" w:cs="Times New Roman"/>
          <w:sz w:val="24"/>
          <w:szCs w:val="24"/>
          <w:lang w:val="en-US"/>
        </w:rPr>
        <w:t xml:space="preserve"> </w:t>
      </w:r>
      <w:r w:rsidR="006D1A59">
        <w:rPr>
          <w:rFonts w:ascii="Times New Roman" w:hAnsi="Times New Roman" w:cs="Times New Roman"/>
          <w:sz w:val="24"/>
          <w:szCs w:val="24"/>
          <w:lang w:val="en-US"/>
        </w:rPr>
        <w:t xml:space="preserve">randomization </w:t>
      </w:r>
      <w:r w:rsidR="00544AB7" w:rsidRPr="007B140B">
        <w:rPr>
          <w:rFonts w:ascii="Times New Roman" w:hAnsi="Times New Roman" w:cs="Times New Roman"/>
          <w:sz w:val="24"/>
          <w:szCs w:val="24"/>
          <w:lang w:val="en-US"/>
        </w:rPr>
        <w:t>program will be run</w:t>
      </w:r>
      <w:r w:rsidR="00366731">
        <w:rPr>
          <w:rFonts w:ascii="Times New Roman" w:hAnsi="Times New Roman" w:cs="Times New Roman"/>
          <w:sz w:val="24"/>
          <w:szCs w:val="24"/>
          <w:lang w:val="en-US"/>
        </w:rPr>
        <w:t xml:space="preserve"> </w:t>
      </w:r>
      <w:r w:rsidR="00544AB7" w:rsidRPr="007B140B">
        <w:rPr>
          <w:rFonts w:ascii="Times New Roman" w:hAnsi="Times New Roman" w:cs="Times New Roman"/>
          <w:sz w:val="24"/>
          <w:szCs w:val="24"/>
          <w:lang w:val="en-US"/>
        </w:rPr>
        <w:t>by staff at</w:t>
      </w:r>
      <w:r w:rsidR="00936386" w:rsidRPr="007B140B">
        <w:rPr>
          <w:rFonts w:ascii="Times New Roman" w:hAnsi="Times New Roman" w:cs="Times New Roman"/>
          <w:sz w:val="24"/>
          <w:szCs w:val="24"/>
          <w:lang w:val="en-US"/>
        </w:rPr>
        <w:t xml:space="preserve"> </w:t>
      </w:r>
      <w:r w:rsidR="001B7C31" w:rsidRPr="007B140B">
        <w:rPr>
          <w:rFonts w:ascii="Times New Roman" w:hAnsi="Times New Roman" w:cs="Times New Roman"/>
          <w:sz w:val="24"/>
          <w:szCs w:val="24"/>
          <w:lang w:val="en-US"/>
        </w:rPr>
        <w:t>the University Hospital of Umeå</w:t>
      </w:r>
      <w:r w:rsidR="00936386" w:rsidRPr="007B140B">
        <w:rPr>
          <w:rFonts w:ascii="Times New Roman" w:hAnsi="Times New Roman" w:cs="Times New Roman"/>
          <w:sz w:val="24"/>
          <w:szCs w:val="24"/>
          <w:lang w:val="en-US"/>
        </w:rPr>
        <w:t xml:space="preserve"> Clinical Research Centre</w:t>
      </w:r>
      <w:r w:rsidR="006471BC">
        <w:rPr>
          <w:rFonts w:ascii="Times New Roman" w:hAnsi="Times New Roman" w:cs="Times New Roman"/>
          <w:sz w:val="24"/>
          <w:szCs w:val="24"/>
          <w:lang w:val="en-US"/>
        </w:rPr>
        <w:t xml:space="preserve">, who will </w:t>
      </w:r>
      <w:r w:rsidR="00036A4D">
        <w:rPr>
          <w:rFonts w:ascii="Times New Roman" w:hAnsi="Times New Roman" w:cs="Times New Roman"/>
          <w:sz w:val="24"/>
          <w:szCs w:val="24"/>
          <w:lang w:val="en-US"/>
        </w:rPr>
        <w:t xml:space="preserve">also </w:t>
      </w:r>
      <w:r w:rsidR="006471BC">
        <w:rPr>
          <w:rFonts w:ascii="Times New Roman" w:hAnsi="Times New Roman" w:cs="Times New Roman"/>
          <w:sz w:val="24"/>
          <w:szCs w:val="24"/>
          <w:lang w:val="en-US"/>
        </w:rPr>
        <w:t>select a random seed</w:t>
      </w:r>
      <w:r w:rsidR="00F07BD2">
        <w:rPr>
          <w:rFonts w:ascii="Times New Roman" w:hAnsi="Times New Roman" w:cs="Times New Roman"/>
          <w:sz w:val="24"/>
          <w:szCs w:val="24"/>
          <w:lang w:val="en-US"/>
        </w:rPr>
        <w:t xml:space="preserve"> for the program</w:t>
      </w:r>
      <w:r w:rsidR="00544AB7" w:rsidRPr="007B140B">
        <w:rPr>
          <w:rFonts w:ascii="Times New Roman" w:hAnsi="Times New Roman" w:cs="Times New Roman"/>
          <w:sz w:val="24"/>
          <w:szCs w:val="24"/>
          <w:lang w:val="en-US"/>
        </w:rPr>
        <w:t>.</w:t>
      </w:r>
      <w:r w:rsidR="00867B3B" w:rsidRPr="007B140B">
        <w:rPr>
          <w:rFonts w:ascii="Times New Roman" w:hAnsi="Times New Roman" w:cs="Times New Roman"/>
          <w:sz w:val="24"/>
          <w:szCs w:val="24"/>
          <w:lang w:val="en-US"/>
        </w:rPr>
        <w:t xml:space="preserve"> </w:t>
      </w:r>
      <w:r w:rsidR="002F0D37">
        <w:rPr>
          <w:rFonts w:ascii="Times New Roman" w:hAnsi="Times New Roman" w:cs="Times New Roman"/>
          <w:sz w:val="24"/>
          <w:szCs w:val="24"/>
          <w:lang w:val="en-US"/>
        </w:rPr>
        <w:t xml:space="preserve">The </w:t>
      </w:r>
      <w:r w:rsidR="00E21739">
        <w:rPr>
          <w:rFonts w:ascii="Times New Roman" w:hAnsi="Times New Roman" w:cs="Times New Roman"/>
          <w:sz w:val="24"/>
          <w:szCs w:val="24"/>
          <w:lang w:val="en-US"/>
        </w:rPr>
        <w:t xml:space="preserve">Clinical </w:t>
      </w:r>
      <w:r w:rsidR="002F0D37">
        <w:rPr>
          <w:rFonts w:ascii="Times New Roman" w:hAnsi="Times New Roman" w:cs="Times New Roman"/>
          <w:sz w:val="24"/>
          <w:szCs w:val="24"/>
          <w:lang w:val="en-US"/>
        </w:rPr>
        <w:t xml:space="preserve">Research Centre will be responsible for </w:t>
      </w:r>
      <w:r w:rsidR="00162C40">
        <w:rPr>
          <w:rFonts w:ascii="Times New Roman" w:hAnsi="Times New Roman" w:cs="Times New Roman"/>
          <w:sz w:val="24"/>
          <w:szCs w:val="24"/>
          <w:lang w:val="en-US"/>
        </w:rPr>
        <w:t xml:space="preserve">uploading the randomization list to </w:t>
      </w:r>
      <w:r w:rsidR="00793BF0">
        <w:rPr>
          <w:rFonts w:ascii="Times New Roman" w:hAnsi="Times New Roman" w:cs="Times New Roman"/>
          <w:sz w:val="24"/>
          <w:szCs w:val="24"/>
          <w:lang w:val="en-US"/>
        </w:rPr>
        <w:t xml:space="preserve">the </w:t>
      </w:r>
      <w:r w:rsidR="00162C40">
        <w:rPr>
          <w:rFonts w:ascii="Times New Roman" w:hAnsi="Times New Roman" w:cs="Times New Roman"/>
          <w:sz w:val="24"/>
          <w:szCs w:val="24"/>
          <w:lang w:val="en-US"/>
        </w:rPr>
        <w:t>electronic case report form</w:t>
      </w:r>
      <w:r w:rsidR="00162C40" w:rsidRPr="007B140B">
        <w:rPr>
          <w:rFonts w:ascii="Times New Roman" w:hAnsi="Times New Roman" w:cs="Times New Roman"/>
          <w:sz w:val="24"/>
          <w:szCs w:val="24"/>
          <w:lang w:val="en-US"/>
        </w:rPr>
        <w:t xml:space="preserve"> (eCRF)</w:t>
      </w:r>
      <w:r w:rsidR="00162C40">
        <w:rPr>
          <w:rFonts w:ascii="Times New Roman" w:hAnsi="Times New Roman" w:cs="Times New Roman"/>
          <w:sz w:val="24"/>
          <w:szCs w:val="24"/>
          <w:lang w:val="en-US"/>
        </w:rPr>
        <w:t>, w</w:t>
      </w:r>
      <w:r w:rsidR="00824287">
        <w:rPr>
          <w:rFonts w:ascii="Times New Roman" w:hAnsi="Times New Roman" w:cs="Times New Roman"/>
          <w:sz w:val="24"/>
          <w:szCs w:val="24"/>
          <w:lang w:val="en-US"/>
        </w:rPr>
        <w:t>hich will have a randomization feature.</w:t>
      </w:r>
      <w:r w:rsidR="009065AF">
        <w:rPr>
          <w:rFonts w:ascii="Times New Roman" w:hAnsi="Times New Roman" w:cs="Times New Roman"/>
          <w:sz w:val="24"/>
          <w:szCs w:val="24"/>
          <w:lang w:val="en-US"/>
        </w:rPr>
        <w:t xml:space="preserve"> </w:t>
      </w:r>
      <w:r w:rsidR="000A484A" w:rsidRPr="007B140B">
        <w:rPr>
          <w:rFonts w:ascii="Times New Roman" w:hAnsi="Times New Roman" w:cs="Times New Roman"/>
          <w:sz w:val="24"/>
          <w:szCs w:val="24"/>
          <w:lang w:val="en-US"/>
        </w:rPr>
        <w:t xml:space="preserve">The randomization list will be stored by the </w:t>
      </w:r>
      <w:r w:rsidR="00E21739">
        <w:rPr>
          <w:rFonts w:ascii="Times New Roman" w:hAnsi="Times New Roman" w:cs="Times New Roman"/>
          <w:sz w:val="24"/>
          <w:szCs w:val="24"/>
          <w:lang w:val="en-US"/>
        </w:rPr>
        <w:t xml:space="preserve">Clinical </w:t>
      </w:r>
      <w:r w:rsidR="000A484A" w:rsidRPr="007B140B">
        <w:rPr>
          <w:rFonts w:ascii="Times New Roman" w:hAnsi="Times New Roman" w:cs="Times New Roman"/>
          <w:sz w:val="24"/>
          <w:szCs w:val="24"/>
          <w:lang w:val="en-US"/>
        </w:rPr>
        <w:t>Research Centre in a locked and safe location. Access to the randomization list will be granted to independent monitors and inspectors upon request, but not to anyone directly involved in the study.</w:t>
      </w:r>
      <w:r w:rsidR="000A484A">
        <w:rPr>
          <w:rFonts w:ascii="Times New Roman" w:hAnsi="Times New Roman" w:cs="Times New Roman"/>
          <w:sz w:val="24"/>
          <w:szCs w:val="24"/>
          <w:lang w:val="en-US"/>
        </w:rPr>
        <w:t xml:space="preserve"> The </w:t>
      </w:r>
      <w:r w:rsidR="00E21739">
        <w:rPr>
          <w:rFonts w:ascii="Times New Roman" w:hAnsi="Times New Roman" w:cs="Times New Roman"/>
          <w:sz w:val="24"/>
          <w:szCs w:val="24"/>
          <w:lang w:val="en-US"/>
        </w:rPr>
        <w:t xml:space="preserve">Clinical </w:t>
      </w:r>
      <w:r w:rsidR="000A484A">
        <w:rPr>
          <w:rFonts w:ascii="Times New Roman" w:hAnsi="Times New Roman" w:cs="Times New Roman"/>
          <w:sz w:val="24"/>
          <w:szCs w:val="24"/>
          <w:lang w:val="en-US"/>
        </w:rPr>
        <w:t xml:space="preserve">Research Centre will also restrict access </w:t>
      </w:r>
      <w:r w:rsidR="00F107CB">
        <w:rPr>
          <w:rFonts w:ascii="Times New Roman" w:hAnsi="Times New Roman" w:cs="Times New Roman"/>
          <w:sz w:val="24"/>
          <w:szCs w:val="24"/>
          <w:lang w:val="en-US"/>
        </w:rPr>
        <w:t xml:space="preserve">to </w:t>
      </w:r>
      <w:r w:rsidR="000A484A">
        <w:rPr>
          <w:rFonts w:ascii="Times New Roman" w:hAnsi="Times New Roman" w:cs="Times New Roman"/>
          <w:sz w:val="24"/>
          <w:szCs w:val="24"/>
          <w:lang w:val="en-US"/>
        </w:rPr>
        <w:t>the randomization feature of the eCRF to designated staff members.</w:t>
      </w:r>
    </w:p>
    <w:p w14:paraId="0F9D4C3C" w14:textId="77F791DF" w:rsidR="00F22BFE" w:rsidRDefault="005208E6" w:rsidP="00273AA9">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study medications will be purchased as marketed (i.e., </w:t>
      </w:r>
      <w:r w:rsidR="004F0300">
        <w:rPr>
          <w:rFonts w:ascii="Times New Roman" w:hAnsi="Times New Roman" w:cs="Times New Roman"/>
          <w:sz w:val="24"/>
          <w:szCs w:val="24"/>
          <w:lang w:val="en-US"/>
        </w:rPr>
        <w:t>in the</w:t>
      </w:r>
      <w:r>
        <w:rPr>
          <w:rFonts w:ascii="Times New Roman" w:hAnsi="Times New Roman" w:cs="Times New Roman"/>
          <w:sz w:val="24"/>
          <w:szCs w:val="24"/>
          <w:lang w:val="en-US"/>
        </w:rPr>
        <w:t xml:space="preserve"> original packaging)</w:t>
      </w:r>
      <w:r w:rsidR="00FB075C">
        <w:rPr>
          <w:rFonts w:ascii="Times New Roman" w:hAnsi="Times New Roman" w:cs="Times New Roman"/>
          <w:sz w:val="24"/>
          <w:szCs w:val="24"/>
          <w:lang w:val="en-US"/>
        </w:rPr>
        <w:t>. Therefore, principal investigators are responsible for enforcing strict routines to ensure that the trial is double blind. This will be done by d</w:t>
      </w:r>
      <w:r w:rsidR="00824287">
        <w:rPr>
          <w:rFonts w:ascii="Times New Roman" w:hAnsi="Times New Roman" w:cs="Times New Roman"/>
          <w:sz w:val="24"/>
          <w:szCs w:val="24"/>
          <w:lang w:val="en-US"/>
        </w:rPr>
        <w:t>esignat</w:t>
      </w:r>
      <w:r w:rsidR="00FB075C">
        <w:rPr>
          <w:rFonts w:ascii="Times New Roman" w:hAnsi="Times New Roman" w:cs="Times New Roman"/>
          <w:sz w:val="24"/>
          <w:szCs w:val="24"/>
          <w:lang w:val="en-US"/>
        </w:rPr>
        <w:t xml:space="preserve">ing </w:t>
      </w:r>
      <w:proofErr w:type="gramStart"/>
      <w:r w:rsidR="00FB075C">
        <w:rPr>
          <w:rFonts w:ascii="Times New Roman" w:hAnsi="Times New Roman" w:cs="Times New Roman"/>
          <w:sz w:val="24"/>
          <w:szCs w:val="24"/>
          <w:lang w:val="en-US"/>
        </w:rPr>
        <w:t>particular</w:t>
      </w:r>
      <w:r w:rsidR="00824287">
        <w:rPr>
          <w:rFonts w:ascii="Times New Roman" w:hAnsi="Times New Roman" w:cs="Times New Roman"/>
          <w:sz w:val="24"/>
          <w:szCs w:val="24"/>
          <w:lang w:val="en-US"/>
        </w:rPr>
        <w:t xml:space="preserve"> staff</w:t>
      </w:r>
      <w:proofErr w:type="gramEnd"/>
      <w:r w:rsidR="00824287">
        <w:rPr>
          <w:rFonts w:ascii="Times New Roman" w:hAnsi="Times New Roman" w:cs="Times New Roman"/>
          <w:sz w:val="24"/>
          <w:szCs w:val="24"/>
          <w:lang w:val="en-US"/>
        </w:rPr>
        <w:t xml:space="preserve"> members (randomization staff) </w:t>
      </w:r>
      <w:r w:rsidR="00FB075C">
        <w:rPr>
          <w:rFonts w:ascii="Times New Roman" w:hAnsi="Times New Roman" w:cs="Times New Roman"/>
          <w:sz w:val="24"/>
          <w:szCs w:val="24"/>
          <w:lang w:val="en-US"/>
        </w:rPr>
        <w:t>to</w:t>
      </w:r>
      <w:r w:rsidR="00824287">
        <w:rPr>
          <w:rFonts w:ascii="Times New Roman" w:hAnsi="Times New Roman" w:cs="Times New Roman"/>
          <w:sz w:val="24"/>
          <w:szCs w:val="24"/>
          <w:lang w:val="en-US"/>
        </w:rPr>
        <w:t xml:space="preserve"> be responsi</w:t>
      </w:r>
      <w:r w:rsidR="00F22BFE">
        <w:rPr>
          <w:rFonts w:ascii="Times New Roman" w:hAnsi="Times New Roman" w:cs="Times New Roman"/>
          <w:sz w:val="24"/>
          <w:szCs w:val="24"/>
          <w:lang w:val="en-US"/>
        </w:rPr>
        <w:t>ble for randomizing participants and</w:t>
      </w:r>
      <w:r w:rsidR="00E6025D">
        <w:rPr>
          <w:rFonts w:ascii="Times New Roman" w:hAnsi="Times New Roman" w:cs="Times New Roman"/>
          <w:sz w:val="24"/>
          <w:szCs w:val="24"/>
          <w:lang w:val="en-US"/>
        </w:rPr>
        <w:t xml:space="preserve"> preparing </w:t>
      </w:r>
      <w:r w:rsidR="00AB1971">
        <w:rPr>
          <w:rFonts w:ascii="Times New Roman" w:hAnsi="Times New Roman" w:cs="Times New Roman"/>
          <w:sz w:val="24"/>
          <w:szCs w:val="24"/>
          <w:lang w:val="en-US"/>
        </w:rPr>
        <w:t>infusions</w:t>
      </w:r>
      <w:r w:rsidR="00F22BFE">
        <w:rPr>
          <w:rFonts w:ascii="Times New Roman" w:hAnsi="Times New Roman" w:cs="Times New Roman"/>
          <w:sz w:val="24"/>
          <w:szCs w:val="24"/>
          <w:lang w:val="en-US"/>
        </w:rPr>
        <w:t>.</w:t>
      </w:r>
      <w:r w:rsidR="00E6025D">
        <w:rPr>
          <w:rFonts w:ascii="Times New Roman" w:hAnsi="Times New Roman" w:cs="Times New Roman"/>
          <w:sz w:val="24"/>
          <w:szCs w:val="24"/>
          <w:lang w:val="en-US"/>
        </w:rPr>
        <w:t xml:space="preserve"> </w:t>
      </w:r>
      <w:r w:rsidR="00F22BFE">
        <w:rPr>
          <w:rFonts w:ascii="Times New Roman" w:hAnsi="Times New Roman" w:cs="Times New Roman"/>
          <w:sz w:val="24"/>
          <w:szCs w:val="24"/>
          <w:lang w:val="en-US"/>
        </w:rPr>
        <w:t xml:space="preserve">Zoledronic acid will be prepared by </w:t>
      </w:r>
      <w:r w:rsidR="006C3A43">
        <w:rPr>
          <w:rFonts w:ascii="Times New Roman" w:hAnsi="Times New Roman" w:cs="Times New Roman"/>
          <w:sz w:val="24"/>
          <w:szCs w:val="24"/>
          <w:lang w:val="en-US"/>
        </w:rPr>
        <w:t xml:space="preserve">adding </w:t>
      </w:r>
      <w:r w:rsidR="00F22BFE">
        <w:rPr>
          <w:rFonts w:ascii="Times New Roman" w:hAnsi="Times New Roman" w:cs="Times New Roman"/>
          <w:sz w:val="24"/>
          <w:szCs w:val="24"/>
          <w:lang w:val="en-US"/>
        </w:rPr>
        <w:t>5 mg</w:t>
      </w:r>
      <w:r w:rsidR="006C3A43">
        <w:rPr>
          <w:rFonts w:ascii="Times New Roman" w:hAnsi="Times New Roman" w:cs="Times New Roman"/>
          <w:sz w:val="24"/>
          <w:szCs w:val="24"/>
          <w:lang w:val="en-US"/>
        </w:rPr>
        <w:t>/6.25 ml</w:t>
      </w:r>
      <w:r w:rsidR="00F22BFE">
        <w:rPr>
          <w:rFonts w:ascii="Times New Roman" w:hAnsi="Times New Roman" w:cs="Times New Roman"/>
          <w:sz w:val="24"/>
          <w:szCs w:val="24"/>
          <w:lang w:val="en-US"/>
        </w:rPr>
        <w:t xml:space="preserve"> of zoledronic acid concentrate</w:t>
      </w:r>
      <w:r w:rsidR="004162DF">
        <w:rPr>
          <w:rFonts w:ascii="Times New Roman" w:hAnsi="Times New Roman" w:cs="Times New Roman"/>
          <w:sz w:val="24"/>
          <w:szCs w:val="24"/>
          <w:lang w:val="en-US"/>
        </w:rPr>
        <w:t xml:space="preserve">, </w:t>
      </w:r>
      <w:r w:rsidR="00F22BFE">
        <w:rPr>
          <w:rFonts w:ascii="Times New Roman" w:hAnsi="Times New Roman" w:cs="Times New Roman"/>
          <w:sz w:val="24"/>
          <w:szCs w:val="24"/>
          <w:lang w:val="en-US"/>
        </w:rPr>
        <w:t>which is colorless</w:t>
      </w:r>
      <w:r w:rsidR="006C3A43">
        <w:rPr>
          <w:rFonts w:ascii="Times New Roman" w:hAnsi="Times New Roman" w:cs="Times New Roman"/>
          <w:sz w:val="24"/>
          <w:szCs w:val="24"/>
          <w:lang w:val="en-US"/>
        </w:rPr>
        <w:t xml:space="preserve">, to </w:t>
      </w:r>
      <w:r w:rsidR="00A37D5F">
        <w:rPr>
          <w:rFonts w:ascii="Times New Roman" w:hAnsi="Times New Roman" w:cs="Times New Roman"/>
          <w:sz w:val="24"/>
          <w:szCs w:val="24"/>
          <w:lang w:val="en-US"/>
        </w:rPr>
        <w:t xml:space="preserve">an infusion bag containing </w:t>
      </w:r>
      <w:r w:rsidR="006C3A43">
        <w:rPr>
          <w:rFonts w:ascii="Times New Roman" w:hAnsi="Times New Roman" w:cs="Times New Roman"/>
          <w:sz w:val="24"/>
          <w:szCs w:val="24"/>
          <w:lang w:val="en-US"/>
        </w:rPr>
        <w:t>100 ml of normal saline</w:t>
      </w:r>
      <w:r w:rsidR="00F22BFE">
        <w:rPr>
          <w:rFonts w:ascii="Times New Roman" w:hAnsi="Times New Roman" w:cs="Times New Roman"/>
          <w:sz w:val="24"/>
          <w:szCs w:val="24"/>
          <w:lang w:val="en-US"/>
        </w:rPr>
        <w:t>. For the placebo group,</w:t>
      </w:r>
      <w:r w:rsidR="006C3A43">
        <w:rPr>
          <w:rFonts w:ascii="Times New Roman" w:hAnsi="Times New Roman" w:cs="Times New Roman"/>
          <w:sz w:val="24"/>
          <w:szCs w:val="24"/>
          <w:lang w:val="en-US"/>
        </w:rPr>
        <w:t xml:space="preserve"> 6.25 ml of normal saline will be added</w:t>
      </w:r>
      <w:r w:rsidR="00A37D5F">
        <w:rPr>
          <w:rFonts w:ascii="Times New Roman" w:hAnsi="Times New Roman" w:cs="Times New Roman"/>
          <w:sz w:val="24"/>
          <w:szCs w:val="24"/>
          <w:lang w:val="en-US"/>
        </w:rPr>
        <w:t xml:space="preserve"> </w:t>
      </w:r>
      <w:r w:rsidR="000C603E">
        <w:rPr>
          <w:rFonts w:ascii="Times New Roman" w:hAnsi="Times New Roman" w:cs="Times New Roman"/>
          <w:sz w:val="24"/>
          <w:szCs w:val="24"/>
          <w:lang w:val="en-US"/>
        </w:rPr>
        <w:t xml:space="preserve">to </w:t>
      </w:r>
      <w:r w:rsidR="000D0C91">
        <w:rPr>
          <w:rFonts w:ascii="Times New Roman" w:hAnsi="Times New Roman" w:cs="Times New Roman"/>
          <w:sz w:val="24"/>
          <w:szCs w:val="24"/>
          <w:lang w:val="en-US"/>
        </w:rPr>
        <w:t>the same type of</w:t>
      </w:r>
      <w:r w:rsidR="009C7C19">
        <w:rPr>
          <w:rFonts w:ascii="Times New Roman" w:hAnsi="Times New Roman" w:cs="Times New Roman"/>
          <w:sz w:val="24"/>
          <w:szCs w:val="24"/>
          <w:lang w:val="en-US"/>
        </w:rPr>
        <w:t xml:space="preserve"> infusion</w:t>
      </w:r>
      <w:r w:rsidR="000C603E">
        <w:rPr>
          <w:rFonts w:ascii="Times New Roman" w:hAnsi="Times New Roman" w:cs="Times New Roman"/>
          <w:sz w:val="24"/>
          <w:szCs w:val="24"/>
          <w:lang w:val="en-US"/>
        </w:rPr>
        <w:t xml:space="preserve"> bag</w:t>
      </w:r>
      <w:r w:rsidR="006C3A43">
        <w:rPr>
          <w:rFonts w:ascii="Times New Roman" w:hAnsi="Times New Roman" w:cs="Times New Roman"/>
          <w:sz w:val="24"/>
          <w:szCs w:val="24"/>
          <w:lang w:val="en-US"/>
        </w:rPr>
        <w:t xml:space="preserve">, </w:t>
      </w:r>
      <w:r w:rsidR="001D54CE">
        <w:rPr>
          <w:rFonts w:ascii="Times New Roman" w:hAnsi="Times New Roman" w:cs="Times New Roman"/>
          <w:sz w:val="24"/>
          <w:szCs w:val="24"/>
          <w:lang w:val="en-US"/>
        </w:rPr>
        <w:t xml:space="preserve">making it visually identical </w:t>
      </w:r>
      <w:r w:rsidR="00C037D3">
        <w:rPr>
          <w:rFonts w:ascii="Times New Roman" w:hAnsi="Times New Roman" w:cs="Times New Roman"/>
          <w:sz w:val="24"/>
          <w:szCs w:val="24"/>
          <w:lang w:val="en-US"/>
        </w:rPr>
        <w:t>to</w:t>
      </w:r>
      <w:r w:rsidR="001D54CE">
        <w:rPr>
          <w:rFonts w:ascii="Times New Roman" w:hAnsi="Times New Roman" w:cs="Times New Roman"/>
          <w:sz w:val="24"/>
          <w:szCs w:val="24"/>
          <w:lang w:val="en-US"/>
        </w:rPr>
        <w:t xml:space="preserve"> a </w:t>
      </w:r>
      <w:r w:rsidR="000C603E">
        <w:rPr>
          <w:rFonts w:ascii="Times New Roman" w:hAnsi="Times New Roman" w:cs="Times New Roman"/>
          <w:sz w:val="24"/>
          <w:szCs w:val="24"/>
          <w:lang w:val="en-US"/>
        </w:rPr>
        <w:t>bag</w:t>
      </w:r>
      <w:r w:rsidR="006C3A43">
        <w:rPr>
          <w:rFonts w:ascii="Times New Roman" w:hAnsi="Times New Roman" w:cs="Times New Roman"/>
          <w:sz w:val="24"/>
          <w:szCs w:val="24"/>
          <w:lang w:val="en-US"/>
        </w:rPr>
        <w:t xml:space="preserve"> </w:t>
      </w:r>
      <w:r w:rsidR="00C037D3">
        <w:rPr>
          <w:rFonts w:ascii="Times New Roman" w:hAnsi="Times New Roman" w:cs="Times New Roman"/>
          <w:sz w:val="24"/>
          <w:szCs w:val="24"/>
          <w:lang w:val="en-US"/>
        </w:rPr>
        <w:t>of diluted</w:t>
      </w:r>
      <w:r w:rsidR="001D54CE">
        <w:rPr>
          <w:rFonts w:ascii="Times New Roman" w:hAnsi="Times New Roman" w:cs="Times New Roman"/>
          <w:sz w:val="24"/>
          <w:szCs w:val="24"/>
          <w:lang w:val="en-US"/>
        </w:rPr>
        <w:t xml:space="preserve"> zoledronic acid.</w:t>
      </w:r>
      <w:r w:rsidR="00033F6B">
        <w:rPr>
          <w:rFonts w:ascii="Times New Roman" w:hAnsi="Times New Roman" w:cs="Times New Roman"/>
          <w:sz w:val="24"/>
          <w:szCs w:val="24"/>
          <w:lang w:val="en-US"/>
        </w:rPr>
        <w:t xml:space="preserve"> An alternative is to use zoledronic acid bags or normal saline bags of similar size and appearance that is masked in paper bags by one of the staff members and given by another staff member to the patient. </w:t>
      </w:r>
    </w:p>
    <w:p w14:paraId="4E085474" w14:textId="59F1095A" w:rsidR="008000A7" w:rsidRDefault="006F5B61" w:rsidP="00273AA9">
      <w:pPr>
        <w:rPr>
          <w:rFonts w:ascii="Times New Roman" w:hAnsi="Times New Roman" w:cs="Times New Roman"/>
          <w:sz w:val="24"/>
          <w:szCs w:val="24"/>
          <w:lang w:val="en-US"/>
        </w:rPr>
      </w:pPr>
      <w:r>
        <w:rPr>
          <w:rFonts w:ascii="Times New Roman" w:hAnsi="Times New Roman" w:cs="Times New Roman"/>
          <w:sz w:val="24"/>
          <w:szCs w:val="24"/>
          <w:lang w:val="en-US"/>
        </w:rPr>
        <w:t>The randomization staff will</w:t>
      </w:r>
      <w:r w:rsidR="00F22BFE">
        <w:rPr>
          <w:rFonts w:ascii="Times New Roman" w:hAnsi="Times New Roman" w:cs="Times New Roman"/>
          <w:sz w:val="24"/>
          <w:szCs w:val="24"/>
          <w:lang w:val="en-US"/>
        </w:rPr>
        <w:t xml:space="preserve"> be responsible for concealing the content of the infusion bottles from all other staff members and </w:t>
      </w:r>
      <w:r w:rsidR="00D2799F">
        <w:rPr>
          <w:rFonts w:ascii="Times New Roman" w:hAnsi="Times New Roman" w:cs="Times New Roman"/>
          <w:sz w:val="24"/>
          <w:szCs w:val="24"/>
          <w:lang w:val="en-US"/>
        </w:rPr>
        <w:t xml:space="preserve">from </w:t>
      </w:r>
      <w:r w:rsidR="00F22BFE">
        <w:rPr>
          <w:rFonts w:ascii="Times New Roman" w:hAnsi="Times New Roman" w:cs="Times New Roman"/>
          <w:sz w:val="24"/>
          <w:szCs w:val="24"/>
          <w:lang w:val="en-US"/>
        </w:rPr>
        <w:t xml:space="preserve">participants. </w:t>
      </w:r>
      <w:r w:rsidR="008A0919">
        <w:rPr>
          <w:rFonts w:ascii="Times New Roman" w:hAnsi="Times New Roman" w:cs="Times New Roman"/>
          <w:sz w:val="24"/>
          <w:szCs w:val="24"/>
          <w:lang w:val="en-US"/>
        </w:rPr>
        <w:t xml:space="preserve">They </w:t>
      </w:r>
      <w:r w:rsidR="00EB6499">
        <w:rPr>
          <w:rFonts w:ascii="Times New Roman" w:hAnsi="Times New Roman" w:cs="Times New Roman"/>
          <w:sz w:val="24"/>
          <w:szCs w:val="24"/>
          <w:lang w:val="en-US"/>
        </w:rPr>
        <w:t xml:space="preserve">are permitted to have contact with participants </w:t>
      </w:r>
      <w:r w:rsidR="00306B2E">
        <w:rPr>
          <w:rFonts w:ascii="Times New Roman" w:hAnsi="Times New Roman" w:cs="Times New Roman"/>
          <w:sz w:val="24"/>
          <w:szCs w:val="24"/>
          <w:lang w:val="en-US"/>
        </w:rPr>
        <w:t>before</w:t>
      </w:r>
      <w:r w:rsidR="00EB6499">
        <w:rPr>
          <w:rFonts w:ascii="Times New Roman" w:hAnsi="Times New Roman" w:cs="Times New Roman"/>
          <w:sz w:val="24"/>
          <w:szCs w:val="24"/>
          <w:lang w:val="en-US"/>
        </w:rPr>
        <w:t xml:space="preserve">, but not after, randomization. </w:t>
      </w:r>
      <w:r w:rsidR="0020447E">
        <w:rPr>
          <w:rFonts w:ascii="Times New Roman" w:hAnsi="Times New Roman" w:cs="Times New Roman"/>
          <w:sz w:val="24"/>
          <w:szCs w:val="24"/>
          <w:lang w:val="en-US"/>
        </w:rPr>
        <w:t>In other words</w:t>
      </w:r>
      <w:r w:rsidR="00F22BFE">
        <w:rPr>
          <w:rFonts w:ascii="Times New Roman" w:hAnsi="Times New Roman" w:cs="Times New Roman"/>
          <w:sz w:val="24"/>
          <w:szCs w:val="24"/>
          <w:lang w:val="en-US"/>
        </w:rPr>
        <w:t xml:space="preserve">, they </w:t>
      </w:r>
      <w:r w:rsidR="0083436A">
        <w:rPr>
          <w:rFonts w:ascii="Times New Roman" w:hAnsi="Times New Roman" w:cs="Times New Roman"/>
          <w:sz w:val="24"/>
          <w:szCs w:val="24"/>
          <w:lang w:val="en-US"/>
        </w:rPr>
        <w:t>are permitted to collect baseline data but</w:t>
      </w:r>
      <w:r w:rsidR="00F10134">
        <w:rPr>
          <w:rFonts w:ascii="Times New Roman" w:hAnsi="Times New Roman" w:cs="Times New Roman"/>
          <w:sz w:val="24"/>
          <w:szCs w:val="24"/>
          <w:lang w:val="en-US"/>
        </w:rPr>
        <w:t xml:space="preserve"> not</w:t>
      </w:r>
      <w:r w:rsidR="0083436A">
        <w:rPr>
          <w:rFonts w:ascii="Times New Roman" w:hAnsi="Times New Roman" w:cs="Times New Roman"/>
          <w:sz w:val="24"/>
          <w:szCs w:val="24"/>
          <w:lang w:val="en-US"/>
        </w:rPr>
        <w:t xml:space="preserve"> </w:t>
      </w:r>
      <w:r w:rsidR="00FB075C">
        <w:rPr>
          <w:rFonts w:ascii="Times New Roman" w:hAnsi="Times New Roman" w:cs="Times New Roman"/>
          <w:sz w:val="24"/>
          <w:szCs w:val="24"/>
          <w:lang w:val="en-US"/>
        </w:rPr>
        <w:t>follow-up data</w:t>
      </w:r>
      <w:r w:rsidR="00061D4B">
        <w:rPr>
          <w:rFonts w:ascii="Times New Roman" w:hAnsi="Times New Roman" w:cs="Times New Roman"/>
          <w:sz w:val="24"/>
          <w:szCs w:val="24"/>
          <w:lang w:val="en-US"/>
        </w:rPr>
        <w:t>.</w:t>
      </w:r>
      <w:r w:rsidR="00C303E1">
        <w:rPr>
          <w:rFonts w:ascii="Times New Roman" w:hAnsi="Times New Roman" w:cs="Times New Roman"/>
          <w:sz w:val="24"/>
          <w:szCs w:val="24"/>
          <w:lang w:val="en-US"/>
        </w:rPr>
        <w:t xml:space="preserve"> </w:t>
      </w:r>
      <w:r w:rsidR="00061D4B">
        <w:rPr>
          <w:rFonts w:ascii="Times New Roman" w:hAnsi="Times New Roman" w:cs="Times New Roman"/>
          <w:sz w:val="24"/>
          <w:szCs w:val="24"/>
          <w:lang w:val="en-US"/>
        </w:rPr>
        <w:t>All other study staff will be blind to treatment assignments, which includes the sponsor/coordinating investigator, the principal investigators, the trial statistician, research nurses, and administrative staff.</w:t>
      </w:r>
      <w:r w:rsidR="000A484A" w:rsidRPr="000A484A">
        <w:rPr>
          <w:rFonts w:ascii="Times New Roman" w:hAnsi="Times New Roman" w:cs="Times New Roman"/>
          <w:sz w:val="24"/>
          <w:szCs w:val="24"/>
          <w:lang w:val="en-US"/>
        </w:rPr>
        <w:t xml:space="preserve"> </w:t>
      </w:r>
    </w:p>
    <w:p w14:paraId="3EBFDA2C" w14:textId="77777777" w:rsidR="00653AD6" w:rsidRDefault="00BE506D" w:rsidP="00273AA9">
      <w:pPr>
        <w:rPr>
          <w:rFonts w:ascii="Times New Roman" w:hAnsi="Times New Roman" w:cs="Times New Roman"/>
          <w:iCs/>
          <w:color w:val="000000" w:themeColor="text1"/>
          <w:sz w:val="24"/>
          <w:szCs w:val="24"/>
          <w:lang w:val="en-US"/>
        </w:rPr>
      </w:pPr>
      <w:r w:rsidRPr="007B140B">
        <w:rPr>
          <w:rFonts w:ascii="Times New Roman" w:hAnsi="Times New Roman" w:cs="Times New Roman"/>
          <w:iCs/>
          <w:color w:val="000000" w:themeColor="text1"/>
          <w:sz w:val="24"/>
          <w:szCs w:val="24"/>
          <w:lang w:val="en-US"/>
        </w:rPr>
        <w:t xml:space="preserve">It will not be possible for </w:t>
      </w:r>
      <w:r w:rsidR="006860E1">
        <w:rPr>
          <w:rFonts w:ascii="Times New Roman" w:hAnsi="Times New Roman" w:cs="Times New Roman"/>
          <w:iCs/>
          <w:color w:val="000000" w:themeColor="text1"/>
          <w:sz w:val="24"/>
          <w:szCs w:val="24"/>
          <w:lang w:val="en-US"/>
        </w:rPr>
        <w:t>randomization staff</w:t>
      </w:r>
      <w:r w:rsidRPr="007B140B">
        <w:rPr>
          <w:rFonts w:ascii="Times New Roman" w:hAnsi="Times New Roman" w:cs="Times New Roman"/>
          <w:iCs/>
          <w:color w:val="000000" w:themeColor="text1"/>
          <w:sz w:val="24"/>
          <w:szCs w:val="24"/>
          <w:lang w:val="en-US"/>
        </w:rPr>
        <w:t xml:space="preserve"> to predict </w:t>
      </w:r>
      <w:r w:rsidR="000C3F6C">
        <w:rPr>
          <w:rFonts w:ascii="Times New Roman" w:hAnsi="Times New Roman" w:cs="Times New Roman"/>
          <w:iCs/>
          <w:color w:val="000000" w:themeColor="text1"/>
          <w:sz w:val="24"/>
          <w:szCs w:val="24"/>
          <w:lang w:val="en-US"/>
        </w:rPr>
        <w:t xml:space="preserve">future </w:t>
      </w:r>
      <w:r w:rsidRPr="007B140B">
        <w:rPr>
          <w:rFonts w:ascii="Times New Roman" w:hAnsi="Times New Roman" w:cs="Times New Roman"/>
          <w:iCs/>
          <w:color w:val="000000" w:themeColor="text1"/>
          <w:sz w:val="24"/>
          <w:szCs w:val="24"/>
          <w:lang w:val="en-US"/>
        </w:rPr>
        <w:t>treatment assignment</w:t>
      </w:r>
      <w:r w:rsidR="006860E1">
        <w:rPr>
          <w:rFonts w:ascii="Times New Roman" w:hAnsi="Times New Roman" w:cs="Times New Roman"/>
          <w:iCs/>
          <w:color w:val="000000" w:themeColor="text1"/>
          <w:sz w:val="24"/>
          <w:szCs w:val="24"/>
          <w:lang w:val="en-US"/>
        </w:rPr>
        <w:t>s</w:t>
      </w:r>
      <w:r w:rsidRPr="007B140B">
        <w:rPr>
          <w:rFonts w:ascii="Times New Roman" w:hAnsi="Times New Roman" w:cs="Times New Roman"/>
          <w:iCs/>
          <w:color w:val="000000" w:themeColor="text1"/>
          <w:sz w:val="24"/>
          <w:szCs w:val="24"/>
          <w:lang w:val="en-US"/>
        </w:rPr>
        <w:t>, because</w:t>
      </w:r>
      <w:r w:rsidR="00B95285" w:rsidRPr="007B140B">
        <w:rPr>
          <w:rFonts w:ascii="Times New Roman" w:hAnsi="Times New Roman" w:cs="Times New Roman"/>
          <w:iCs/>
          <w:color w:val="000000" w:themeColor="text1"/>
          <w:sz w:val="24"/>
          <w:szCs w:val="24"/>
          <w:lang w:val="en-US"/>
        </w:rPr>
        <w:t xml:space="preserve"> the randomization list will </w:t>
      </w:r>
      <w:r w:rsidR="006860E1">
        <w:rPr>
          <w:rFonts w:ascii="Times New Roman" w:hAnsi="Times New Roman" w:cs="Times New Roman"/>
          <w:iCs/>
          <w:color w:val="000000" w:themeColor="text1"/>
          <w:sz w:val="24"/>
          <w:szCs w:val="24"/>
          <w:lang w:val="en-US"/>
        </w:rPr>
        <w:t xml:space="preserve">not be accessible </w:t>
      </w:r>
      <w:r w:rsidR="000C3F6C">
        <w:rPr>
          <w:rFonts w:ascii="Times New Roman" w:hAnsi="Times New Roman" w:cs="Times New Roman"/>
          <w:iCs/>
          <w:color w:val="000000" w:themeColor="text1"/>
          <w:sz w:val="24"/>
          <w:szCs w:val="24"/>
          <w:lang w:val="en-US"/>
        </w:rPr>
        <w:t>to them</w:t>
      </w:r>
      <w:r w:rsidR="000E0C84">
        <w:rPr>
          <w:rFonts w:ascii="Times New Roman" w:hAnsi="Times New Roman" w:cs="Times New Roman"/>
          <w:iCs/>
          <w:color w:val="000000" w:themeColor="text1"/>
          <w:sz w:val="24"/>
          <w:szCs w:val="24"/>
          <w:lang w:val="en-US"/>
        </w:rPr>
        <w:t>. In addition,</w:t>
      </w:r>
      <w:r w:rsidR="006860E1">
        <w:rPr>
          <w:rFonts w:ascii="Times New Roman" w:hAnsi="Times New Roman" w:cs="Times New Roman"/>
          <w:iCs/>
          <w:color w:val="000000" w:themeColor="text1"/>
          <w:sz w:val="24"/>
          <w:szCs w:val="24"/>
          <w:lang w:val="en-US"/>
        </w:rPr>
        <w:t xml:space="preserve"> the randomization feature </w:t>
      </w:r>
      <w:r w:rsidR="000C3F6C">
        <w:rPr>
          <w:rFonts w:ascii="Times New Roman" w:hAnsi="Times New Roman" w:cs="Times New Roman"/>
          <w:iCs/>
          <w:color w:val="000000" w:themeColor="text1"/>
          <w:sz w:val="24"/>
          <w:szCs w:val="24"/>
          <w:lang w:val="en-US"/>
        </w:rPr>
        <w:t>on</w:t>
      </w:r>
      <w:r w:rsidR="006860E1">
        <w:rPr>
          <w:rFonts w:ascii="Times New Roman" w:hAnsi="Times New Roman" w:cs="Times New Roman"/>
          <w:iCs/>
          <w:color w:val="000000" w:themeColor="text1"/>
          <w:sz w:val="24"/>
          <w:szCs w:val="24"/>
          <w:lang w:val="en-US"/>
        </w:rPr>
        <w:t xml:space="preserve"> the eCRF will not include information about future treatment assignments</w:t>
      </w:r>
      <w:r w:rsidR="00DC135F" w:rsidRPr="007B140B">
        <w:rPr>
          <w:rFonts w:ascii="Times New Roman" w:hAnsi="Times New Roman" w:cs="Times New Roman"/>
          <w:iCs/>
          <w:color w:val="000000" w:themeColor="text1"/>
          <w:sz w:val="24"/>
          <w:szCs w:val="24"/>
          <w:lang w:val="en-US"/>
        </w:rPr>
        <w:t>.</w:t>
      </w:r>
      <w:r w:rsidR="007254A9" w:rsidRPr="007B140B">
        <w:rPr>
          <w:rFonts w:ascii="Times New Roman" w:hAnsi="Times New Roman" w:cs="Times New Roman"/>
          <w:iCs/>
          <w:color w:val="000000" w:themeColor="text1"/>
          <w:sz w:val="24"/>
          <w:szCs w:val="24"/>
          <w:lang w:val="en-US"/>
        </w:rPr>
        <w:t xml:space="preserve"> </w:t>
      </w:r>
    </w:p>
    <w:p w14:paraId="45146683" w14:textId="2E6535B1" w:rsidR="008000A7" w:rsidRDefault="00E813EC" w:rsidP="00273AA9">
      <w:pPr>
        <w:rPr>
          <w:rFonts w:ascii="Times New Roman" w:hAnsi="Times New Roman" w:cs="Times New Roman"/>
          <w:sz w:val="24"/>
          <w:szCs w:val="24"/>
          <w:lang w:val="en-US"/>
        </w:rPr>
      </w:pPr>
      <w:r>
        <w:rPr>
          <w:rFonts w:ascii="Times New Roman" w:hAnsi="Times New Roman" w:cs="Times New Roman"/>
          <w:sz w:val="24"/>
          <w:szCs w:val="24"/>
          <w:lang w:val="en-US"/>
        </w:rPr>
        <w:t>Emergency unblinding can be performed if knowledge of a parti</w:t>
      </w:r>
      <w:r w:rsidR="006B5BAF">
        <w:rPr>
          <w:rFonts w:ascii="Times New Roman" w:hAnsi="Times New Roman" w:cs="Times New Roman"/>
          <w:sz w:val="24"/>
          <w:szCs w:val="24"/>
          <w:lang w:val="en-US"/>
        </w:rPr>
        <w:t>cipant’s treatment is</w:t>
      </w:r>
      <w:r>
        <w:rPr>
          <w:rFonts w:ascii="Times New Roman" w:hAnsi="Times New Roman" w:cs="Times New Roman"/>
          <w:sz w:val="24"/>
          <w:szCs w:val="24"/>
          <w:lang w:val="en-US"/>
        </w:rPr>
        <w:t xml:space="preserve"> essential for </w:t>
      </w:r>
      <w:r w:rsidR="00402F6B">
        <w:rPr>
          <w:rFonts w:ascii="Times New Roman" w:hAnsi="Times New Roman" w:cs="Times New Roman"/>
          <w:sz w:val="24"/>
          <w:szCs w:val="24"/>
          <w:lang w:val="en-US"/>
        </w:rPr>
        <w:t xml:space="preserve">ensuring </w:t>
      </w:r>
      <w:r>
        <w:rPr>
          <w:rFonts w:ascii="Times New Roman" w:hAnsi="Times New Roman" w:cs="Times New Roman"/>
          <w:sz w:val="24"/>
          <w:szCs w:val="24"/>
          <w:lang w:val="en-US"/>
        </w:rPr>
        <w:t xml:space="preserve">his or her safety. </w:t>
      </w:r>
      <w:r w:rsidR="00233974">
        <w:rPr>
          <w:rFonts w:ascii="Times New Roman" w:hAnsi="Times New Roman" w:cs="Times New Roman"/>
          <w:sz w:val="24"/>
          <w:szCs w:val="24"/>
          <w:lang w:val="en-US"/>
        </w:rPr>
        <w:t>Decisions</w:t>
      </w:r>
      <w:r w:rsidR="00402F6B">
        <w:rPr>
          <w:rFonts w:ascii="Times New Roman" w:hAnsi="Times New Roman" w:cs="Times New Roman"/>
          <w:sz w:val="24"/>
          <w:szCs w:val="24"/>
          <w:lang w:val="en-US"/>
        </w:rPr>
        <w:t xml:space="preserve"> to emergency unblind</w:t>
      </w:r>
      <w:r w:rsidR="00E13AD2">
        <w:rPr>
          <w:rFonts w:ascii="Times New Roman" w:hAnsi="Times New Roman" w:cs="Times New Roman"/>
          <w:sz w:val="24"/>
          <w:szCs w:val="24"/>
          <w:lang w:val="en-US"/>
        </w:rPr>
        <w:t xml:space="preserve"> a participant</w:t>
      </w:r>
      <w:r w:rsidR="00402F6B">
        <w:rPr>
          <w:rFonts w:ascii="Times New Roman" w:hAnsi="Times New Roman" w:cs="Times New Roman"/>
          <w:sz w:val="24"/>
          <w:szCs w:val="24"/>
          <w:lang w:val="en-US"/>
        </w:rPr>
        <w:t xml:space="preserve"> are made by the principal investigator or the sponsor/coordinating investigator. In such cases, </w:t>
      </w:r>
      <w:r w:rsidR="00B620B0">
        <w:rPr>
          <w:rFonts w:ascii="Times New Roman" w:hAnsi="Times New Roman" w:cs="Times New Roman"/>
          <w:sz w:val="24"/>
          <w:szCs w:val="24"/>
          <w:lang w:val="en-US"/>
        </w:rPr>
        <w:t xml:space="preserve">the </w:t>
      </w:r>
      <w:r w:rsidR="00402F6B">
        <w:rPr>
          <w:rFonts w:ascii="Times New Roman" w:hAnsi="Times New Roman" w:cs="Times New Roman"/>
          <w:sz w:val="24"/>
          <w:szCs w:val="24"/>
          <w:lang w:val="en-US"/>
        </w:rPr>
        <w:t xml:space="preserve">principal investigator or sponsor/coordinating investigator will contact </w:t>
      </w:r>
      <w:r w:rsidR="008000A7">
        <w:rPr>
          <w:rFonts w:ascii="Times New Roman" w:hAnsi="Times New Roman" w:cs="Times New Roman"/>
          <w:sz w:val="24"/>
          <w:szCs w:val="24"/>
          <w:lang w:val="en-US"/>
        </w:rPr>
        <w:t xml:space="preserve">the randomization staff </w:t>
      </w:r>
      <w:r w:rsidR="00402F6B">
        <w:rPr>
          <w:rFonts w:ascii="Times New Roman" w:hAnsi="Times New Roman" w:cs="Times New Roman"/>
          <w:sz w:val="24"/>
          <w:szCs w:val="24"/>
          <w:lang w:val="en-US"/>
        </w:rPr>
        <w:t xml:space="preserve">at the participant’s study center </w:t>
      </w:r>
      <w:r w:rsidR="008000A7">
        <w:rPr>
          <w:rFonts w:ascii="Times New Roman" w:hAnsi="Times New Roman" w:cs="Times New Roman"/>
          <w:sz w:val="24"/>
          <w:szCs w:val="24"/>
          <w:lang w:val="en-US"/>
        </w:rPr>
        <w:t xml:space="preserve">or </w:t>
      </w:r>
      <w:r w:rsidR="00643383">
        <w:rPr>
          <w:rFonts w:ascii="Times New Roman" w:hAnsi="Times New Roman" w:cs="Times New Roman"/>
          <w:sz w:val="24"/>
          <w:szCs w:val="24"/>
          <w:lang w:val="en-US"/>
        </w:rPr>
        <w:t xml:space="preserve">designated staff at </w:t>
      </w:r>
      <w:r w:rsidR="008000A7">
        <w:rPr>
          <w:rFonts w:ascii="Times New Roman" w:hAnsi="Times New Roman" w:cs="Times New Roman"/>
          <w:sz w:val="24"/>
          <w:szCs w:val="24"/>
          <w:lang w:val="en-US"/>
        </w:rPr>
        <w:t>the Clinical Research Centre</w:t>
      </w:r>
      <w:r w:rsidR="00B625D5">
        <w:rPr>
          <w:rFonts w:ascii="Times New Roman" w:hAnsi="Times New Roman" w:cs="Times New Roman"/>
          <w:sz w:val="24"/>
          <w:szCs w:val="24"/>
          <w:lang w:val="en-US"/>
        </w:rPr>
        <w:t xml:space="preserve"> (the latter </w:t>
      </w:r>
      <w:r w:rsidR="00402F6B">
        <w:rPr>
          <w:rFonts w:ascii="Times New Roman" w:hAnsi="Times New Roman" w:cs="Times New Roman"/>
          <w:sz w:val="24"/>
          <w:szCs w:val="24"/>
          <w:lang w:val="en-US"/>
        </w:rPr>
        <w:t xml:space="preserve">will have access to the treatment assignment </w:t>
      </w:r>
      <w:r w:rsidR="00411027">
        <w:rPr>
          <w:rFonts w:ascii="Times New Roman" w:hAnsi="Times New Roman" w:cs="Times New Roman"/>
          <w:sz w:val="24"/>
          <w:szCs w:val="24"/>
          <w:lang w:val="en-US"/>
        </w:rPr>
        <w:t xml:space="preserve">of </w:t>
      </w:r>
      <w:r w:rsidR="00EB62A4">
        <w:rPr>
          <w:rFonts w:ascii="Times New Roman" w:hAnsi="Times New Roman" w:cs="Times New Roman"/>
          <w:sz w:val="24"/>
          <w:szCs w:val="24"/>
          <w:lang w:val="en-US"/>
        </w:rPr>
        <w:t xml:space="preserve">all </w:t>
      </w:r>
      <w:r w:rsidR="00402F6B">
        <w:rPr>
          <w:rFonts w:ascii="Times New Roman" w:hAnsi="Times New Roman" w:cs="Times New Roman"/>
          <w:sz w:val="24"/>
          <w:szCs w:val="24"/>
          <w:lang w:val="en-US"/>
        </w:rPr>
        <w:t>participants</w:t>
      </w:r>
      <w:r w:rsidR="00B625D5">
        <w:rPr>
          <w:rFonts w:ascii="Times New Roman" w:hAnsi="Times New Roman" w:cs="Times New Roman"/>
          <w:sz w:val="24"/>
          <w:szCs w:val="24"/>
          <w:lang w:val="en-US"/>
        </w:rPr>
        <w:t>)</w:t>
      </w:r>
      <w:r w:rsidR="008000A7">
        <w:rPr>
          <w:rFonts w:ascii="Times New Roman" w:hAnsi="Times New Roman" w:cs="Times New Roman"/>
          <w:sz w:val="24"/>
          <w:szCs w:val="24"/>
          <w:lang w:val="en-US"/>
        </w:rPr>
        <w:t xml:space="preserve">. </w:t>
      </w:r>
      <w:r w:rsidR="004356DB">
        <w:rPr>
          <w:rFonts w:ascii="Times New Roman" w:hAnsi="Times New Roman" w:cs="Times New Roman"/>
          <w:sz w:val="24"/>
          <w:szCs w:val="24"/>
          <w:lang w:val="en-US"/>
        </w:rPr>
        <w:t>These</w:t>
      </w:r>
      <w:r w:rsidR="00D84626">
        <w:rPr>
          <w:rFonts w:ascii="Times New Roman" w:hAnsi="Times New Roman" w:cs="Times New Roman"/>
          <w:sz w:val="24"/>
          <w:szCs w:val="24"/>
          <w:lang w:val="en-US"/>
        </w:rPr>
        <w:t xml:space="preserve"> </w:t>
      </w:r>
      <w:r w:rsidR="004356DB">
        <w:rPr>
          <w:rFonts w:ascii="Times New Roman" w:hAnsi="Times New Roman" w:cs="Times New Roman"/>
          <w:sz w:val="24"/>
          <w:szCs w:val="24"/>
          <w:lang w:val="en-US"/>
        </w:rPr>
        <w:t xml:space="preserve">staff members </w:t>
      </w:r>
      <w:r w:rsidR="00D84626">
        <w:rPr>
          <w:rFonts w:ascii="Times New Roman" w:hAnsi="Times New Roman" w:cs="Times New Roman"/>
          <w:sz w:val="24"/>
          <w:szCs w:val="24"/>
          <w:lang w:val="en-US"/>
        </w:rPr>
        <w:t>will have around-the-clock</w:t>
      </w:r>
      <w:r w:rsidR="00DA7B67">
        <w:rPr>
          <w:rFonts w:ascii="Times New Roman" w:hAnsi="Times New Roman" w:cs="Times New Roman"/>
          <w:sz w:val="24"/>
          <w:szCs w:val="24"/>
          <w:lang w:val="en-US"/>
        </w:rPr>
        <w:t>, online</w:t>
      </w:r>
      <w:r w:rsidR="00D84626">
        <w:rPr>
          <w:rFonts w:ascii="Times New Roman" w:hAnsi="Times New Roman" w:cs="Times New Roman"/>
          <w:sz w:val="24"/>
          <w:szCs w:val="24"/>
          <w:lang w:val="en-US"/>
        </w:rPr>
        <w:t xml:space="preserve"> access to </w:t>
      </w:r>
      <w:r w:rsidR="0029107F">
        <w:rPr>
          <w:rFonts w:ascii="Times New Roman" w:hAnsi="Times New Roman" w:cs="Times New Roman"/>
          <w:sz w:val="24"/>
          <w:szCs w:val="24"/>
          <w:lang w:val="en-US"/>
        </w:rPr>
        <w:t>participants’ treatment assignment</w:t>
      </w:r>
      <w:r w:rsidR="00D84626">
        <w:rPr>
          <w:rFonts w:ascii="Times New Roman" w:hAnsi="Times New Roman" w:cs="Times New Roman"/>
          <w:sz w:val="24"/>
          <w:szCs w:val="24"/>
          <w:lang w:val="en-US"/>
        </w:rPr>
        <w:t xml:space="preserve"> </w:t>
      </w:r>
      <w:r w:rsidR="0029107F">
        <w:rPr>
          <w:rFonts w:ascii="Times New Roman" w:hAnsi="Times New Roman" w:cs="Times New Roman"/>
          <w:sz w:val="24"/>
          <w:szCs w:val="24"/>
          <w:lang w:val="en-US"/>
        </w:rPr>
        <w:t>through</w:t>
      </w:r>
      <w:r w:rsidR="00DA7B67">
        <w:rPr>
          <w:rFonts w:ascii="Times New Roman" w:hAnsi="Times New Roman" w:cs="Times New Roman"/>
          <w:sz w:val="24"/>
          <w:szCs w:val="24"/>
          <w:lang w:val="en-US"/>
        </w:rPr>
        <w:t xml:space="preserve"> </w:t>
      </w:r>
      <w:r w:rsidR="009100E8">
        <w:rPr>
          <w:rFonts w:ascii="Times New Roman" w:hAnsi="Times New Roman" w:cs="Times New Roman"/>
          <w:sz w:val="24"/>
          <w:szCs w:val="24"/>
          <w:lang w:val="en-US"/>
        </w:rPr>
        <w:t xml:space="preserve">the </w:t>
      </w:r>
      <w:r w:rsidR="00D84626">
        <w:rPr>
          <w:rFonts w:ascii="Times New Roman" w:hAnsi="Times New Roman" w:cs="Times New Roman"/>
          <w:sz w:val="24"/>
          <w:szCs w:val="24"/>
          <w:lang w:val="en-US"/>
        </w:rPr>
        <w:t>eCRF</w:t>
      </w:r>
      <w:r w:rsidR="00DA7B67">
        <w:rPr>
          <w:rFonts w:ascii="Times New Roman" w:hAnsi="Times New Roman" w:cs="Times New Roman"/>
          <w:sz w:val="24"/>
          <w:szCs w:val="24"/>
          <w:lang w:val="en-US"/>
        </w:rPr>
        <w:t xml:space="preserve">. </w:t>
      </w:r>
      <w:r w:rsidR="007176BB" w:rsidRPr="007B140B">
        <w:rPr>
          <w:rFonts w:ascii="Times New Roman" w:hAnsi="Times New Roman" w:cs="Times New Roman"/>
          <w:sz w:val="24"/>
          <w:szCs w:val="24"/>
          <w:lang w:val="en-US"/>
        </w:rPr>
        <w:t xml:space="preserve">Investigators will be responsible for registering instances of intentional </w:t>
      </w:r>
      <w:r w:rsidR="007176BB">
        <w:rPr>
          <w:rFonts w:ascii="Times New Roman" w:hAnsi="Times New Roman" w:cs="Times New Roman"/>
          <w:sz w:val="24"/>
          <w:szCs w:val="24"/>
          <w:lang w:val="en-US"/>
        </w:rPr>
        <w:t xml:space="preserve">and unintentional unblinding on the </w:t>
      </w:r>
      <w:r w:rsidR="007176BB" w:rsidRPr="007B140B">
        <w:rPr>
          <w:rFonts w:ascii="Times New Roman" w:hAnsi="Times New Roman" w:cs="Times New Roman"/>
          <w:sz w:val="24"/>
          <w:szCs w:val="24"/>
          <w:lang w:val="en-US"/>
        </w:rPr>
        <w:t>eCRF.</w:t>
      </w:r>
      <w:r w:rsidR="008000A7">
        <w:rPr>
          <w:rFonts w:ascii="Times New Roman" w:hAnsi="Times New Roman" w:cs="Times New Roman"/>
          <w:sz w:val="24"/>
          <w:szCs w:val="24"/>
          <w:lang w:val="en-US"/>
        </w:rPr>
        <w:t xml:space="preserve"> </w:t>
      </w:r>
    </w:p>
    <w:p w14:paraId="08DB921D" w14:textId="61A84DCC" w:rsidR="002846E0" w:rsidRPr="006F016F" w:rsidRDefault="0050622D" w:rsidP="00273AA9">
      <w:pPr>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 xml:space="preserve">Participants will be informed of their treatment assignment when they have completed </w:t>
      </w:r>
      <w:r w:rsidR="007E2527">
        <w:rPr>
          <w:rFonts w:ascii="Times New Roman" w:hAnsi="Times New Roman" w:cs="Times New Roman"/>
          <w:iCs/>
          <w:color w:val="000000" w:themeColor="text1"/>
          <w:sz w:val="24"/>
          <w:szCs w:val="24"/>
          <w:lang w:val="en-US"/>
        </w:rPr>
        <w:t xml:space="preserve">48 months of </w:t>
      </w:r>
      <w:r>
        <w:rPr>
          <w:rFonts w:ascii="Times New Roman" w:hAnsi="Times New Roman" w:cs="Times New Roman"/>
          <w:iCs/>
          <w:color w:val="000000" w:themeColor="text1"/>
          <w:sz w:val="24"/>
          <w:szCs w:val="24"/>
          <w:lang w:val="en-US"/>
        </w:rPr>
        <w:t>follow-up</w:t>
      </w:r>
      <w:r w:rsidR="00F107CB">
        <w:rPr>
          <w:rFonts w:ascii="Times New Roman" w:hAnsi="Times New Roman" w:cs="Times New Roman"/>
          <w:iCs/>
          <w:color w:val="000000" w:themeColor="text1"/>
          <w:sz w:val="24"/>
          <w:szCs w:val="24"/>
          <w:lang w:val="en-US"/>
        </w:rPr>
        <w:t xml:space="preserve"> (the Main Phase)</w:t>
      </w:r>
      <w:r>
        <w:rPr>
          <w:rFonts w:ascii="Times New Roman" w:hAnsi="Times New Roman" w:cs="Times New Roman"/>
          <w:iCs/>
          <w:color w:val="000000" w:themeColor="text1"/>
          <w:sz w:val="24"/>
          <w:szCs w:val="24"/>
          <w:lang w:val="en-US"/>
        </w:rPr>
        <w:t xml:space="preserve"> or </w:t>
      </w:r>
      <w:r w:rsidR="00A51C03">
        <w:rPr>
          <w:rFonts w:ascii="Times New Roman" w:hAnsi="Times New Roman" w:cs="Times New Roman"/>
          <w:iCs/>
          <w:color w:val="000000" w:themeColor="text1"/>
          <w:sz w:val="24"/>
          <w:szCs w:val="24"/>
          <w:lang w:val="en-US"/>
        </w:rPr>
        <w:t>when they withdraw</w:t>
      </w:r>
      <w:r>
        <w:rPr>
          <w:rFonts w:ascii="Times New Roman" w:hAnsi="Times New Roman" w:cs="Times New Roman"/>
          <w:iCs/>
          <w:color w:val="000000" w:themeColor="text1"/>
          <w:sz w:val="24"/>
          <w:szCs w:val="24"/>
          <w:lang w:val="en-US"/>
        </w:rPr>
        <w:t xml:space="preserve"> from the study</w:t>
      </w:r>
      <w:r w:rsidR="00035D0D">
        <w:rPr>
          <w:rFonts w:ascii="Times New Roman" w:hAnsi="Times New Roman" w:cs="Times New Roman"/>
          <w:iCs/>
          <w:color w:val="000000" w:themeColor="text1"/>
          <w:sz w:val="24"/>
          <w:szCs w:val="24"/>
          <w:lang w:val="en-US"/>
        </w:rPr>
        <w:t xml:space="preserve">. </w:t>
      </w:r>
      <w:r w:rsidR="007E2527">
        <w:rPr>
          <w:rFonts w:ascii="Times New Roman" w:hAnsi="Times New Roman" w:cs="Times New Roman"/>
          <w:iCs/>
          <w:color w:val="000000" w:themeColor="text1"/>
          <w:sz w:val="24"/>
          <w:szCs w:val="24"/>
          <w:lang w:val="en-US"/>
        </w:rPr>
        <w:t xml:space="preserve">This information will be </w:t>
      </w:r>
      <w:r>
        <w:rPr>
          <w:rFonts w:ascii="Times New Roman" w:hAnsi="Times New Roman" w:cs="Times New Roman"/>
          <w:iCs/>
          <w:color w:val="000000" w:themeColor="text1"/>
          <w:sz w:val="24"/>
          <w:szCs w:val="24"/>
          <w:lang w:val="en-US"/>
        </w:rPr>
        <w:t>provided by</w:t>
      </w:r>
      <w:r w:rsidR="00E21739">
        <w:rPr>
          <w:rFonts w:ascii="Times New Roman" w:hAnsi="Times New Roman" w:cs="Times New Roman"/>
          <w:iCs/>
          <w:color w:val="000000" w:themeColor="text1"/>
          <w:sz w:val="24"/>
          <w:szCs w:val="24"/>
          <w:lang w:val="en-US"/>
        </w:rPr>
        <w:t xml:space="preserve"> the randomization staff</w:t>
      </w:r>
      <w:r w:rsidR="00501951">
        <w:rPr>
          <w:rFonts w:ascii="Times New Roman" w:hAnsi="Times New Roman" w:cs="Times New Roman"/>
          <w:iCs/>
          <w:color w:val="000000" w:themeColor="text1"/>
          <w:sz w:val="24"/>
          <w:szCs w:val="24"/>
          <w:lang w:val="en-US"/>
        </w:rPr>
        <w:t xml:space="preserve">. </w:t>
      </w:r>
      <w:r w:rsidR="00E21739">
        <w:rPr>
          <w:rFonts w:ascii="Times New Roman" w:hAnsi="Times New Roman" w:cs="Times New Roman"/>
          <w:iCs/>
          <w:color w:val="000000" w:themeColor="text1"/>
          <w:sz w:val="24"/>
          <w:szCs w:val="24"/>
          <w:lang w:val="en-US"/>
        </w:rPr>
        <w:t xml:space="preserve">The randomization staff will </w:t>
      </w:r>
      <w:r>
        <w:rPr>
          <w:rFonts w:ascii="Times New Roman" w:hAnsi="Times New Roman" w:cs="Times New Roman"/>
          <w:iCs/>
          <w:color w:val="000000" w:themeColor="text1"/>
          <w:sz w:val="24"/>
          <w:szCs w:val="24"/>
          <w:lang w:val="en-US"/>
        </w:rPr>
        <w:t xml:space="preserve">not spread </w:t>
      </w:r>
      <w:r w:rsidR="002A244C">
        <w:rPr>
          <w:rFonts w:ascii="Times New Roman" w:hAnsi="Times New Roman" w:cs="Times New Roman"/>
          <w:iCs/>
          <w:color w:val="000000" w:themeColor="text1"/>
          <w:sz w:val="24"/>
          <w:szCs w:val="24"/>
          <w:lang w:val="en-US"/>
        </w:rPr>
        <w:t>this</w:t>
      </w:r>
      <w:r>
        <w:rPr>
          <w:rFonts w:ascii="Times New Roman" w:hAnsi="Times New Roman" w:cs="Times New Roman"/>
          <w:iCs/>
          <w:color w:val="000000" w:themeColor="text1"/>
          <w:sz w:val="24"/>
          <w:szCs w:val="24"/>
          <w:lang w:val="en-US"/>
        </w:rPr>
        <w:t xml:space="preserve"> information to </w:t>
      </w:r>
      <w:r w:rsidR="00501951">
        <w:rPr>
          <w:rFonts w:ascii="Times New Roman" w:hAnsi="Times New Roman" w:cs="Times New Roman"/>
          <w:iCs/>
          <w:color w:val="000000" w:themeColor="text1"/>
          <w:sz w:val="24"/>
          <w:szCs w:val="24"/>
          <w:lang w:val="en-US"/>
        </w:rPr>
        <w:t>other staff</w:t>
      </w:r>
      <w:r>
        <w:rPr>
          <w:rFonts w:ascii="Times New Roman" w:hAnsi="Times New Roman" w:cs="Times New Roman"/>
          <w:iCs/>
          <w:color w:val="000000" w:themeColor="text1"/>
          <w:sz w:val="24"/>
          <w:szCs w:val="24"/>
          <w:lang w:val="en-US"/>
        </w:rPr>
        <w:t xml:space="preserve"> </w:t>
      </w:r>
      <w:r w:rsidR="00501951">
        <w:rPr>
          <w:rFonts w:ascii="Times New Roman" w:hAnsi="Times New Roman" w:cs="Times New Roman"/>
          <w:iCs/>
          <w:color w:val="000000" w:themeColor="text1"/>
          <w:sz w:val="24"/>
          <w:szCs w:val="24"/>
          <w:lang w:val="en-US"/>
        </w:rPr>
        <w:t>members</w:t>
      </w:r>
      <w:r w:rsidR="007176BB">
        <w:rPr>
          <w:rFonts w:ascii="Times New Roman" w:hAnsi="Times New Roman" w:cs="Times New Roman"/>
          <w:iCs/>
          <w:color w:val="000000" w:themeColor="text1"/>
          <w:sz w:val="24"/>
          <w:szCs w:val="24"/>
          <w:lang w:val="en-US"/>
        </w:rPr>
        <w:t>, who</w:t>
      </w:r>
      <w:r w:rsidR="00AE3BF2">
        <w:rPr>
          <w:rFonts w:ascii="Times New Roman" w:hAnsi="Times New Roman" w:cs="Times New Roman"/>
          <w:iCs/>
          <w:color w:val="000000" w:themeColor="text1"/>
          <w:sz w:val="24"/>
          <w:szCs w:val="24"/>
          <w:lang w:val="en-US"/>
        </w:rPr>
        <w:t xml:space="preserve"> will</w:t>
      </w:r>
      <w:r w:rsidR="00E21739">
        <w:rPr>
          <w:rFonts w:ascii="Times New Roman" w:hAnsi="Times New Roman" w:cs="Times New Roman"/>
          <w:iCs/>
          <w:color w:val="000000" w:themeColor="text1"/>
          <w:sz w:val="24"/>
          <w:szCs w:val="24"/>
          <w:lang w:val="en-US"/>
        </w:rPr>
        <w:t xml:space="preserve"> be</w:t>
      </w:r>
      <w:r w:rsidR="00AE3BF2">
        <w:rPr>
          <w:rFonts w:ascii="Times New Roman" w:hAnsi="Times New Roman" w:cs="Times New Roman"/>
          <w:iCs/>
          <w:color w:val="000000" w:themeColor="text1"/>
          <w:sz w:val="24"/>
          <w:szCs w:val="24"/>
          <w:lang w:val="en-US"/>
        </w:rPr>
        <w:t xml:space="preserve"> </w:t>
      </w:r>
      <w:r w:rsidR="0091411B" w:rsidRPr="007B140B">
        <w:rPr>
          <w:rFonts w:ascii="Times New Roman" w:hAnsi="Times New Roman" w:cs="Times New Roman"/>
          <w:iCs/>
          <w:color w:val="000000" w:themeColor="text1"/>
          <w:sz w:val="24"/>
          <w:szCs w:val="24"/>
          <w:lang w:val="en-US"/>
        </w:rPr>
        <w:t>bli</w:t>
      </w:r>
      <w:r w:rsidR="00FE3D37" w:rsidRPr="007B140B">
        <w:rPr>
          <w:rFonts w:ascii="Times New Roman" w:hAnsi="Times New Roman" w:cs="Times New Roman"/>
          <w:iCs/>
          <w:color w:val="000000" w:themeColor="text1"/>
          <w:sz w:val="24"/>
          <w:szCs w:val="24"/>
          <w:lang w:val="en-US"/>
        </w:rPr>
        <w:t>nded</w:t>
      </w:r>
      <w:r w:rsidR="00363131" w:rsidRPr="007B140B">
        <w:rPr>
          <w:rFonts w:ascii="Times New Roman" w:hAnsi="Times New Roman" w:cs="Times New Roman"/>
          <w:iCs/>
          <w:color w:val="000000" w:themeColor="text1"/>
          <w:sz w:val="24"/>
          <w:szCs w:val="24"/>
          <w:lang w:val="en-US"/>
        </w:rPr>
        <w:t xml:space="preserve"> </w:t>
      </w:r>
      <w:r w:rsidR="00977835">
        <w:rPr>
          <w:rFonts w:ascii="Times New Roman" w:hAnsi="Times New Roman" w:cs="Times New Roman"/>
          <w:iCs/>
          <w:color w:val="000000" w:themeColor="text1"/>
          <w:sz w:val="24"/>
          <w:szCs w:val="24"/>
          <w:lang w:val="en-US"/>
        </w:rPr>
        <w:t>until</w:t>
      </w:r>
      <w:r w:rsidR="00363131" w:rsidRPr="007B140B">
        <w:rPr>
          <w:rFonts w:ascii="Times New Roman" w:hAnsi="Times New Roman" w:cs="Times New Roman"/>
          <w:iCs/>
          <w:color w:val="000000" w:themeColor="text1"/>
          <w:sz w:val="24"/>
          <w:szCs w:val="24"/>
          <w:lang w:val="en-US"/>
        </w:rPr>
        <w:t xml:space="preserve"> the end of the trial</w:t>
      </w:r>
      <w:r w:rsidR="0067573C">
        <w:rPr>
          <w:rFonts w:ascii="Times New Roman" w:hAnsi="Times New Roman" w:cs="Times New Roman"/>
          <w:iCs/>
          <w:color w:val="000000" w:themeColor="text1"/>
          <w:sz w:val="24"/>
          <w:szCs w:val="24"/>
          <w:lang w:val="en-US"/>
        </w:rPr>
        <w:t xml:space="preserve">, when </w:t>
      </w:r>
      <w:r w:rsidR="007E2527">
        <w:rPr>
          <w:rFonts w:ascii="Times New Roman" w:hAnsi="Times New Roman" w:cs="Times New Roman"/>
          <w:iCs/>
          <w:color w:val="000000" w:themeColor="text1"/>
          <w:sz w:val="24"/>
          <w:szCs w:val="24"/>
          <w:lang w:val="en-US"/>
        </w:rPr>
        <w:t>the randomization list</w:t>
      </w:r>
      <w:r w:rsidR="0067573C">
        <w:rPr>
          <w:rFonts w:ascii="Times New Roman" w:hAnsi="Times New Roman" w:cs="Times New Roman"/>
          <w:iCs/>
          <w:color w:val="000000" w:themeColor="text1"/>
          <w:sz w:val="24"/>
          <w:szCs w:val="24"/>
          <w:lang w:val="en-US"/>
        </w:rPr>
        <w:t xml:space="preserve"> is unlocked</w:t>
      </w:r>
      <w:r w:rsidR="00E21739">
        <w:rPr>
          <w:rFonts w:ascii="Times New Roman" w:hAnsi="Times New Roman" w:cs="Times New Roman"/>
          <w:iCs/>
          <w:color w:val="000000" w:themeColor="text1"/>
          <w:sz w:val="24"/>
          <w:szCs w:val="24"/>
          <w:lang w:val="en-US"/>
        </w:rPr>
        <w:t xml:space="preserve"> by the Clinical Research Centre</w:t>
      </w:r>
      <w:r w:rsidR="0067573C">
        <w:rPr>
          <w:rFonts w:ascii="Times New Roman" w:hAnsi="Times New Roman" w:cs="Times New Roman"/>
          <w:iCs/>
          <w:color w:val="000000" w:themeColor="text1"/>
          <w:sz w:val="24"/>
          <w:szCs w:val="24"/>
          <w:lang w:val="en-US"/>
        </w:rPr>
        <w:t xml:space="preserve">. </w:t>
      </w:r>
      <w:r w:rsidR="00C85021">
        <w:rPr>
          <w:rFonts w:ascii="Times New Roman" w:hAnsi="Times New Roman" w:cs="Times New Roman"/>
          <w:iCs/>
          <w:color w:val="000000" w:themeColor="text1"/>
          <w:sz w:val="24"/>
          <w:szCs w:val="24"/>
          <w:lang w:val="en-US"/>
        </w:rPr>
        <w:t>Th</w:t>
      </w:r>
      <w:r w:rsidR="00E21739">
        <w:rPr>
          <w:rFonts w:ascii="Times New Roman" w:hAnsi="Times New Roman" w:cs="Times New Roman"/>
          <w:iCs/>
          <w:color w:val="000000" w:themeColor="text1"/>
          <w:sz w:val="24"/>
          <w:szCs w:val="24"/>
          <w:lang w:val="en-US"/>
        </w:rPr>
        <w:t xml:space="preserve">is </w:t>
      </w:r>
      <w:r w:rsidR="008618F0">
        <w:rPr>
          <w:rFonts w:ascii="Times New Roman" w:hAnsi="Times New Roman" w:cs="Times New Roman"/>
          <w:iCs/>
          <w:color w:val="000000" w:themeColor="text1"/>
          <w:sz w:val="24"/>
          <w:szCs w:val="24"/>
          <w:lang w:val="en-US"/>
        </w:rPr>
        <w:t xml:space="preserve">will be </w:t>
      </w:r>
      <w:r w:rsidR="00E21739">
        <w:rPr>
          <w:rFonts w:ascii="Times New Roman" w:hAnsi="Times New Roman" w:cs="Times New Roman"/>
          <w:iCs/>
          <w:color w:val="000000" w:themeColor="text1"/>
          <w:sz w:val="24"/>
          <w:szCs w:val="24"/>
          <w:lang w:val="en-US"/>
        </w:rPr>
        <w:t xml:space="preserve">done </w:t>
      </w:r>
      <w:r w:rsidR="00192EEE" w:rsidRPr="007B140B">
        <w:rPr>
          <w:rFonts w:ascii="Times New Roman" w:hAnsi="Times New Roman" w:cs="Times New Roman"/>
          <w:sz w:val="24"/>
          <w:szCs w:val="24"/>
          <w:lang w:val="en-US"/>
        </w:rPr>
        <w:t>when the sponsor</w:t>
      </w:r>
      <w:r>
        <w:rPr>
          <w:rFonts w:ascii="Times New Roman" w:hAnsi="Times New Roman" w:cs="Times New Roman"/>
          <w:sz w:val="24"/>
          <w:szCs w:val="24"/>
          <w:lang w:val="en-US"/>
        </w:rPr>
        <w:t>/coordinating investigator</w:t>
      </w:r>
      <w:r w:rsidR="00192EEE" w:rsidRPr="007B140B">
        <w:rPr>
          <w:rFonts w:ascii="Times New Roman" w:hAnsi="Times New Roman" w:cs="Times New Roman"/>
          <w:sz w:val="24"/>
          <w:szCs w:val="24"/>
          <w:lang w:val="en-US"/>
        </w:rPr>
        <w:t xml:space="preserve"> and the </w:t>
      </w:r>
      <w:r w:rsidR="00E218CA" w:rsidRPr="007B140B">
        <w:rPr>
          <w:rFonts w:ascii="Times New Roman" w:hAnsi="Times New Roman" w:cs="Times New Roman"/>
          <w:sz w:val="24"/>
          <w:szCs w:val="24"/>
          <w:lang w:val="en-US"/>
        </w:rPr>
        <w:t xml:space="preserve">trial </w:t>
      </w:r>
      <w:r w:rsidR="00192EEE" w:rsidRPr="007B140B">
        <w:rPr>
          <w:rFonts w:ascii="Times New Roman" w:hAnsi="Times New Roman" w:cs="Times New Roman"/>
          <w:sz w:val="24"/>
          <w:szCs w:val="24"/>
          <w:lang w:val="en-US"/>
        </w:rPr>
        <w:t xml:space="preserve">statistician have confirmed that the </w:t>
      </w:r>
      <w:r w:rsidR="00D32239" w:rsidRPr="007B140B">
        <w:rPr>
          <w:rFonts w:ascii="Times New Roman" w:hAnsi="Times New Roman" w:cs="Times New Roman"/>
          <w:sz w:val="24"/>
          <w:szCs w:val="24"/>
          <w:lang w:val="en-US"/>
        </w:rPr>
        <w:t>trial</w:t>
      </w:r>
      <w:r w:rsidR="00192EEE" w:rsidRPr="007B140B">
        <w:rPr>
          <w:rFonts w:ascii="Times New Roman" w:hAnsi="Times New Roman" w:cs="Times New Roman"/>
          <w:sz w:val="24"/>
          <w:szCs w:val="24"/>
          <w:lang w:val="en-US"/>
        </w:rPr>
        <w:t xml:space="preserve"> database </w:t>
      </w:r>
      <w:r w:rsidR="00365857" w:rsidRPr="007B140B">
        <w:rPr>
          <w:rFonts w:ascii="Times New Roman" w:hAnsi="Times New Roman" w:cs="Times New Roman"/>
          <w:sz w:val="24"/>
          <w:szCs w:val="24"/>
          <w:lang w:val="en-US"/>
        </w:rPr>
        <w:t xml:space="preserve">is </w:t>
      </w:r>
      <w:r w:rsidR="00872669" w:rsidRPr="007B140B">
        <w:rPr>
          <w:rFonts w:ascii="Times New Roman" w:hAnsi="Times New Roman" w:cs="Times New Roman"/>
          <w:sz w:val="24"/>
          <w:szCs w:val="24"/>
          <w:lang w:val="en-US"/>
        </w:rPr>
        <w:t xml:space="preserve">accurate and </w:t>
      </w:r>
      <w:r w:rsidR="00365857" w:rsidRPr="007B140B">
        <w:rPr>
          <w:rFonts w:ascii="Times New Roman" w:hAnsi="Times New Roman" w:cs="Times New Roman"/>
          <w:sz w:val="24"/>
          <w:szCs w:val="24"/>
          <w:lang w:val="en-US"/>
        </w:rPr>
        <w:t>complete</w:t>
      </w:r>
      <w:r w:rsidR="00CB5557" w:rsidRPr="007B140B">
        <w:rPr>
          <w:rFonts w:ascii="Times New Roman" w:hAnsi="Times New Roman" w:cs="Times New Roman"/>
          <w:sz w:val="24"/>
          <w:szCs w:val="24"/>
          <w:lang w:val="en-US"/>
        </w:rPr>
        <w:t xml:space="preserve"> and </w:t>
      </w:r>
      <w:r w:rsidR="00C163F7" w:rsidRPr="007B140B">
        <w:rPr>
          <w:rFonts w:ascii="Times New Roman" w:hAnsi="Times New Roman" w:cs="Times New Roman"/>
          <w:sz w:val="24"/>
          <w:szCs w:val="24"/>
          <w:lang w:val="en-US"/>
        </w:rPr>
        <w:t xml:space="preserve">when </w:t>
      </w:r>
      <w:r w:rsidR="00CB5557" w:rsidRPr="007B140B">
        <w:rPr>
          <w:rFonts w:ascii="Times New Roman" w:hAnsi="Times New Roman" w:cs="Times New Roman"/>
          <w:sz w:val="24"/>
          <w:szCs w:val="24"/>
          <w:lang w:val="en-US"/>
        </w:rPr>
        <w:t>an analysis dataset has been compiled</w:t>
      </w:r>
      <w:r w:rsidR="00192EEE" w:rsidRPr="007B140B">
        <w:rPr>
          <w:rFonts w:ascii="Times New Roman" w:hAnsi="Times New Roman" w:cs="Times New Roman"/>
          <w:sz w:val="24"/>
          <w:szCs w:val="24"/>
          <w:lang w:val="en-US"/>
        </w:rPr>
        <w:t>.</w:t>
      </w:r>
    </w:p>
    <w:p w14:paraId="300418D9" w14:textId="58C5CCB1" w:rsidR="00361AB4" w:rsidRPr="007B140B" w:rsidRDefault="00361AB4" w:rsidP="00273AA9">
      <w:pPr>
        <w:rPr>
          <w:rFonts w:ascii="Times New Roman" w:hAnsi="Times New Roman" w:cs="Times New Roman"/>
          <w:iCs/>
          <w:color w:val="000000" w:themeColor="text1"/>
          <w:sz w:val="24"/>
          <w:szCs w:val="24"/>
          <w:lang w:val="en-US"/>
        </w:rPr>
      </w:pPr>
    </w:p>
    <w:p w14:paraId="4E446566" w14:textId="029E7EF1" w:rsidR="00A11522" w:rsidRPr="007B140B" w:rsidRDefault="00A11522" w:rsidP="00D36611">
      <w:pPr>
        <w:pStyle w:val="Formatmall4"/>
        <w:rPr>
          <w:rFonts w:cs="Times New Roman"/>
          <w:lang w:val="en-US"/>
        </w:rPr>
      </w:pPr>
      <w:bookmarkStart w:id="80" w:name="_Toc99001419"/>
      <w:r w:rsidRPr="007B140B">
        <w:rPr>
          <w:rFonts w:cs="Times New Roman"/>
          <w:lang w:val="en-US"/>
        </w:rPr>
        <w:lastRenderedPageBreak/>
        <w:t>Recruitment</w:t>
      </w:r>
      <w:r w:rsidR="00A31452">
        <w:rPr>
          <w:rFonts w:cs="Times New Roman"/>
          <w:lang w:val="en-US"/>
        </w:rPr>
        <w:t>, Pre-S</w:t>
      </w:r>
      <w:r w:rsidR="00AA5D54">
        <w:rPr>
          <w:rFonts w:cs="Times New Roman"/>
          <w:lang w:val="en-US"/>
        </w:rPr>
        <w:t>creening,</w:t>
      </w:r>
      <w:r w:rsidR="005C7F3B">
        <w:rPr>
          <w:rFonts w:cs="Times New Roman"/>
          <w:lang w:val="en-US"/>
        </w:rPr>
        <w:t xml:space="preserve"> and Exclusion</w:t>
      </w:r>
      <w:bookmarkEnd w:id="80"/>
    </w:p>
    <w:p w14:paraId="1FE5204C" w14:textId="77777777" w:rsidR="00030382" w:rsidRDefault="00AA55C2" w:rsidP="00A11522">
      <w:p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Potentially eligible </w:t>
      </w:r>
      <w:r w:rsidR="00DF4AD6" w:rsidRPr="007B140B">
        <w:rPr>
          <w:rFonts w:ascii="Times New Roman" w:hAnsi="Times New Roman" w:cs="Times New Roman"/>
          <w:sz w:val="24"/>
          <w:szCs w:val="24"/>
          <w:lang w:val="en-US"/>
        </w:rPr>
        <w:t>patients</w:t>
      </w:r>
      <w:r w:rsidRPr="007B140B">
        <w:rPr>
          <w:rFonts w:ascii="Times New Roman" w:hAnsi="Times New Roman" w:cs="Times New Roman"/>
          <w:sz w:val="24"/>
          <w:szCs w:val="24"/>
          <w:lang w:val="en-US"/>
        </w:rPr>
        <w:t xml:space="preserve"> will be identified</w:t>
      </w:r>
      <w:r w:rsidR="00A11522" w:rsidRPr="007B140B">
        <w:rPr>
          <w:rFonts w:ascii="Times New Roman" w:hAnsi="Times New Roman" w:cs="Times New Roman"/>
          <w:sz w:val="24"/>
          <w:szCs w:val="24"/>
          <w:lang w:val="en-US"/>
        </w:rPr>
        <w:t xml:space="preserve"> throug</w:t>
      </w:r>
      <w:r w:rsidR="00943CB9" w:rsidRPr="007B140B">
        <w:rPr>
          <w:rFonts w:ascii="Times New Roman" w:hAnsi="Times New Roman" w:cs="Times New Roman"/>
          <w:sz w:val="24"/>
          <w:szCs w:val="24"/>
          <w:lang w:val="en-US"/>
        </w:rPr>
        <w:t xml:space="preserve">h </w:t>
      </w:r>
      <w:r w:rsidR="00A11522" w:rsidRPr="007B140B">
        <w:rPr>
          <w:rFonts w:ascii="Times New Roman" w:hAnsi="Times New Roman" w:cs="Times New Roman"/>
          <w:sz w:val="24"/>
          <w:szCs w:val="24"/>
          <w:lang w:val="en-US"/>
        </w:rPr>
        <w:t>the Swedish Fracture Register</w:t>
      </w:r>
      <w:r w:rsidR="00BB49CD" w:rsidRPr="007B140B">
        <w:rPr>
          <w:rFonts w:ascii="Times New Roman" w:hAnsi="Times New Roman" w:cs="Times New Roman"/>
          <w:sz w:val="24"/>
          <w:szCs w:val="24"/>
          <w:lang w:val="en-US"/>
        </w:rPr>
        <w:t>.</w:t>
      </w:r>
      <w:r w:rsidRPr="007B140B">
        <w:rPr>
          <w:rFonts w:ascii="Times New Roman" w:hAnsi="Times New Roman" w:cs="Times New Roman"/>
          <w:sz w:val="24"/>
          <w:szCs w:val="24"/>
          <w:lang w:val="en-US"/>
        </w:rPr>
        <w:t xml:space="preserve"> </w:t>
      </w:r>
      <w:r w:rsidR="00315C2A" w:rsidRPr="007B140B">
        <w:rPr>
          <w:rFonts w:ascii="Times New Roman" w:hAnsi="Times New Roman" w:cs="Times New Roman"/>
          <w:sz w:val="24"/>
          <w:szCs w:val="24"/>
          <w:lang w:val="en-US"/>
        </w:rPr>
        <w:t>Th</w:t>
      </w:r>
      <w:r w:rsidR="009A1D9B">
        <w:rPr>
          <w:rFonts w:ascii="Times New Roman" w:hAnsi="Times New Roman" w:cs="Times New Roman"/>
          <w:sz w:val="24"/>
          <w:szCs w:val="24"/>
          <w:lang w:val="en-US"/>
        </w:rPr>
        <w:t xml:space="preserve">is register </w:t>
      </w:r>
      <w:r w:rsidR="00315C2A" w:rsidRPr="007B140B">
        <w:rPr>
          <w:rFonts w:ascii="Times New Roman" w:hAnsi="Times New Roman" w:cs="Times New Roman"/>
          <w:sz w:val="24"/>
          <w:szCs w:val="24"/>
          <w:lang w:val="en-US"/>
        </w:rPr>
        <w:t>was establis</w:t>
      </w:r>
      <w:r w:rsidR="00FC3390" w:rsidRPr="007B140B">
        <w:rPr>
          <w:rFonts w:ascii="Times New Roman" w:hAnsi="Times New Roman" w:cs="Times New Roman"/>
          <w:sz w:val="24"/>
          <w:szCs w:val="24"/>
          <w:lang w:val="en-US"/>
        </w:rPr>
        <w:t>hed in 2011 to monitor fracture</w:t>
      </w:r>
      <w:r w:rsidR="00315C2A" w:rsidRPr="007B140B">
        <w:rPr>
          <w:rFonts w:ascii="Times New Roman" w:hAnsi="Times New Roman" w:cs="Times New Roman"/>
          <w:sz w:val="24"/>
          <w:szCs w:val="24"/>
          <w:lang w:val="en-US"/>
        </w:rPr>
        <w:t xml:space="preserve"> occurrence, fracture ca</w:t>
      </w:r>
      <w:r w:rsidR="00FC3390" w:rsidRPr="007B140B">
        <w:rPr>
          <w:rFonts w:ascii="Times New Roman" w:hAnsi="Times New Roman" w:cs="Times New Roman"/>
          <w:sz w:val="24"/>
          <w:szCs w:val="24"/>
          <w:lang w:val="en-US"/>
        </w:rPr>
        <w:t>re, and health outcomes after</w:t>
      </w:r>
      <w:r w:rsidR="006077FA" w:rsidRPr="007B140B">
        <w:rPr>
          <w:rFonts w:ascii="Times New Roman" w:hAnsi="Times New Roman" w:cs="Times New Roman"/>
          <w:sz w:val="24"/>
          <w:szCs w:val="24"/>
          <w:lang w:val="en-US"/>
        </w:rPr>
        <w:t xml:space="preserve"> </w:t>
      </w:r>
      <w:r w:rsidR="00315C2A" w:rsidRPr="007B140B">
        <w:rPr>
          <w:rFonts w:ascii="Times New Roman" w:hAnsi="Times New Roman" w:cs="Times New Roman"/>
          <w:sz w:val="24"/>
          <w:szCs w:val="24"/>
          <w:lang w:val="en-US"/>
        </w:rPr>
        <w:t>fracture.</w:t>
      </w:r>
      <w:r w:rsidR="00367D6D" w:rsidRPr="007B140B">
        <w:rPr>
          <w:rFonts w:ascii="Times New Roman" w:hAnsi="Times New Roman" w:cs="Times New Roman"/>
          <w:sz w:val="24"/>
          <w:szCs w:val="24"/>
          <w:lang w:val="en-US"/>
        </w:rPr>
        <w:fldChar w:fldCharType="begin" w:fldLock="1"/>
      </w:r>
      <w:r w:rsidR="00272560">
        <w:rPr>
          <w:rFonts w:ascii="Times New Roman" w:hAnsi="Times New Roman" w:cs="Times New Roman"/>
          <w:sz w:val="24"/>
          <w:szCs w:val="24"/>
          <w:lang w:val="en-US"/>
        </w:rPr>
        <w:instrText>ADDIN CSL_CITATION {"citationItems":[{"id":"ITEM-1","itemData":{"DOI":"10.1186/s12891-015-0795-8","ISBN":"1289101507","ISSN":"14712474","abstract":"Background: Although fractures consume large social and financial resources, little is known about their actual numbers, treatment methods or outcomes. The scarcity of data calls for a high-quality, population-based register. No previous registers have prospectively collected data and patient-reported outcome measures (PROMs) on fractures of all types. The Swedish Fracture Register was recently created to fill this gap in knowledge. Its purpose is to provide information on fractures of all types, whether treated by surgery or otherwise. The aim of this article is to describe how the register was developed and its current use. Description: The Swedish Fracture Register was developed during a 4-year period, 2007-2010. Data collection started in 2011. The register currently collects data on all extremity, pelvic and spine fractures in adults who have been diagnosed or treated at the affiliated departments. Data entry is fully web based, including date, cause of injury, classification and treatment. It is performed by the attending physician. Patients fill out PROMs - EQ-5D-3L and the Short Musculoskeletal Function Assessment (SMFA) - relating to health status and level of functioning before the fracture and one year later. Surgeon-reported outcome measures are registered as reoperation rates. The Swedish Fracture Register is now functioning effectively and is used in clinical routine. From January 2011 to September 2015, more than 103,000 fractures have been entered at 26 Swedish orthopedic departments. Conclusions: The Swedish Fracture Register is already a well-functioning, population-based fracture register that covers fractures of all types, regardless of treatment, and collects both surgeon- and patient-reported outcome measures. In the future the Swedish Fracture Register will be able to present both results of fracture treatment and valuable epidemiological data.","author":[{"dropping-particle":"","family":"Wennergren","given":"David","non-dropping-particle":"","parse-names":false,"suffix":""},{"dropping-particle":"","family":"Ekholm","given":"Carl","non-dropping-particle":"","parse-names":false,"suffix":""},{"dropping-particle":"","family":"Sandelin","given":"Anna","non-dropping-particle":"","parse-names":false,"suffix":""},{"dropping-particle":"","family":"Möller","given":"Michael","non-dropping-particle":"","parse-names":false,"suffix":""}],"container-title":"BMC Musculoskeletal Disorders","id":"ITEM-1","issue":"1","issued":{"date-parts":[["2015"]]},"page":"1-9","title":"The Swedish fracture register: 103,000 fractures registered","type":"article-journal","volume":"16"},"uris":["http://www.mendeley.com/documents/?uuid=8030ebfd-c3ac-43ee-ac35-87a59fd692a8"]}],"mendeley":{"formattedCitation":"&lt;sup&gt;&lt;sup&gt;53&lt;/sup&gt;&lt;/sup&gt;","plainTextFormattedCitation":"53","previouslyFormattedCitation":"&lt;sup&gt;&lt;sup&gt;53&lt;/sup&gt;&lt;/sup&gt;"},"properties":{"noteIndex":0},"schema":"https://github.com/citation-style-language/schema/raw/master/csl-citation.json"}</w:instrText>
      </w:r>
      <w:r w:rsidR="00367D6D" w:rsidRPr="007B140B">
        <w:rPr>
          <w:rFonts w:ascii="Times New Roman" w:hAnsi="Times New Roman" w:cs="Times New Roman"/>
          <w:sz w:val="24"/>
          <w:szCs w:val="24"/>
          <w:lang w:val="en-US"/>
        </w:rPr>
        <w:fldChar w:fldCharType="separate"/>
      </w:r>
      <w:r w:rsidR="0081127D" w:rsidRPr="0081127D">
        <w:rPr>
          <w:rFonts w:ascii="Times New Roman" w:hAnsi="Times New Roman" w:cs="Times New Roman"/>
          <w:noProof/>
          <w:sz w:val="24"/>
          <w:szCs w:val="24"/>
          <w:vertAlign w:val="superscript"/>
          <w:lang w:val="en-US"/>
        </w:rPr>
        <w:t>53</w:t>
      </w:r>
      <w:r w:rsidR="00367D6D" w:rsidRPr="007B140B">
        <w:rPr>
          <w:rFonts w:ascii="Times New Roman" w:hAnsi="Times New Roman" w:cs="Times New Roman"/>
          <w:sz w:val="24"/>
          <w:szCs w:val="24"/>
          <w:lang w:val="en-US"/>
        </w:rPr>
        <w:fldChar w:fldCharType="end"/>
      </w:r>
      <w:r w:rsidR="00315C2A" w:rsidRPr="007B140B">
        <w:rPr>
          <w:rFonts w:ascii="Times New Roman" w:hAnsi="Times New Roman" w:cs="Times New Roman"/>
          <w:sz w:val="24"/>
          <w:szCs w:val="24"/>
          <w:lang w:val="en-US"/>
        </w:rPr>
        <w:t xml:space="preserve"> </w:t>
      </w:r>
      <w:r w:rsidR="00BB49CD" w:rsidRPr="007B140B">
        <w:rPr>
          <w:rFonts w:ascii="Times New Roman" w:hAnsi="Times New Roman" w:cs="Times New Roman"/>
          <w:sz w:val="24"/>
          <w:szCs w:val="24"/>
          <w:lang w:val="en-US"/>
        </w:rPr>
        <w:t xml:space="preserve">All </w:t>
      </w:r>
      <w:r w:rsidRPr="007B140B">
        <w:rPr>
          <w:rFonts w:ascii="Times New Roman" w:hAnsi="Times New Roman" w:cs="Times New Roman"/>
          <w:sz w:val="24"/>
          <w:szCs w:val="24"/>
          <w:lang w:val="en-US"/>
        </w:rPr>
        <w:t xml:space="preserve">patients </w:t>
      </w:r>
      <w:r w:rsidR="0036138D" w:rsidRPr="007B140B">
        <w:rPr>
          <w:rFonts w:ascii="Times New Roman" w:hAnsi="Times New Roman" w:cs="Times New Roman"/>
          <w:sz w:val="24"/>
          <w:szCs w:val="24"/>
          <w:lang w:val="en-US"/>
        </w:rPr>
        <w:t xml:space="preserve">in this register </w:t>
      </w:r>
      <w:r w:rsidRPr="007B140B">
        <w:rPr>
          <w:rFonts w:ascii="Times New Roman" w:hAnsi="Times New Roman" w:cs="Times New Roman"/>
          <w:sz w:val="24"/>
          <w:szCs w:val="24"/>
          <w:lang w:val="en-US"/>
        </w:rPr>
        <w:t xml:space="preserve">have </w:t>
      </w:r>
      <w:r w:rsidR="00367D6D" w:rsidRPr="007B140B">
        <w:rPr>
          <w:rFonts w:ascii="Times New Roman" w:hAnsi="Times New Roman" w:cs="Times New Roman"/>
          <w:sz w:val="24"/>
          <w:szCs w:val="24"/>
          <w:lang w:val="en-US"/>
        </w:rPr>
        <w:t>agreed</w:t>
      </w:r>
      <w:r w:rsidRPr="007B140B">
        <w:rPr>
          <w:rFonts w:ascii="Times New Roman" w:hAnsi="Times New Roman" w:cs="Times New Roman"/>
          <w:sz w:val="24"/>
          <w:szCs w:val="24"/>
          <w:lang w:val="en-US"/>
        </w:rPr>
        <w:t xml:space="preserve"> </w:t>
      </w:r>
      <w:r w:rsidR="00BB49CD" w:rsidRPr="007B140B">
        <w:rPr>
          <w:rFonts w:ascii="Times New Roman" w:hAnsi="Times New Roman" w:cs="Times New Roman"/>
          <w:sz w:val="24"/>
          <w:szCs w:val="24"/>
          <w:lang w:val="en-US"/>
        </w:rPr>
        <w:t xml:space="preserve">to </w:t>
      </w:r>
      <w:r w:rsidR="002137AD" w:rsidRPr="007B140B">
        <w:rPr>
          <w:rFonts w:ascii="Times New Roman" w:hAnsi="Times New Roman" w:cs="Times New Roman"/>
          <w:sz w:val="24"/>
          <w:szCs w:val="24"/>
          <w:lang w:val="en-US"/>
        </w:rPr>
        <w:t>the use of their</w:t>
      </w:r>
      <w:r w:rsidR="00BB49CD" w:rsidRPr="007B140B">
        <w:rPr>
          <w:rFonts w:ascii="Times New Roman" w:hAnsi="Times New Roman" w:cs="Times New Roman"/>
          <w:sz w:val="24"/>
          <w:szCs w:val="24"/>
          <w:lang w:val="en-US"/>
        </w:rPr>
        <w:t xml:space="preserve"> information in research</w:t>
      </w:r>
      <w:r w:rsidR="00367D6D" w:rsidRPr="007B140B">
        <w:rPr>
          <w:rFonts w:ascii="Times New Roman" w:hAnsi="Times New Roman" w:cs="Times New Roman"/>
          <w:sz w:val="24"/>
          <w:szCs w:val="24"/>
          <w:lang w:val="en-US"/>
        </w:rPr>
        <w:t xml:space="preserve">, although they have </w:t>
      </w:r>
      <w:r w:rsidR="00676357">
        <w:rPr>
          <w:rFonts w:ascii="Times New Roman" w:hAnsi="Times New Roman" w:cs="Times New Roman"/>
          <w:sz w:val="24"/>
          <w:szCs w:val="24"/>
          <w:lang w:val="en-US"/>
        </w:rPr>
        <w:t>provided written c</w:t>
      </w:r>
      <w:r w:rsidR="00367D6D" w:rsidRPr="007B140B">
        <w:rPr>
          <w:rFonts w:ascii="Times New Roman" w:hAnsi="Times New Roman" w:cs="Times New Roman"/>
          <w:sz w:val="24"/>
          <w:szCs w:val="24"/>
          <w:lang w:val="en-US"/>
        </w:rPr>
        <w:t>onsent</w:t>
      </w:r>
      <w:r w:rsidR="00F6435C" w:rsidRPr="007B140B">
        <w:rPr>
          <w:rFonts w:ascii="Times New Roman" w:hAnsi="Times New Roman" w:cs="Times New Roman"/>
          <w:sz w:val="24"/>
          <w:szCs w:val="24"/>
          <w:lang w:val="en-US"/>
        </w:rPr>
        <w:t xml:space="preserve">, as this is not required by </w:t>
      </w:r>
      <w:r w:rsidR="00AD73AE" w:rsidRPr="007B140B">
        <w:rPr>
          <w:rFonts w:ascii="Times New Roman" w:hAnsi="Times New Roman" w:cs="Times New Roman"/>
          <w:sz w:val="24"/>
          <w:szCs w:val="24"/>
          <w:lang w:val="en-US"/>
        </w:rPr>
        <w:t xml:space="preserve">Swedish </w:t>
      </w:r>
      <w:r w:rsidR="00F6435C" w:rsidRPr="007B140B">
        <w:rPr>
          <w:rFonts w:ascii="Times New Roman" w:hAnsi="Times New Roman" w:cs="Times New Roman"/>
          <w:sz w:val="24"/>
          <w:szCs w:val="24"/>
          <w:lang w:val="en-US"/>
        </w:rPr>
        <w:t>law</w:t>
      </w:r>
      <w:r w:rsidR="00BB49CD" w:rsidRPr="007B140B">
        <w:rPr>
          <w:rFonts w:ascii="Times New Roman" w:hAnsi="Times New Roman" w:cs="Times New Roman"/>
          <w:sz w:val="24"/>
          <w:szCs w:val="24"/>
          <w:lang w:val="en-US"/>
        </w:rPr>
        <w:t>.</w:t>
      </w:r>
      <w:r w:rsidR="00367D6D" w:rsidRPr="007B140B">
        <w:rPr>
          <w:rFonts w:ascii="Times New Roman" w:hAnsi="Times New Roman" w:cs="Times New Roman"/>
          <w:sz w:val="24"/>
          <w:szCs w:val="24"/>
          <w:lang w:val="en-US"/>
        </w:rPr>
        <w:fldChar w:fldCharType="begin" w:fldLock="1"/>
      </w:r>
      <w:r w:rsidR="00272560">
        <w:rPr>
          <w:rFonts w:ascii="Times New Roman" w:hAnsi="Times New Roman" w:cs="Times New Roman"/>
          <w:sz w:val="24"/>
          <w:szCs w:val="24"/>
          <w:lang w:val="en-US"/>
        </w:rPr>
        <w:instrText>ADDIN CSL_CITATION {"citationItems":[{"id":"ITEM-1","itemData":{"DOI":"10.1186/s12891-015-0795-8","ISBN":"1289101507","ISSN":"14712474","abstract":"Background: Although fractures consume large social and financial resources, little is known about their actual numbers, treatment methods or outcomes. The scarcity of data calls for a high-quality, population-based register. No previous registers have prospectively collected data and patient-reported outcome measures (PROMs) on fractures of all types. The Swedish Fracture Register was recently created to fill this gap in knowledge. Its purpose is to provide information on fractures of all types, whether treated by surgery or otherwise. The aim of this article is to describe how the register was developed and its current use. Description: The Swedish Fracture Register was developed during a 4-year period, 2007-2010. Data collection started in 2011. The register currently collects data on all extremity, pelvic and spine fractures in adults who have been diagnosed or treated at the affiliated departments. Data entry is fully web based, including date, cause of injury, classification and treatment. It is performed by the attending physician. Patients fill out PROMs - EQ-5D-3L and the Short Musculoskeletal Function Assessment (SMFA) - relating to health status and level of functioning before the fracture and one year later. Surgeon-reported outcome measures are registered as reoperation rates. The Swedish Fracture Register is now functioning effectively and is used in clinical routine. From January 2011 to September 2015, more than 103,000 fractures have been entered at 26 Swedish orthopedic departments. Conclusions: The Swedish Fracture Register is already a well-functioning, population-based fracture register that covers fractures of all types, regardless of treatment, and collects both surgeon- and patient-reported outcome measures. In the future the Swedish Fracture Register will be able to present both results of fracture treatment and valuable epidemiological data.","author":[{"dropping-particle":"","family":"Wennergren","given":"David","non-dropping-particle":"","parse-names":false,"suffix":""},{"dropping-particle":"","family":"Ekholm","given":"Carl","non-dropping-particle":"","parse-names":false,"suffix":""},{"dropping-particle":"","family":"Sandelin","given":"Anna","non-dropping-particle":"","parse-names":false,"suffix":""},{"dropping-particle":"","family":"Möller","given":"Michael","non-dropping-particle":"","parse-names":false,"suffix":""}],"container-title":"BMC Musculoskeletal Disorders","id":"ITEM-1","issue":"1","issued":{"date-parts":[["2015"]]},"page":"1-9","title":"The Swedish fracture register: 103,000 fractures registered","type":"article-journal","volume":"16"},"uris":["http://www.mendeley.com/documents/?uuid=8030ebfd-c3ac-43ee-ac35-87a59fd692a8"]}],"mendeley":{"formattedCitation":"&lt;sup&gt;&lt;sup&gt;53&lt;/sup&gt;&lt;/sup&gt;","plainTextFormattedCitation":"53","previouslyFormattedCitation":"&lt;sup&gt;&lt;sup&gt;53&lt;/sup&gt;&lt;/sup&gt;"},"properties":{"noteIndex":0},"schema":"https://github.com/citation-style-language/schema/raw/master/csl-citation.json"}</w:instrText>
      </w:r>
      <w:r w:rsidR="00367D6D" w:rsidRPr="007B140B">
        <w:rPr>
          <w:rFonts w:ascii="Times New Roman" w:hAnsi="Times New Roman" w:cs="Times New Roman"/>
          <w:sz w:val="24"/>
          <w:szCs w:val="24"/>
          <w:lang w:val="en-US"/>
        </w:rPr>
        <w:fldChar w:fldCharType="separate"/>
      </w:r>
      <w:r w:rsidR="0081127D" w:rsidRPr="0081127D">
        <w:rPr>
          <w:rFonts w:ascii="Times New Roman" w:hAnsi="Times New Roman" w:cs="Times New Roman"/>
          <w:noProof/>
          <w:sz w:val="24"/>
          <w:szCs w:val="24"/>
          <w:vertAlign w:val="superscript"/>
          <w:lang w:val="en-US"/>
        </w:rPr>
        <w:t>53</w:t>
      </w:r>
      <w:r w:rsidR="00367D6D" w:rsidRPr="007B140B">
        <w:rPr>
          <w:rFonts w:ascii="Times New Roman" w:hAnsi="Times New Roman" w:cs="Times New Roman"/>
          <w:sz w:val="24"/>
          <w:szCs w:val="24"/>
          <w:lang w:val="en-US"/>
        </w:rPr>
        <w:fldChar w:fldCharType="end"/>
      </w:r>
      <w:r w:rsidRPr="007B140B">
        <w:rPr>
          <w:rFonts w:ascii="Times New Roman" w:hAnsi="Times New Roman" w:cs="Times New Roman"/>
          <w:sz w:val="24"/>
          <w:szCs w:val="24"/>
          <w:lang w:val="en-US"/>
        </w:rPr>
        <w:t xml:space="preserve"> </w:t>
      </w:r>
    </w:p>
    <w:p w14:paraId="766C7CD8" w14:textId="2CDB0E0A" w:rsidR="00AA5D54" w:rsidRPr="007B140B" w:rsidRDefault="00030382" w:rsidP="00A11522">
      <w:pPr>
        <w:rPr>
          <w:rFonts w:ascii="Times New Roman" w:hAnsi="Times New Roman" w:cs="Times New Roman"/>
          <w:sz w:val="24"/>
          <w:szCs w:val="24"/>
          <w:lang w:val="en-US"/>
        </w:rPr>
      </w:pPr>
      <w:r>
        <w:rPr>
          <w:rFonts w:ascii="Times New Roman" w:hAnsi="Times New Roman" w:cs="Times New Roman"/>
          <w:sz w:val="24"/>
          <w:szCs w:val="24"/>
          <w:lang w:val="en-US"/>
        </w:rPr>
        <w:t xml:space="preserve">Patient lists will be downloaded from the Fracture Register (see Section 12.2). </w:t>
      </w:r>
      <w:r w:rsidR="00BB49CD" w:rsidRPr="007B140B">
        <w:rPr>
          <w:rFonts w:ascii="Times New Roman" w:hAnsi="Times New Roman" w:cs="Times New Roman"/>
          <w:sz w:val="24"/>
          <w:szCs w:val="24"/>
          <w:lang w:val="en-US"/>
        </w:rPr>
        <w:t>When potentially eligible patient</w:t>
      </w:r>
      <w:r w:rsidR="00EA6DE2" w:rsidRPr="007B140B">
        <w:rPr>
          <w:rFonts w:ascii="Times New Roman" w:hAnsi="Times New Roman" w:cs="Times New Roman"/>
          <w:sz w:val="24"/>
          <w:szCs w:val="24"/>
          <w:lang w:val="en-US"/>
        </w:rPr>
        <w:t>s</w:t>
      </w:r>
      <w:r>
        <w:rPr>
          <w:rFonts w:ascii="Times New Roman" w:hAnsi="Times New Roman" w:cs="Times New Roman"/>
          <w:sz w:val="24"/>
          <w:szCs w:val="24"/>
          <w:lang w:val="en-US"/>
        </w:rPr>
        <w:t xml:space="preserve"> are found on these lists</w:t>
      </w:r>
      <w:r w:rsidR="00BB49CD" w:rsidRPr="007B140B">
        <w:rPr>
          <w:rFonts w:ascii="Times New Roman" w:hAnsi="Times New Roman" w:cs="Times New Roman"/>
          <w:sz w:val="24"/>
          <w:szCs w:val="24"/>
          <w:lang w:val="en-US"/>
        </w:rPr>
        <w:t xml:space="preserve">, they </w:t>
      </w:r>
      <w:r w:rsidR="0010788A" w:rsidRPr="007B140B">
        <w:rPr>
          <w:rFonts w:ascii="Times New Roman" w:hAnsi="Times New Roman" w:cs="Times New Roman"/>
          <w:sz w:val="24"/>
          <w:szCs w:val="24"/>
          <w:lang w:val="en-US"/>
        </w:rPr>
        <w:t>will b</w:t>
      </w:r>
      <w:r w:rsidR="00A11522" w:rsidRPr="007B140B">
        <w:rPr>
          <w:rFonts w:ascii="Times New Roman" w:hAnsi="Times New Roman" w:cs="Times New Roman"/>
          <w:sz w:val="24"/>
          <w:szCs w:val="24"/>
          <w:lang w:val="en-US"/>
        </w:rPr>
        <w:t>e contacted through postal mail</w:t>
      </w:r>
      <w:r w:rsidR="0010788A" w:rsidRPr="007B140B">
        <w:rPr>
          <w:rFonts w:ascii="Times New Roman" w:hAnsi="Times New Roman" w:cs="Times New Roman"/>
          <w:sz w:val="24"/>
          <w:szCs w:val="24"/>
          <w:lang w:val="en-US"/>
        </w:rPr>
        <w:t>.</w:t>
      </w:r>
      <w:r w:rsidR="003566F7">
        <w:rPr>
          <w:rFonts w:ascii="Times New Roman" w:hAnsi="Times New Roman" w:cs="Times New Roman"/>
          <w:sz w:val="24"/>
          <w:szCs w:val="24"/>
          <w:lang w:val="en-US"/>
        </w:rPr>
        <w:t xml:space="preserve"> The </w:t>
      </w:r>
      <w:r w:rsidR="00FD41CB">
        <w:rPr>
          <w:rFonts w:ascii="Times New Roman" w:hAnsi="Times New Roman" w:cs="Times New Roman"/>
          <w:sz w:val="24"/>
          <w:szCs w:val="24"/>
          <w:lang w:val="en-US"/>
        </w:rPr>
        <w:t xml:space="preserve">letter </w:t>
      </w:r>
      <w:r w:rsidR="003566F7">
        <w:rPr>
          <w:rFonts w:ascii="Times New Roman" w:hAnsi="Times New Roman" w:cs="Times New Roman"/>
          <w:sz w:val="24"/>
          <w:szCs w:val="24"/>
          <w:lang w:val="en-US"/>
        </w:rPr>
        <w:t>will include information about the study</w:t>
      </w:r>
      <w:r w:rsidR="009E0D87">
        <w:rPr>
          <w:rFonts w:ascii="Times New Roman" w:hAnsi="Times New Roman" w:cs="Times New Roman"/>
          <w:sz w:val="24"/>
          <w:szCs w:val="24"/>
          <w:lang w:val="en-US"/>
        </w:rPr>
        <w:t xml:space="preserve">, </w:t>
      </w:r>
      <w:r w:rsidR="001D4067">
        <w:rPr>
          <w:rFonts w:ascii="Times New Roman" w:hAnsi="Times New Roman" w:cs="Times New Roman"/>
          <w:sz w:val="24"/>
          <w:szCs w:val="24"/>
          <w:lang w:val="en-US"/>
        </w:rPr>
        <w:t xml:space="preserve">a link to an </w:t>
      </w:r>
      <w:r w:rsidR="003A123F">
        <w:rPr>
          <w:rFonts w:ascii="Times New Roman" w:hAnsi="Times New Roman" w:cs="Times New Roman"/>
          <w:sz w:val="24"/>
          <w:szCs w:val="24"/>
          <w:lang w:val="en-US"/>
        </w:rPr>
        <w:t xml:space="preserve">online </w:t>
      </w:r>
      <w:r w:rsidR="003566F7">
        <w:rPr>
          <w:rFonts w:ascii="Times New Roman" w:hAnsi="Times New Roman" w:cs="Times New Roman"/>
          <w:sz w:val="24"/>
          <w:szCs w:val="24"/>
          <w:lang w:val="en-US"/>
        </w:rPr>
        <w:t>informational video</w:t>
      </w:r>
      <w:r w:rsidR="009E0D87">
        <w:rPr>
          <w:rFonts w:ascii="Times New Roman" w:hAnsi="Times New Roman" w:cs="Times New Roman"/>
          <w:sz w:val="24"/>
          <w:szCs w:val="24"/>
          <w:lang w:val="en-US"/>
        </w:rPr>
        <w:t>, and contact information for reporting interest in participating</w:t>
      </w:r>
      <w:r w:rsidR="003566F7">
        <w:rPr>
          <w:rFonts w:ascii="Times New Roman" w:hAnsi="Times New Roman" w:cs="Times New Roman"/>
          <w:sz w:val="24"/>
          <w:szCs w:val="24"/>
          <w:lang w:val="en-US"/>
        </w:rPr>
        <w:t>.</w:t>
      </w:r>
      <w:r w:rsidR="00494CFF">
        <w:rPr>
          <w:rFonts w:ascii="Times New Roman" w:hAnsi="Times New Roman" w:cs="Times New Roman"/>
          <w:sz w:val="24"/>
          <w:szCs w:val="24"/>
          <w:lang w:val="en-US"/>
        </w:rPr>
        <w:t xml:space="preserve"> </w:t>
      </w:r>
      <w:r w:rsidR="00F932CC">
        <w:rPr>
          <w:rFonts w:ascii="Times New Roman" w:hAnsi="Times New Roman" w:cs="Times New Roman"/>
          <w:sz w:val="24"/>
          <w:szCs w:val="24"/>
          <w:lang w:val="en-US"/>
        </w:rPr>
        <w:t>To increase participa</w:t>
      </w:r>
      <w:r w:rsidR="008A4DCB">
        <w:rPr>
          <w:rFonts w:ascii="Times New Roman" w:hAnsi="Times New Roman" w:cs="Times New Roman"/>
          <w:sz w:val="24"/>
          <w:szCs w:val="24"/>
          <w:lang w:val="en-US"/>
        </w:rPr>
        <w:t>tion rates, investigators may follow-up postal invitation</w:t>
      </w:r>
      <w:r w:rsidR="00D45A65">
        <w:rPr>
          <w:rFonts w:ascii="Times New Roman" w:hAnsi="Times New Roman" w:cs="Times New Roman"/>
          <w:sz w:val="24"/>
          <w:szCs w:val="24"/>
          <w:lang w:val="en-US"/>
        </w:rPr>
        <w:t>s</w:t>
      </w:r>
      <w:r w:rsidR="008A4DCB">
        <w:rPr>
          <w:rFonts w:ascii="Times New Roman" w:hAnsi="Times New Roman" w:cs="Times New Roman"/>
          <w:sz w:val="24"/>
          <w:szCs w:val="24"/>
          <w:lang w:val="en-US"/>
        </w:rPr>
        <w:t xml:space="preserve"> with a te</w:t>
      </w:r>
      <w:r w:rsidR="00D45A65">
        <w:rPr>
          <w:rFonts w:ascii="Times New Roman" w:hAnsi="Times New Roman" w:cs="Times New Roman"/>
          <w:sz w:val="24"/>
          <w:szCs w:val="24"/>
          <w:lang w:val="en-US"/>
        </w:rPr>
        <w:t>lephone calls</w:t>
      </w:r>
      <w:r w:rsidR="008A4DCB">
        <w:rPr>
          <w:rFonts w:ascii="Times New Roman" w:hAnsi="Times New Roman" w:cs="Times New Roman"/>
          <w:sz w:val="24"/>
          <w:szCs w:val="24"/>
          <w:lang w:val="en-US"/>
        </w:rPr>
        <w:t>.</w:t>
      </w:r>
    </w:p>
    <w:p w14:paraId="035665E8" w14:textId="00079468" w:rsidR="0078514C" w:rsidRPr="007B140B" w:rsidRDefault="0078514C" w:rsidP="0078514C">
      <w:pPr>
        <w:rPr>
          <w:rFonts w:ascii="Times New Roman" w:hAnsi="Times New Roman" w:cs="Times New Roman"/>
          <w:sz w:val="24"/>
          <w:szCs w:val="24"/>
          <w:lang w:val="en-US"/>
        </w:rPr>
      </w:pPr>
      <w:r>
        <w:rPr>
          <w:rFonts w:ascii="Times New Roman" w:hAnsi="Times New Roman" w:cs="Times New Roman"/>
          <w:sz w:val="24"/>
          <w:szCs w:val="24"/>
          <w:lang w:val="en-US"/>
        </w:rPr>
        <w:t>Patients who are interested in participating in the trial will be pre-screened for eligibility. The purpose of pre-screening is to avoid inviting patients who clearly do not meet the eligibility criteria (see Section 5). The results of pre-screening will be entered in a</w:t>
      </w:r>
      <w:r w:rsidR="006F37BB">
        <w:rPr>
          <w:rFonts w:ascii="Times New Roman" w:hAnsi="Times New Roman" w:cs="Times New Roman"/>
          <w:sz w:val="24"/>
          <w:szCs w:val="24"/>
          <w:lang w:val="en-US"/>
        </w:rPr>
        <w:t xml:space="preserve"> deidentified</w:t>
      </w:r>
      <w:r>
        <w:rPr>
          <w:rFonts w:ascii="Times New Roman" w:hAnsi="Times New Roman" w:cs="Times New Roman"/>
          <w:sz w:val="24"/>
          <w:szCs w:val="24"/>
          <w:lang w:val="en-US"/>
        </w:rPr>
        <w:t xml:space="preserve"> pre-screening log (see Section 12.2). </w:t>
      </w:r>
    </w:p>
    <w:p w14:paraId="5F982E09" w14:textId="31A25A06" w:rsidR="0057206C" w:rsidRDefault="008D576C" w:rsidP="00273AA9">
      <w:pPr>
        <w:rPr>
          <w:rFonts w:ascii="Times New Roman" w:hAnsi="Times New Roman" w:cs="Times New Roman"/>
          <w:iCs/>
          <w:color w:val="000000" w:themeColor="text1"/>
          <w:sz w:val="24"/>
          <w:szCs w:val="24"/>
          <w:lang w:val="en-US"/>
        </w:rPr>
      </w:pPr>
      <w:r>
        <w:rPr>
          <w:rFonts w:ascii="Times New Roman" w:hAnsi="Times New Roman" w:cs="Times New Roman"/>
          <w:sz w:val="24"/>
          <w:szCs w:val="24"/>
          <w:lang w:val="en-US"/>
        </w:rPr>
        <w:t xml:space="preserve">Other strategies to find </w:t>
      </w:r>
      <w:r w:rsidR="00B6372F" w:rsidRPr="007B140B">
        <w:rPr>
          <w:rFonts w:ascii="Times New Roman" w:hAnsi="Times New Roman" w:cs="Times New Roman"/>
          <w:sz w:val="24"/>
          <w:szCs w:val="24"/>
          <w:lang w:val="en-US"/>
        </w:rPr>
        <w:t xml:space="preserve">eligible </w:t>
      </w:r>
      <w:r w:rsidR="005C7F3B">
        <w:rPr>
          <w:rFonts w:ascii="Times New Roman" w:hAnsi="Times New Roman" w:cs="Times New Roman"/>
          <w:sz w:val="24"/>
          <w:szCs w:val="24"/>
          <w:lang w:val="en-US"/>
        </w:rPr>
        <w:t>participants</w:t>
      </w:r>
      <w:r w:rsidR="005C7F3B" w:rsidRPr="007B140B">
        <w:rPr>
          <w:rFonts w:ascii="Times New Roman" w:hAnsi="Times New Roman" w:cs="Times New Roman"/>
          <w:sz w:val="24"/>
          <w:szCs w:val="24"/>
          <w:lang w:val="en-US"/>
        </w:rPr>
        <w:t xml:space="preserve"> </w:t>
      </w:r>
      <w:r>
        <w:rPr>
          <w:rFonts w:ascii="Times New Roman" w:hAnsi="Times New Roman" w:cs="Times New Roman"/>
          <w:sz w:val="24"/>
          <w:szCs w:val="24"/>
          <w:lang w:val="en-US"/>
        </w:rPr>
        <w:t>include</w:t>
      </w:r>
      <w:r w:rsidR="00B6372F" w:rsidRPr="007B140B">
        <w:rPr>
          <w:rFonts w:ascii="Times New Roman" w:hAnsi="Times New Roman" w:cs="Times New Roman"/>
          <w:sz w:val="24"/>
          <w:szCs w:val="24"/>
          <w:lang w:val="en-US"/>
        </w:rPr>
        <w:t xml:space="preserve"> </w:t>
      </w:r>
      <w:r w:rsidR="006D1525" w:rsidRPr="007B140B">
        <w:rPr>
          <w:rFonts w:ascii="Times New Roman" w:hAnsi="Times New Roman" w:cs="Times New Roman"/>
          <w:sz w:val="24"/>
          <w:szCs w:val="24"/>
          <w:lang w:val="en-US"/>
        </w:rPr>
        <w:t xml:space="preserve">local patient records (e.g., </w:t>
      </w:r>
      <w:r w:rsidR="002F6088">
        <w:rPr>
          <w:rFonts w:ascii="Times New Roman" w:hAnsi="Times New Roman" w:cs="Times New Roman"/>
          <w:sz w:val="24"/>
          <w:szCs w:val="24"/>
          <w:lang w:val="en-US"/>
        </w:rPr>
        <w:t xml:space="preserve">at </w:t>
      </w:r>
      <w:r w:rsidR="008B398D" w:rsidRPr="007B140B">
        <w:rPr>
          <w:rFonts w:ascii="Times New Roman" w:hAnsi="Times New Roman" w:cs="Times New Roman"/>
          <w:color w:val="000000" w:themeColor="text1"/>
          <w:sz w:val="24"/>
          <w:szCs w:val="24"/>
          <w:lang w:val="en-US"/>
        </w:rPr>
        <w:t xml:space="preserve">emergency ward </w:t>
      </w:r>
      <w:r w:rsidR="007628FD">
        <w:rPr>
          <w:rFonts w:ascii="Times New Roman" w:hAnsi="Times New Roman" w:cs="Times New Roman"/>
          <w:color w:val="000000" w:themeColor="text1"/>
          <w:sz w:val="24"/>
          <w:szCs w:val="24"/>
          <w:lang w:val="en-US"/>
        </w:rPr>
        <w:t xml:space="preserve">records, </w:t>
      </w:r>
      <w:r w:rsidR="006D1525" w:rsidRPr="007B140B">
        <w:rPr>
          <w:rFonts w:ascii="Times New Roman" w:hAnsi="Times New Roman" w:cs="Times New Roman"/>
          <w:color w:val="000000" w:themeColor="text1"/>
          <w:sz w:val="24"/>
          <w:szCs w:val="24"/>
          <w:lang w:val="en-US"/>
        </w:rPr>
        <w:t xml:space="preserve">X-ray </w:t>
      </w:r>
      <w:r w:rsidR="008B398D" w:rsidRPr="007B140B">
        <w:rPr>
          <w:rFonts w:ascii="Times New Roman" w:hAnsi="Times New Roman" w:cs="Times New Roman"/>
          <w:color w:val="000000" w:themeColor="text1"/>
          <w:sz w:val="24"/>
          <w:szCs w:val="24"/>
          <w:lang w:val="en-US"/>
        </w:rPr>
        <w:t>records</w:t>
      </w:r>
      <w:r w:rsidR="007628FD">
        <w:rPr>
          <w:rFonts w:ascii="Times New Roman" w:hAnsi="Times New Roman" w:cs="Times New Roman"/>
          <w:color w:val="000000" w:themeColor="text1"/>
          <w:sz w:val="24"/>
          <w:szCs w:val="24"/>
          <w:lang w:val="en-US"/>
        </w:rPr>
        <w:t>,</w:t>
      </w:r>
      <w:r w:rsidR="006D1525" w:rsidRPr="007B140B">
        <w:rPr>
          <w:rFonts w:ascii="Times New Roman" w:hAnsi="Times New Roman" w:cs="Times New Roman"/>
          <w:color w:val="000000" w:themeColor="text1"/>
          <w:sz w:val="24"/>
          <w:szCs w:val="24"/>
          <w:lang w:val="en-US"/>
        </w:rPr>
        <w:t xml:space="preserve"> or</w:t>
      </w:r>
      <w:r w:rsidR="00B6372F" w:rsidRPr="007B140B">
        <w:rPr>
          <w:rFonts w:ascii="Times New Roman" w:hAnsi="Times New Roman" w:cs="Times New Roman"/>
          <w:color w:val="000000" w:themeColor="text1"/>
          <w:sz w:val="24"/>
          <w:szCs w:val="24"/>
          <w:lang w:val="en-US"/>
        </w:rPr>
        <w:t xml:space="preserve"> fracture liaison services</w:t>
      </w:r>
      <w:r w:rsidR="007628FD">
        <w:rPr>
          <w:rFonts w:ascii="Times New Roman" w:hAnsi="Times New Roman" w:cs="Times New Roman"/>
          <w:color w:val="000000" w:themeColor="text1"/>
          <w:sz w:val="24"/>
          <w:szCs w:val="24"/>
          <w:lang w:val="en-US"/>
        </w:rPr>
        <w:t xml:space="preserve"> [</w:t>
      </w:r>
      <w:r w:rsidR="008B398D" w:rsidRPr="007B140B">
        <w:rPr>
          <w:rFonts w:ascii="Times New Roman" w:hAnsi="Times New Roman" w:cs="Times New Roman"/>
          <w:i/>
          <w:color w:val="000000" w:themeColor="text1"/>
          <w:sz w:val="24"/>
          <w:szCs w:val="24"/>
          <w:lang w:val="en-US"/>
        </w:rPr>
        <w:t xml:space="preserve">Swedish: </w:t>
      </w:r>
      <w:r w:rsidR="00B6372F" w:rsidRPr="007B140B">
        <w:rPr>
          <w:rFonts w:ascii="Times New Roman" w:hAnsi="Times New Roman" w:cs="Times New Roman"/>
          <w:i/>
          <w:color w:val="000000" w:themeColor="text1"/>
          <w:sz w:val="24"/>
          <w:szCs w:val="24"/>
          <w:lang w:val="en-US"/>
        </w:rPr>
        <w:t>“</w:t>
      </w:r>
      <w:proofErr w:type="spellStart"/>
      <w:r w:rsidR="00B6372F" w:rsidRPr="007B140B">
        <w:rPr>
          <w:rFonts w:ascii="Times New Roman" w:hAnsi="Times New Roman" w:cs="Times New Roman"/>
          <w:i/>
          <w:color w:val="000000" w:themeColor="text1"/>
          <w:sz w:val="24"/>
          <w:szCs w:val="24"/>
          <w:lang w:val="en-US"/>
        </w:rPr>
        <w:t>frakturkedjor</w:t>
      </w:r>
      <w:proofErr w:type="spellEnd"/>
      <w:r w:rsidR="00B6372F" w:rsidRPr="007B140B">
        <w:rPr>
          <w:rFonts w:ascii="Times New Roman" w:hAnsi="Times New Roman" w:cs="Times New Roman"/>
          <w:i/>
          <w:color w:val="000000" w:themeColor="text1"/>
          <w:sz w:val="24"/>
          <w:szCs w:val="24"/>
          <w:lang w:val="en-US"/>
        </w:rPr>
        <w:t>”</w:t>
      </w:r>
      <w:r w:rsidR="007628FD">
        <w:rPr>
          <w:rFonts w:ascii="Times New Roman" w:hAnsi="Times New Roman" w:cs="Times New Roman"/>
          <w:color w:val="000000" w:themeColor="text1"/>
          <w:sz w:val="24"/>
          <w:szCs w:val="24"/>
          <w:lang w:val="en-US"/>
        </w:rPr>
        <w:t>]</w:t>
      </w:r>
      <w:r w:rsidR="00B6372F" w:rsidRPr="007B140B">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w:t>
      </w:r>
      <w:r w:rsidR="002D3E8F">
        <w:rPr>
          <w:rFonts w:ascii="Times New Roman" w:hAnsi="Times New Roman" w:cs="Times New Roman"/>
          <w:color w:val="000000" w:themeColor="text1"/>
          <w:sz w:val="24"/>
          <w:szCs w:val="24"/>
          <w:lang w:val="en-US"/>
        </w:rPr>
        <w:t xml:space="preserve">advertisement, </w:t>
      </w:r>
      <w:r>
        <w:rPr>
          <w:rFonts w:ascii="Times New Roman" w:hAnsi="Times New Roman" w:cs="Times New Roman"/>
          <w:color w:val="000000" w:themeColor="text1"/>
          <w:sz w:val="24"/>
          <w:szCs w:val="24"/>
          <w:lang w:val="en-US"/>
        </w:rPr>
        <w:t xml:space="preserve">or through brief information give directly to patients at emergency wards, where contact information is </w:t>
      </w:r>
      <w:proofErr w:type="spellStart"/>
      <w:proofErr w:type="gramStart"/>
      <w:r>
        <w:rPr>
          <w:rFonts w:ascii="Times New Roman" w:hAnsi="Times New Roman" w:cs="Times New Roman"/>
          <w:color w:val="000000" w:themeColor="text1"/>
          <w:sz w:val="24"/>
          <w:szCs w:val="24"/>
          <w:lang w:val="en-US"/>
        </w:rPr>
        <w:t>give</w:t>
      </w:r>
      <w:proofErr w:type="spellEnd"/>
      <w:proofErr w:type="gramEnd"/>
      <w:r>
        <w:rPr>
          <w:rFonts w:ascii="Times New Roman" w:hAnsi="Times New Roman" w:cs="Times New Roman"/>
          <w:color w:val="000000" w:themeColor="text1"/>
          <w:sz w:val="24"/>
          <w:szCs w:val="24"/>
          <w:lang w:val="en-US"/>
        </w:rPr>
        <w:t xml:space="preserve"> to the local study center.</w:t>
      </w:r>
    </w:p>
    <w:p w14:paraId="61552460" w14:textId="2B244D63" w:rsidR="005C7F3B" w:rsidRDefault="005C7F3B" w:rsidP="00273AA9">
      <w:pPr>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 xml:space="preserve">The </w:t>
      </w:r>
      <w:proofErr w:type="gramStart"/>
      <w:r>
        <w:rPr>
          <w:rFonts w:ascii="Times New Roman" w:hAnsi="Times New Roman" w:cs="Times New Roman"/>
          <w:iCs/>
          <w:color w:val="000000" w:themeColor="text1"/>
          <w:sz w:val="24"/>
          <w:szCs w:val="24"/>
          <w:lang w:val="en-US"/>
        </w:rPr>
        <w:t>principle</w:t>
      </w:r>
      <w:proofErr w:type="gramEnd"/>
      <w:r>
        <w:rPr>
          <w:rFonts w:ascii="Times New Roman" w:hAnsi="Times New Roman" w:cs="Times New Roman"/>
          <w:iCs/>
          <w:color w:val="000000" w:themeColor="text1"/>
          <w:sz w:val="24"/>
          <w:szCs w:val="24"/>
          <w:lang w:val="en-US"/>
        </w:rPr>
        <w:t xml:space="preserve"> investigator or the sponsor/coordinating investigator can at any time exclude a participant from the </w:t>
      </w:r>
      <w:r w:rsidR="00DA7FCD">
        <w:rPr>
          <w:rFonts w:ascii="Times New Roman" w:hAnsi="Times New Roman" w:cs="Times New Roman"/>
          <w:iCs/>
          <w:color w:val="000000" w:themeColor="text1"/>
          <w:sz w:val="24"/>
          <w:szCs w:val="24"/>
          <w:lang w:val="en-US"/>
        </w:rPr>
        <w:t xml:space="preserve">entire </w:t>
      </w:r>
      <w:r>
        <w:rPr>
          <w:rFonts w:ascii="Times New Roman" w:hAnsi="Times New Roman" w:cs="Times New Roman"/>
          <w:iCs/>
          <w:color w:val="000000" w:themeColor="text1"/>
          <w:sz w:val="24"/>
          <w:szCs w:val="24"/>
          <w:lang w:val="en-US"/>
        </w:rPr>
        <w:t xml:space="preserve">trial. </w:t>
      </w:r>
      <w:r w:rsidR="00DA7FCD">
        <w:rPr>
          <w:rFonts w:ascii="Times New Roman" w:hAnsi="Times New Roman" w:cs="Times New Roman"/>
          <w:iCs/>
          <w:color w:val="000000" w:themeColor="text1"/>
          <w:sz w:val="24"/>
          <w:szCs w:val="24"/>
          <w:lang w:val="en-US"/>
        </w:rPr>
        <w:t xml:space="preserve">A </w:t>
      </w:r>
      <w:r>
        <w:rPr>
          <w:rFonts w:ascii="Times New Roman" w:hAnsi="Times New Roman" w:cs="Times New Roman"/>
          <w:iCs/>
          <w:color w:val="000000" w:themeColor="text1"/>
          <w:sz w:val="24"/>
          <w:szCs w:val="24"/>
          <w:lang w:val="en-US"/>
        </w:rPr>
        <w:t>participant</w:t>
      </w:r>
      <w:r w:rsidR="00286274">
        <w:rPr>
          <w:rFonts w:ascii="Times New Roman" w:hAnsi="Times New Roman" w:cs="Times New Roman"/>
          <w:iCs/>
          <w:color w:val="000000" w:themeColor="text1"/>
          <w:sz w:val="24"/>
          <w:szCs w:val="24"/>
          <w:lang w:val="en-US"/>
        </w:rPr>
        <w:t xml:space="preserve"> </w:t>
      </w:r>
      <w:r w:rsidR="00DA7FCD">
        <w:rPr>
          <w:rFonts w:ascii="Times New Roman" w:hAnsi="Times New Roman" w:cs="Times New Roman"/>
          <w:iCs/>
          <w:color w:val="000000" w:themeColor="text1"/>
          <w:sz w:val="24"/>
          <w:szCs w:val="24"/>
          <w:lang w:val="en-US"/>
        </w:rPr>
        <w:t xml:space="preserve">may also be excluded </w:t>
      </w:r>
      <w:r w:rsidR="00CB14FE">
        <w:rPr>
          <w:rFonts w:ascii="Times New Roman" w:hAnsi="Times New Roman" w:cs="Times New Roman"/>
          <w:iCs/>
          <w:color w:val="000000" w:themeColor="text1"/>
          <w:sz w:val="24"/>
          <w:szCs w:val="24"/>
          <w:lang w:val="en-US"/>
        </w:rPr>
        <w:t xml:space="preserve">from </w:t>
      </w:r>
      <w:r w:rsidR="00DA7FCD">
        <w:rPr>
          <w:rFonts w:ascii="Times New Roman" w:hAnsi="Times New Roman" w:cs="Times New Roman"/>
          <w:iCs/>
          <w:color w:val="000000" w:themeColor="text1"/>
          <w:sz w:val="24"/>
          <w:szCs w:val="24"/>
          <w:lang w:val="en-US"/>
        </w:rPr>
        <w:t>specific parts of the trial (</w:t>
      </w:r>
      <w:r w:rsidR="0035192E">
        <w:rPr>
          <w:rFonts w:ascii="Times New Roman" w:hAnsi="Times New Roman" w:cs="Times New Roman"/>
          <w:iCs/>
          <w:color w:val="000000" w:themeColor="text1"/>
          <w:sz w:val="24"/>
          <w:szCs w:val="24"/>
          <w:lang w:val="en-US"/>
        </w:rPr>
        <w:t>infusions</w:t>
      </w:r>
      <w:r>
        <w:rPr>
          <w:rFonts w:ascii="Times New Roman" w:hAnsi="Times New Roman" w:cs="Times New Roman"/>
          <w:iCs/>
          <w:color w:val="000000" w:themeColor="text1"/>
          <w:sz w:val="24"/>
          <w:szCs w:val="24"/>
          <w:lang w:val="en-US"/>
        </w:rPr>
        <w:t>, in-person visits</w:t>
      </w:r>
      <w:r w:rsidR="00DA7FCD">
        <w:rPr>
          <w:rFonts w:ascii="Times New Roman" w:hAnsi="Times New Roman" w:cs="Times New Roman"/>
          <w:iCs/>
          <w:color w:val="000000" w:themeColor="text1"/>
          <w:sz w:val="24"/>
          <w:szCs w:val="24"/>
          <w:lang w:val="en-US"/>
        </w:rPr>
        <w:t>, or follow-up through registries or medical records)</w:t>
      </w:r>
      <w:r>
        <w:rPr>
          <w:rFonts w:ascii="Times New Roman" w:hAnsi="Times New Roman" w:cs="Times New Roman"/>
          <w:iCs/>
          <w:color w:val="000000" w:themeColor="text1"/>
          <w:sz w:val="24"/>
          <w:szCs w:val="24"/>
          <w:lang w:val="en-US"/>
        </w:rPr>
        <w:t>. Reasons for exclusion may be adverse event</w:t>
      </w:r>
      <w:r w:rsidR="001D7400">
        <w:rPr>
          <w:rFonts w:ascii="Times New Roman" w:hAnsi="Times New Roman" w:cs="Times New Roman"/>
          <w:iCs/>
          <w:color w:val="000000" w:themeColor="text1"/>
          <w:sz w:val="24"/>
          <w:szCs w:val="24"/>
          <w:lang w:val="en-US"/>
        </w:rPr>
        <w:t>s</w:t>
      </w:r>
      <w:r>
        <w:rPr>
          <w:rFonts w:ascii="Times New Roman" w:hAnsi="Times New Roman" w:cs="Times New Roman"/>
          <w:iCs/>
          <w:color w:val="000000" w:themeColor="text1"/>
          <w:sz w:val="24"/>
          <w:szCs w:val="24"/>
          <w:lang w:val="en-US"/>
        </w:rPr>
        <w:t xml:space="preserve"> (e.g., cognitive disability), death, loss to follow-up</w:t>
      </w:r>
      <w:r w:rsidR="00286274">
        <w:rPr>
          <w:rFonts w:ascii="Times New Roman" w:hAnsi="Times New Roman" w:cs="Times New Roman"/>
          <w:iCs/>
          <w:color w:val="000000" w:themeColor="text1"/>
          <w:sz w:val="24"/>
          <w:szCs w:val="24"/>
          <w:lang w:val="en-US"/>
        </w:rPr>
        <w:t>,</w:t>
      </w:r>
      <w:r w:rsidR="00F5262A">
        <w:rPr>
          <w:rFonts w:ascii="Times New Roman" w:hAnsi="Times New Roman" w:cs="Times New Roman"/>
          <w:iCs/>
          <w:color w:val="000000" w:themeColor="text1"/>
          <w:sz w:val="24"/>
          <w:szCs w:val="24"/>
          <w:lang w:val="en-US"/>
        </w:rPr>
        <w:t xml:space="preserve"> termination of the study center,</w:t>
      </w:r>
      <w:r w:rsidR="00286274">
        <w:rPr>
          <w:rFonts w:ascii="Times New Roman" w:hAnsi="Times New Roman" w:cs="Times New Roman"/>
          <w:iCs/>
          <w:color w:val="000000" w:themeColor="text1"/>
          <w:sz w:val="24"/>
          <w:szCs w:val="24"/>
          <w:lang w:val="en-US"/>
        </w:rPr>
        <w:t xml:space="preserve"> or </w:t>
      </w:r>
      <w:r w:rsidR="00F5262A">
        <w:rPr>
          <w:rFonts w:ascii="Times New Roman" w:hAnsi="Times New Roman" w:cs="Times New Roman"/>
          <w:iCs/>
          <w:color w:val="000000" w:themeColor="text1"/>
          <w:sz w:val="24"/>
          <w:szCs w:val="24"/>
          <w:lang w:val="en-US"/>
        </w:rPr>
        <w:t>p</w:t>
      </w:r>
      <w:r w:rsidR="00286274">
        <w:rPr>
          <w:rFonts w:ascii="Times New Roman" w:hAnsi="Times New Roman" w:cs="Times New Roman"/>
          <w:iCs/>
          <w:color w:val="000000" w:themeColor="text1"/>
          <w:sz w:val="24"/>
          <w:szCs w:val="24"/>
          <w:lang w:val="en-US"/>
        </w:rPr>
        <w:t>articipant</w:t>
      </w:r>
      <w:r w:rsidR="00F5262A">
        <w:rPr>
          <w:rFonts w:ascii="Times New Roman" w:hAnsi="Times New Roman" w:cs="Times New Roman"/>
          <w:iCs/>
          <w:color w:val="000000" w:themeColor="text1"/>
          <w:sz w:val="24"/>
          <w:szCs w:val="24"/>
          <w:lang w:val="en-US"/>
        </w:rPr>
        <w:t xml:space="preserve"> withdrawal</w:t>
      </w:r>
      <w:r>
        <w:rPr>
          <w:rFonts w:ascii="Times New Roman" w:hAnsi="Times New Roman" w:cs="Times New Roman"/>
          <w:iCs/>
          <w:color w:val="000000" w:themeColor="text1"/>
          <w:sz w:val="24"/>
          <w:szCs w:val="24"/>
          <w:lang w:val="en-US"/>
        </w:rPr>
        <w:t>.</w:t>
      </w:r>
      <w:r w:rsidR="00CB14FE">
        <w:rPr>
          <w:rFonts w:ascii="Times New Roman" w:hAnsi="Times New Roman" w:cs="Times New Roman"/>
          <w:iCs/>
          <w:color w:val="000000" w:themeColor="text1"/>
          <w:sz w:val="24"/>
          <w:szCs w:val="24"/>
          <w:lang w:val="en-US"/>
        </w:rPr>
        <w:t xml:space="preserve"> </w:t>
      </w:r>
      <w:r w:rsidR="004A5268">
        <w:rPr>
          <w:rFonts w:ascii="Times New Roman" w:hAnsi="Times New Roman" w:cs="Times New Roman"/>
          <w:iCs/>
          <w:color w:val="000000" w:themeColor="text1"/>
          <w:sz w:val="24"/>
          <w:szCs w:val="24"/>
          <w:lang w:val="en-US"/>
        </w:rPr>
        <w:t>Discontinuation of i</w:t>
      </w:r>
      <w:r w:rsidR="0004117E">
        <w:rPr>
          <w:rFonts w:ascii="Times New Roman" w:hAnsi="Times New Roman" w:cs="Times New Roman"/>
          <w:iCs/>
          <w:color w:val="000000" w:themeColor="text1"/>
          <w:sz w:val="24"/>
          <w:szCs w:val="24"/>
          <w:lang w:val="en-US"/>
        </w:rPr>
        <w:t xml:space="preserve">nfusions </w:t>
      </w:r>
      <w:r w:rsidR="0016746E">
        <w:rPr>
          <w:rFonts w:ascii="Times New Roman" w:hAnsi="Times New Roman" w:cs="Times New Roman"/>
          <w:iCs/>
          <w:color w:val="000000" w:themeColor="text1"/>
          <w:sz w:val="24"/>
          <w:szCs w:val="24"/>
          <w:lang w:val="en-US"/>
        </w:rPr>
        <w:t xml:space="preserve">is not a sufficient reason for </w:t>
      </w:r>
      <w:r>
        <w:rPr>
          <w:rFonts w:ascii="Times New Roman" w:hAnsi="Times New Roman" w:cs="Times New Roman"/>
          <w:iCs/>
          <w:color w:val="000000" w:themeColor="text1"/>
          <w:sz w:val="24"/>
          <w:szCs w:val="24"/>
          <w:lang w:val="en-US"/>
        </w:rPr>
        <w:t>exclud</w:t>
      </w:r>
      <w:r w:rsidR="00CB0995">
        <w:rPr>
          <w:rFonts w:ascii="Times New Roman" w:hAnsi="Times New Roman" w:cs="Times New Roman"/>
          <w:iCs/>
          <w:color w:val="000000" w:themeColor="text1"/>
          <w:sz w:val="24"/>
          <w:szCs w:val="24"/>
          <w:lang w:val="en-US"/>
        </w:rPr>
        <w:t xml:space="preserve">ing </w:t>
      </w:r>
      <w:r w:rsidR="004A5268">
        <w:rPr>
          <w:rFonts w:ascii="Times New Roman" w:hAnsi="Times New Roman" w:cs="Times New Roman"/>
          <w:iCs/>
          <w:color w:val="000000" w:themeColor="text1"/>
          <w:sz w:val="24"/>
          <w:szCs w:val="24"/>
          <w:lang w:val="en-US"/>
        </w:rPr>
        <w:t>a participant</w:t>
      </w:r>
      <w:r w:rsidR="00CB0995">
        <w:rPr>
          <w:rFonts w:ascii="Times New Roman" w:hAnsi="Times New Roman" w:cs="Times New Roman"/>
          <w:iCs/>
          <w:color w:val="000000" w:themeColor="text1"/>
          <w:sz w:val="24"/>
          <w:szCs w:val="24"/>
          <w:lang w:val="en-US"/>
        </w:rPr>
        <w:t xml:space="preserve"> </w:t>
      </w:r>
      <w:r>
        <w:rPr>
          <w:rFonts w:ascii="Times New Roman" w:hAnsi="Times New Roman" w:cs="Times New Roman"/>
          <w:iCs/>
          <w:color w:val="000000" w:themeColor="text1"/>
          <w:sz w:val="24"/>
          <w:szCs w:val="24"/>
          <w:lang w:val="en-US"/>
        </w:rPr>
        <w:t xml:space="preserve">from </w:t>
      </w:r>
      <w:r w:rsidR="008266A4">
        <w:rPr>
          <w:rFonts w:ascii="Times New Roman" w:hAnsi="Times New Roman" w:cs="Times New Roman"/>
          <w:iCs/>
          <w:color w:val="000000" w:themeColor="text1"/>
          <w:sz w:val="24"/>
          <w:szCs w:val="24"/>
          <w:lang w:val="en-US"/>
        </w:rPr>
        <w:t xml:space="preserve">continued </w:t>
      </w:r>
      <w:r w:rsidR="00C83231">
        <w:rPr>
          <w:rFonts w:ascii="Times New Roman" w:hAnsi="Times New Roman" w:cs="Times New Roman"/>
          <w:iCs/>
          <w:color w:val="000000" w:themeColor="text1"/>
          <w:sz w:val="24"/>
          <w:szCs w:val="24"/>
          <w:lang w:val="en-US"/>
        </w:rPr>
        <w:t>follow-up</w:t>
      </w:r>
      <w:r w:rsidR="00F44D00">
        <w:rPr>
          <w:rFonts w:ascii="Times New Roman" w:hAnsi="Times New Roman" w:cs="Times New Roman"/>
          <w:iCs/>
          <w:color w:val="000000" w:themeColor="text1"/>
          <w:sz w:val="24"/>
          <w:szCs w:val="24"/>
          <w:lang w:val="en-US"/>
        </w:rPr>
        <w:t xml:space="preserve"> (see S</w:t>
      </w:r>
      <w:r w:rsidR="00632128">
        <w:rPr>
          <w:rFonts w:ascii="Times New Roman" w:hAnsi="Times New Roman" w:cs="Times New Roman"/>
          <w:iCs/>
          <w:color w:val="000000" w:themeColor="text1"/>
          <w:sz w:val="24"/>
          <w:szCs w:val="24"/>
          <w:lang w:val="en-US"/>
        </w:rPr>
        <w:t>ection 6.1</w:t>
      </w:r>
      <w:r w:rsidR="00F44D00">
        <w:rPr>
          <w:rFonts w:ascii="Times New Roman" w:hAnsi="Times New Roman" w:cs="Times New Roman"/>
          <w:iCs/>
          <w:color w:val="000000" w:themeColor="text1"/>
          <w:sz w:val="24"/>
          <w:szCs w:val="24"/>
          <w:lang w:val="en-US"/>
        </w:rPr>
        <w:t>)</w:t>
      </w:r>
      <w:r>
        <w:rPr>
          <w:rFonts w:ascii="Times New Roman" w:hAnsi="Times New Roman" w:cs="Times New Roman"/>
          <w:iCs/>
          <w:color w:val="000000" w:themeColor="text1"/>
          <w:sz w:val="24"/>
          <w:szCs w:val="24"/>
          <w:lang w:val="en-US"/>
        </w:rPr>
        <w:t>.</w:t>
      </w:r>
    </w:p>
    <w:p w14:paraId="720BD946" w14:textId="7F18E4EA" w:rsidR="005C7F3B" w:rsidRDefault="005C7F3B" w:rsidP="00273AA9">
      <w:pPr>
        <w:rPr>
          <w:rFonts w:ascii="Times New Roman" w:hAnsi="Times New Roman" w:cs="Times New Roman"/>
          <w:iCs/>
          <w:color w:val="000000" w:themeColor="text1"/>
          <w:sz w:val="24"/>
          <w:szCs w:val="24"/>
          <w:lang w:val="en-US"/>
        </w:rPr>
      </w:pPr>
    </w:p>
    <w:p w14:paraId="38ED0E45" w14:textId="77777777" w:rsidR="00CB14FE" w:rsidRPr="007B140B" w:rsidRDefault="00CB14FE" w:rsidP="00273AA9">
      <w:pPr>
        <w:rPr>
          <w:rFonts w:ascii="Times New Roman" w:hAnsi="Times New Roman" w:cs="Times New Roman"/>
          <w:iCs/>
          <w:color w:val="000000" w:themeColor="text1"/>
          <w:sz w:val="24"/>
          <w:szCs w:val="24"/>
          <w:lang w:val="en-US"/>
        </w:rPr>
      </w:pPr>
    </w:p>
    <w:p w14:paraId="673777D5" w14:textId="319B71D4" w:rsidR="00E6676C" w:rsidRPr="007B140B" w:rsidRDefault="00CE6F42" w:rsidP="00D36611">
      <w:pPr>
        <w:pStyle w:val="Formatmall4"/>
        <w:rPr>
          <w:rFonts w:cs="Times New Roman"/>
          <w:lang w:val="en-US"/>
        </w:rPr>
      </w:pPr>
      <w:bookmarkStart w:id="81" w:name="_Toc99001420"/>
      <w:r w:rsidRPr="007B140B">
        <w:rPr>
          <w:rFonts w:cs="Times New Roman"/>
          <w:lang w:val="en-US"/>
        </w:rPr>
        <w:t>Data Collection</w:t>
      </w:r>
      <w:bookmarkEnd w:id="81"/>
    </w:p>
    <w:p w14:paraId="251DEBE3" w14:textId="6A30BCD0" w:rsidR="00EC52DB" w:rsidRPr="007B140B" w:rsidRDefault="00BA5415" w:rsidP="00D36611">
      <w:pPr>
        <w:pStyle w:val="Formatmall3"/>
        <w:rPr>
          <w:rFonts w:cs="Times New Roman"/>
          <w:lang w:val="en-US"/>
        </w:rPr>
      </w:pPr>
      <w:bookmarkStart w:id="82" w:name="_Toc99001421"/>
      <w:r w:rsidRPr="007B140B">
        <w:rPr>
          <w:rFonts w:cs="Times New Roman"/>
          <w:lang w:val="en-US"/>
        </w:rPr>
        <w:t>Participant</w:t>
      </w:r>
      <w:r w:rsidR="00F077FF" w:rsidRPr="007B140B">
        <w:rPr>
          <w:rFonts w:cs="Times New Roman"/>
          <w:lang w:val="en-US"/>
        </w:rPr>
        <w:t xml:space="preserve"> identification </w:t>
      </w:r>
      <w:r w:rsidRPr="007B140B">
        <w:rPr>
          <w:rFonts w:cs="Times New Roman"/>
          <w:lang w:val="en-US"/>
        </w:rPr>
        <w:t>codes</w:t>
      </w:r>
      <w:bookmarkEnd w:id="82"/>
    </w:p>
    <w:p w14:paraId="7B7933CD" w14:textId="7FFF579C" w:rsidR="004670FC" w:rsidRPr="007B140B" w:rsidRDefault="007E53F6" w:rsidP="004670FC">
      <w:pPr>
        <w:rPr>
          <w:rFonts w:ascii="Times New Roman" w:hAnsi="Times New Roman" w:cs="Times New Roman"/>
          <w:color w:val="000000" w:themeColor="text1"/>
          <w:sz w:val="24"/>
          <w:szCs w:val="24"/>
          <w:lang w:val="en-US"/>
        </w:rPr>
      </w:pPr>
      <w:r w:rsidRPr="007B140B">
        <w:rPr>
          <w:rFonts w:ascii="Times New Roman" w:hAnsi="Times New Roman" w:cs="Times New Roman"/>
          <w:color w:val="000000" w:themeColor="text1"/>
          <w:sz w:val="24"/>
          <w:szCs w:val="24"/>
          <w:lang w:val="en-US"/>
        </w:rPr>
        <w:t>Participants</w:t>
      </w:r>
      <w:r w:rsidR="00670F5F" w:rsidRPr="007B140B">
        <w:rPr>
          <w:rFonts w:ascii="Times New Roman" w:hAnsi="Times New Roman" w:cs="Times New Roman"/>
          <w:color w:val="000000" w:themeColor="text1"/>
          <w:sz w:val="24"/>
          <w:szCs w:val="24"/>
          <w:lang w:val="en-US"/>
        </w:rPr>
        <w:t xml:space="preserve"> who provide informed consent</w:t>
      </w:r>
      <w:r w:rsidRPr="007B140B">
        <w:rPr>
          <w:rFonts w:ascii="Times New Roman" w:hAnsi="Times New Roman" w:cs="Times New Roman"/>
          <w:color w:val="000000" w:themeColor="text1"/>
          <w:sz w:val="24"/>
          <w:szCs w:val="24"/>
          <w:lang w:val="en-US"/>
        </w:rPr>
        <w:t xml:space="preserve"> </w:t>
      </w:r>
      <w:r w:rsidR="001120D0" w:rsidRPr="007B140B">
        <w:rPr>
          <w:rFonts w:ascii="Times New Roman" w:hAnsi="Times New Roman" w:cs="Times New Roman"/>
          <w:color w:val="000000" w:themeColor="text1"/>
          <w:sz w:val="24"/>
          <w:szCs w:val="24"/>
          <w:lang w:val="en-US"/>
        </w:rPr>
        <w:t>will be</w:t>
      </w:r>
      <w:r w:rsidR="004670FC" w:rsidRPr="007B140B">
        <w:rPr>
          <w:rFonts w:ascii="Times New Roman" w:hAnsi="Times New Roman" w:cs="Times New Roman"/>
          <w:color w:val="000000" w:themeColor="text1"/>
          <w:sz w:val="24"/>
          <w:szCs w:val="24"/>
          <w:lang w:val="en-US"/>
        </w:rPr>
        <w:t xml:space="preserve"> </w:t>
      </w:r>
      <w:r w:rsidR="00867B3B" w:rsidRPr="007B140B">
        <w:rPr>
          <w:rFonts w:ascii="Times New Roman" w:hAnsi="Times New Roman" w:cs="Times New Roman"/>
          <w:color w:val="000000" w:themeColor="text1"/>
          <w:sz w:val="24"/>
          <w:szCs w:val="24"/>
          <w:lang w:val="en-US"/>
        </w:rPr>
        <w:t xml:space="preserve">assigned </w:t>
      </w:r>
      <w:r w:rsidR="004670FC" w:rsidRPr="007B140B">
        <w:rPr>
          <w:rFonts w:ascii="Times New Roman" w:hAnsi="Times New Roman" w:cs="Times New Roman"/>
          <w:color w:val="000000" w:themeColor="text1"/>
          <w:sz w:val="24"/>
          <w:szCs w:val="24"/>
          <w:lang w:val="en-US"/>
        </w:rPr>
        <w:t xml:space="preserve">a </w:t>
      </w:r>
      <w:r w:rsidR="00134BB1">
        <w:rPr>
          <w:rFonts w:ascii="Times New Roman" w:hAnsi="Times New Roman" w:cs="Times New Roman"/>
          <w:color w:val="000000" w:themeColor="text1"/>
          <w:sz w:val="24"/>
          <w:szCs w:val="24"/>
          <w:lang w:val="en-US"/>
        </w:rPr>
        <w:t xml:space="preserve">sequential </w:t>
      </w:r>
      <w:r w:rsidR="00BA5415" w:rsidRPr="007B140B">
        <w:rPr>
          <w:rFonts w:ascii="Times New Roman" w:hAnsi="Times New Roman" w:cs="Times New Roman"/>
          <w:color w:val="000000" w:themeColor="text1"/>
          <w:sz w:val="24"/>
          <w:szCs w:val="24"/>
          <w:lang w:val="en-US"/>
        </w:rPr>
        <w:t>participant</w:t>
      </w:r>
      <w:r w:rsidR="004670FC" w:rsidRPr="007B140B">
        <w:rPr>
          <w:rFonts w:ascii="Times New Roman" w:hAnsi="Times New Roman" w:cs="Times New Roman"/>
          <w:color w:val="000000" w:themeColor="text1"/>
          <w:sz w:val="24"/>
          <w:szCs w:val="24"/>
          <w:lang w:val="en-US"/>
        </w:rPr>
        <w:t xml:space="preserve"> identification </w:t>
      </w:r>
      <w:r w:rsidR="001120D0" w:rsidRPr="007B140B">
        <w:rPr>
          <w:rFonts w:ascii="Times New Roman" w:hAnsi="Times New Roman" w:cs="Times New Roman"/>
          <w:color w:val="000000" w:themeColor="text1"/>
          <w:sz w:val="24"/>
          <w:szCs w:val="24"/>
          <w:lang w:val="en-US"/>
        </w:rPr>
        <w:t>(ID)</w:t>
      </w:r>
      <w:r w:rsidR="00C84192" w:rsidRPr="007B140B">
        <w:rPr>
          <w:rFonts w:ascii="Times New Roman" w:hAnsi="Times New Roman" w:cs="Times New Roman"/>
          <w:color w:val="000000" w:themeColor="text1"/>
          <w:sz w:val="24"/>
          <w:szCs w:val="24"/>
          <w:lang w:val="en-US"/>
        </w:rPr>
        <w:t xml:space="preserve"> code</w:t>
      </w:r>
      <w:r w:rsidR="00640C40" w:rsidRPr="007B140B">
        <w:rPr>
          <w:rFonts w:ascii="Times New Roman" w:hAnsi="Times New Roman" w:cs="Times New Roman"/>
          <w:color w:val="000000" w:themeColor="text1"/>
          <w:sz w:val="24"/>
          <w:szCs w:val="24"/>
          <w:lang w:val="en-US"/>
        </w:rPr>
        <w:t xml:space="preserve">, </w:t>
      </w:r>
      <w:r w:rsidRPr="007B140B">
        <w:rPr>
          <w:rFonts w:ascii="Times New Roman" w:hAnsi="Times New Roman" w:cs="Times New Roman"/>
          <w:color w:val="000000" w:themeColor="text1"/>
          <w:sz w:val="24"/>
          <w:szCs w:val="24"/>
          <w:lang w:val="en-US"/>
        </w:rPr>
        <w:t>indicating</w:t>
      </w:r>
      <w:r w:rsidR="00791A80" w:rsidRPr="007B140B">
        <w:rPr>
          <w:rFonts w:ascii="Times New Roman" w:hAnsi="Times New Roman" w:cs="Times New Roman"/>
          <w:color w:val="000000" w:themeColor="text1"/>
          <w:sz w:val="24"/>
          <w:szCs w:val="24"/>
          <w:lang w:val="en-US"/>
        </w:rPr>
        <w:t xml:space="preserve"> </w:t>
      </w:r>
      <w:r w:rsidR="009913A7" w:rsidRPr="007B140B">
        <w:rPr>
          <w:rFonts w:ascii="Times New Roman" w:hAnsi="Times New Roman" w:cs="Times New Roman"/>
          <w:color w:val="000000" w:themeColor="text1"/>
          <w:sz w:val="24"/>
          <w:szCs w:val="24"/>
          <w:lang w:val="en-US"/>
        </w:rPr>
        <w:t xml:space="preserve">the </w:t>
      </w:r>
      <w:r w:rsidR="002E714F">
        <w:rPr>
          <w:rFonts w:ascii="Times New Roman" w:hAnsi="Times New Roman" w:cs="Times New Roman"/>
          <w:color w:val="000000" w:themeColor="text1"/>
          <w:sz w:val="24"/>
          <w:szCs w:val="24"/>
          <w:lang w:val="en-US"/>
        </w:rPr>
        <w:t>participant</w:t>
      </w:r>
      <w:r w:rsidR="002E714F" w:rsidRPr="007B140B">
        <w:rPr>
          <w:rFonts w:ascii="Times New Roman" w:hAnsi="Times New Roman" w:cs="Times New Roman"/>
          <w:color w:val="000000" w:themeColor="text1"/>
          <w:sz w:val="24"/>
          <w:szCs w:val="24"/>
          <w:lang w:val="en-US"/>
        </w:rPr>
        <w:t xml:space="preserve"> </w:t>
      </w:r>
      <w:r w:rsidR="00791A80" w:rsidRPr="007B140B">
        <w:rPr>
          <w:rFonts w:ascii="Times New Roman" w:hAnsi="Times New Roman" w:cs="Times New Roman"/>
          <w:color w:val="000000" w:themeColor="text1"/>
          <w:sz w:val="24"/>
          <w:szCs w:val="24"/>
          <w:lang w:val="en-US"/>
        </w:rPr>
        <w:t>n</w:t>
      </w:r>
      <w:r w:rsidRPr="007B140B">
        <w:rPr>
          <w:rFonts w:ascii="Times New Roman" w:hAnsi="Times New Roman" w:cs="Times New Roman"/>
          <w:color w:val="000000" w:themeColor="text1"/>
          <w:sz w:val="24"/>
          <w:szCs w:val="24"/>
          <w:lang w:val="en-US"/>
        </w:rPr>
        <w:t>umber</w:t>
      </w:r>
      <w:r w:rsidR="004670FC" w:rsidRPr="007B140B">
        <w:rPr>
          <w:rFonts w:ascii="Times New Roman" w:hAnsi="Times New Roman" w:cs="Times New Roman"/>
          <w:color w:val="000000" w:themeColor="text1"/>
          <w:sz w:val="24"/>
          <w:szCs w:val="24"/>
          <w:lang w:val="en-US"/>
        </w:rPr>
        <w:t xml:space="preserve">. </w:t>
      </w:r>
      <w:r w:rsidR="00634114" w:rsidRPr="007B140B">
        <w:rPr>
          <w:rFonts w:ascii="Times New Roman" w:hAnsi="Times New Roman" w:cs="Times New Roman"/>
          <w:color w:val="000000" w:themeColor="text1"/>
          <w:sz w:val="24"/>
          <w:szCs w:val="24"/>
          <w:lang w:val="en-US"/>
        </w:rPr>
        <w:t xml:space="preserve">Once assigned, </w:t>
      </w:r>
      <w:r w:rsidR="00D6369C" w:rsidRPr="007B140B">
        <w:rPr>
          <w:rFonts w:ascii="Times New Roman" w:hAnsi="Times New Roman" w:cs="Times New Roman"/>
          <w:color w:val="000000" w:themeColor="text1"/>
          <w:sz w:val="24"/>
          <w:szCs w:val="24"/>
          <w:lang w:val="en-US"/>
        </w:rPr>
        <w:t>ID codes</w:t>
      </w:r>
      <w:r w:rsidR="00634114" w:rsidRPr="007B140B">
        <w:rPr>
          <w:rFonts w:ascii="Times New Roman" w:hAnsi="Times New Roman" w:cs="Times New Roman"/>
          <w:color w:val="000000" w:themeColor="text1"/>
          <w:sz w:val="24"/>
          <w:szCs w:val="24"/>
          <w:lang w:val="en-US"/>
        </w:rPr>
        <w:t xml:space="preserve"> will not be </w:t>
      </w:r>
      <w:r w:rsidR="006333DB" w:rsidRPr="007B140B">
        <w:rPr>
          <w:rFonts w:ascii="Times New Roman" w:hAnsi="Times New Roman" w:cs="Times New Roman"/>
          <w:color w:val="000000" w:themeColor="text1"/>
          <w:sz w:val="24"/>
          <w:szCs w:val="24"/>
          <w:lang w:val="en-US"/>
        </w:rPr>
        <w:t>reused for new</w:t>
      </w:r>
      <w:r w:rsidR="00634114" w:rsidRPr="007B140B">
        <w:rPr>
          <w:rFonts w:ascii="Times New Roman" w:hAnsi="Times New Roman" w:cs="Times New Roman"/>
          <w:color w:val="000000" w:themeColor="text1"/>
          <w:sz w:val="24"/>
          <w:szCs w:val="24"/>
          <w:lang w:val="en-US"/>
        </w:rPr>
        <w:t xml:space="preserve"> </w:t>
      </w:r>
      <w:r w:rsidR="008C4F2F" w:rsidRPr="007B140B">
        <w:rPr>
          <w:rFonts w:ascii="Times New Roman" w:hAnsi="Times New Roman" w:cs="Times New Roman"/>
          <w:color w:val="000000" w:themeColor="text1"/>
          <w:sz w:val="24"/>
          <w:szCs w:val="24"/>
          <w:lang w:val="en-US"/>
        </w:rPr>
        <w:t>participants</w:t>
      </w:r>
      <w:r w:rsidR="00634114" w:rsidRPr="007B140B">
        <w:rPr>
          <w:rFonts w:ascii="Times New Roman" w:hAnsi="Times New Roman" w:cs="Times New Roman"/>
          <w:color w:val="000000" w:themeColor="text1"/>
          <w:sz w:val="24"/>
          <w:szCs w:val="24"/>
          <w:lang w:val="en-US"/>
        </w:rPr>
        <w:t>.</w:t>
      </w:r>
      <w:r w:rsidRPr="007B140B">
        <w:rPr>
          <w:rFonts w:ascii="Times New Roman" w:hAnsi="Times New Roman" w:cs="Times New Roman"/>
          <w:color w:val="000000" w:themeColor="text1"/>
          <w:sz w:val="24"/>
          <w:szCs w:val="24"/>
          <w:lang w:val="en-US"/>
        </w:rPr>
        <w:t xml:space="preserve"> </w:t>
      </w:r>
      <w:r w:rsidR="00BA2314" w:rsidRPr="007B140B">
        <w:rPr>
          <w:rFonts w:ascii="Times New Roman" w:hAnsi="Times New Roman" w:cs="Times New Roman"/>
          <w:color w:val="000000" w:themeColor="text1"/>
          <w:sz w:val="24"/>
          <w:szCs w:val="24"/>
          <w:lang w:val="en-US"/>
        </w:rPr>
        <w:t>At each study center</w:t>
      </w:r>
      <w:r w:rsidR="00867B3B" w:rsidRPr="007B140B">
        <w:rPr>
          <w:rFonts w:ascii="Times New Roman" w:hAnsi="Times New Roman" w:cs="Times New Roman"/>
          <w:color w:val="000000" w:themeColor="text1"/>
          <w:sz w:val="24"/>
          <w:szCs w:val="24"/>
          <w:lang w:val="en-US"/>
        </w:rPr>
        <w:t xml:space="preserve">, </w:t>
      </w:r>
      <w:r w:rsidR="00D24BBB" w:rsidRPr="007B140B">
        <w:rPr>
          <w:rFonts w:ascii="Times New Roman" w:hAnsi="Times New Roman" w:cs="Times New Roman"/>
          <w:color w:val="000000" w:themeColor="text1"/>
          <w:sz w:val="24"/>
          <w:szCs w:val="24"/>
          <w:lang w:val="en-US"/>
        </w:rPr>
        <w:t>participants</w:t>
      </w:r>
      <w:r w:rsidR="004670FC" w:rsidRPr="007B140B">
        <w:rPr>
          <w:rFonts w:ascii="Times New Roman" w:hAnsi="Times New Roman" w:cs="Times New Roman"/>
          <w:color w:val="000000" w:themeColor="text1"/>
          <w:sz w:val="24"/>
          <w:szCs w:val="24"/>
          <w:lang w:val="en-US"/>
        </w:rPr>
        <w:t xml:space="preserve"> </w:t>
      </w:r>
      <w:r w:rsidR="006333DB" w:rsidRPr="007B140B">
        <w:rPr>
          <w:rFonts w:ascii="Times New Roman" w:hAnsi="Times New Roman" w:cs="Times New Roman"/>
          <w:color w:val="000000" w:themeColor="text1"/>
          <w:sz w:val="24"/>
          <w:szCs w:val="24"/>
          <w:lang w:val="en-US"/>
        </w:rPr>
        <w:t xml:space="preserve">will </w:t>
      </w:r>
      <w:r w:rsidR="00194279" w:rsidRPr="007B140B">
        <w:rPr>
          <w:rFonts w:ascii="Times New Roman" w:hAnsi="Times New Roman" w:cs="Times New Roman"/>
          <w:color w:val="000000" w:themeColor="text1"/>
          <w:sz w:val="24"/>
          <w:szCs w:val="24"/>
          <w:lang w:val="en-US"/>
        </w:rPr>
        <w:t xml:space="preserve">also </w:t>
      </w:r>
      <w:r w:rsidR="006333DB" w:rsidRPr="007B140B">
        <w:rPr>
          <w:rFonts w:ascii="Times New Roman" w:hAnsi="Times New Roman" w:cs="Times New Roman"/>
          <w:color w:val="000000" w:themeColor="text1"/>
          <w:sz w:val="24"/>
          <w:szCs w:val="24"/>
          <w:lang w:val="en-US"/>
        </w:rPr>
        <w:t>be</w:t>
      </w:r>
      <w:r w:rsidR="00867B3B" w:rsidRPr="007B140B">
        <w:rPr>
          <w:rFonts w:ascii="Times New Roman" w:hAnsi="Times New Roman" w:cs="Times New Roman"/>
          <w:color w:val="000000" w:themeColor="text1"/>
          <w:sz w:val="24"/>
          <w:szCs w:val="24"/>
          <w:lang w:val="en-US"/>
        </w:rPr>
        <w:t xml:space="preserve"> </w:t>
      </w:r>
      <w:r w:rsidR="004670FC" w:rsidRPr="007B140B">
        <w:rPr>
          <w:rFonts w:ascii="Times New Roman" w:hAnsi="Times New Roman" w:cs="Times New Roman"/>
          <w:color w:val="000000" w:themeColor="text1"/>
          <w:sz w:val="24"/>
          <w:szCs w:val="24"/>
          <w:lang w:val="en-US"/>
        </w:rPr>
        <w:t>registered in</w:t>
      </w:r>
      <w:r w:rsidR="006333DB" w:rsidRPr="007B140B">
        <w:rPr>
          <w:rFonts w:ascii="Times New Roman" w:hAnsi="Times New Roman" w:cs="Times New Roman"/>
          <w:color w:val="000000" w:themeColor="text1"/>
          <w:sz w:val="24"/>
          <w:szCs w:val="24"/>
          <w:lang w:val="en-US"/>
        </w:rPr>
        <w:t xml:space="preserve"> a </w:t>
      </w:r>
      <w:r w:rsidR="00D24BBB" w:rsidRPr="007B140B">
        <w:rPr>
          <w:rFonts w:ascii="Times New Roman" w:hAnsi="Times New Roman" w:cs="Times New Roman"/>
          <w:color w:val="000000" w:themeColor="text1"/>
          <w:sz w:val="24"/>
          <w:szCs w:val="24"/>
          <w:lang w:val="en-US"/>
        </w:rPr>
        <w:t>participant</w:t>
      </w:r>
      <w:r w:rsidR="006333DB" w:rsidRPr="007B140B">
        <w:rPr>
          <w:rFonts w:ascii="Times New Roman" w:hAnsi="Times New Roman" w:cs="Times New Roman"/>
          <w:color w:val="000000" w:themeColor="text1"/>
          <w:sz w:val="24"/>
          <w:szCs w:val="24"/>
          <w:lang w:val="en-US"/>
        </w:rPr>
        <w:t xml:space="preserve"> </w:t>
      </w:r>
      <w:r w:rsidR="00E32D3F">
        <w:rPr>
          <w:rFonts w:ascii="Times New Roman" w:hAnsi="Times New Roman" w:cs="Times New Roman"/>
          <w:color w:val="000000" w:themeColor="text1"/>
          <w:sz w:val="24"/>
          <w:szCs w:val="24"/>
          <w:lang w:val="en-US"/>
        </w:rPr>
        <w:t>log</w:t>
      </w:r>
      <w:r w:rsidR="006333DB" w:rsidRPr="007B140B">
        <w:rPr>
          <w:rFonts w:ascii="Times New Roman" w:hAnsi="Times New Roman" w:cs="Times New Roman"/>
          <w:color w:val="000000" w:themeColor="text1"/>
          <w:sz w:val="24"/>
          <w:szCs w:val="24"/>
          <w:lang w:val="en-US"/>
        </w:rPr>
        <w:t xml:space="preserve">, which will </w:t>
      </w:r>
      <w:r w:rsidR="00B350C6" w:rsidRPr="007B140B">
        <w:rPr>
          <w:rFonts w:ascii="Times New Roman" w:hAnsi="Times New Roman" w:cs="Times New Roman"/>
          <w:color w:val="000000" w:themeColor="text1"/>
          <w:sz w:val="24"/>
          <w:szCs w:val="24"/>
          <w:lang w:val="en-US"/>
        </w:rPr>
        <w:t xml:space="preserve">link </w:t>
      </w:r>
      <w:r w:rsidR="00D24BBB" w:rsidRPr="007B140B">
        <w:rPr>
          <w:rFonts w:ascii="Times New Roman" w:hAnsi="Times New Roman" w:cs="Times New Roman"/>
          <w:color w:val="000000" w:themeColor="text1"/>
          <w:sz w:val="24"/>
          <w:szCs w:val="24"/>
          <w:lang w:val="en-US"/>
        </w:rPr>
        <w:t>participants’</w:t>
      </w:r>
      <w:r w:rsidR="004670FC" w:rsidRPr="007B140B">
        <w:rPr>
          <w:rFonts w:ascii="Times New Roman" w:hAnsi="Times New Roman" w:cs="Times New Roman"/>
          <w:color w:val="000000" w:themeColor="text1"/>
          <w:sz w:val="24"/>
          <w:szCs w:val="24"/>
          <w:lang w:val="en-US"/>
        </w:rPr>
        <w:t xml:space="preserve"> </w:t>
      </w:r>
      <w:r w:rsidR="006333DB" w:rsidRPr="007B140B">
        <w:rPr>
          <w:rFonts w:ascii="Times New Roman" w:hAnsi="Times New Roman" w:cs="Times New Roman"/>
          <w:color w:val="000000" w:themeColor="text1"/>
          <w:sz w:val="24"/>
          <w:szCs w:val="24"/>
          <w:lang w:val="en-US"/>
        </w:rPr>
        <w:t>ID</w:t>
      </w:r>
      <w:r w:rsidR="00791A80" w:rsidRPr="007B140B">
        <w:rPr>
          <w:rFonts w:ascii="Times New Roman" w:hAnsi="Times New Roman" w:cs="Times New Roman"/>
          <w:color w:val="000000" w:themeColor="text1"/>
          <w:sz w:val="24"/>
          <w:szCs w:val="24"/>
          <w:lang w:val="en-US"/>
        </w:rPr>
        <w:t xml:space="preserve"> </w:t>
      </w:r>
      <w:r w:rsidR="00D6369C" w:rsidRPr="007B140B">
        <w:rPr>
          <w:rFonts w:ascii="Times New Roman" w:hAnsi="Times New Roman" w:cs="Times New Roman"/>
          <w:color w:val="000000" w:themeColor="text1"/>
          <w:sz w:val="24"/>
          <w:szCs w:val="24"/>
          <w:lang w:val="en-US"/>
        </w:rPr>
        <w:t xml:space="preserve">codes </w:t>
      </w:r>
      <w:r w:rsidR="00D24BBB" w:rsidRPr="007B140B">
        <w:rPr>
          <w:rFonts w:ascii="Times New Roman" w:hAnsi="Times New Roman" w:cs="Times New Roman"/>
          <w:color w:val="000000" w:themeColor="text1"/>
          <w:sz w:val="24"/>
          <w:szCs w:val="24"/>
          <w:lang w:val="en-US"/>
        </w:rPr>
        <w:t>to their</w:t>
      </w:r>
      <w:r w:rsidR="00791A80" w:rsidRPr="007B140B">
        <w:rPr>
          <w:rFonts w:ascii="Times New Roman" w:hAnsi="Times New Roman" w:cs="Times New Roman"/>
          <w:color w:val="000000" w:themeColor="text1"/>
          <w:sz w:val="24"/>
          <w:szCs w:val="24"/>
          <w:lang w:val="en-US"/>
        </w:rPr>
        <w:t xml:space="preserve"> first name, last name, </w:t>
      </w:r>
      <w:r w:rsidR="00F23AD3" w:rsidRPr="007B140B">
        <w:rPr>
          <w:rFonts w:ascii="Times New Roman" w:hAnsi="Times New Roman" w:cs="Times New Roman"/>
          <w:color w:val="000000" w:themeColor="text1"/>
          <w:sz w:val="24"/>
          <w:szCs w:val="24"/>
          <w:lang w:val="en-US"/>
        </w:rPr>
        <w:t xml:space="preserve">e-mail address, postal address, telephone number, </w:t>
      </w:r>
      <w:r w:rsidR="00763F99">
        <w:rPr>
          <w:rFonts w:ascii="Times New Roman" w:hAnsi="Times New Roman" w:cs="Times New Roman"/>
          <w:color w:val="000000" w:themeColor="text1"/>
          <w:sz w:val="24"/>
          <w:szCs w:val="24"/>
          <w:lang w:val="en-US"/>
        </w:rPr>
        <w:t xml:space="preserve">date of informed consent, </w:t>
      </w:r>
      <w:r w:rsidR="00791A80" w:rsidRPr="007B140B">
        <w:rPr>
          <w:rFonts w:ascii="Times New Roman" w:hAnsi="Times New Roman" w:cs="Times New Roman"/>
          <w:color w:val="000000" w:themeColor="text1"/>
          <w:sz w:val="24"/>
          <w:szCs w:val="24"/>
          <w:lang w:val="en-US"/>
        </w:rPr>
        <w:t xml:space="preserve">and Swedish Personal </w:t>
      </w:r>
      <w:r w:rsidR="00791A80" w:rsidRPr="007B140B">
        <w:rPr>
          <w:rFonts w:ascii="Times New Roman" w:hAnsi="Times New Roman" w:cs="Times New Roman"/>
          <w:color w:val="000000" w:themeColor="text1"/>
          <w:sz w:val="24"/>
          <w:szCs w:val="24"/>
          <w:lang w:val="en-US"/>
        </w:rPr>
        <w:lastRenderedPageBreak/>
        <w:t>Identity Number.</w:t>
      </w:r>
      <w:r w:rsidR="001120D0" w:rsidRPr="007B140B">
        <w:rPr>
          <w:rFonts w:ascii="Times New Roman" w:hAnsi="Times New Roman" w:cs="Times New Roman"/>
          <w:color w:val="000000" w:themeColor="text1"/>
          <w:sz w:val="24"/>
          <w:szCs w:val="24"/>
          <w:lang w:val="en-US"/>
        </w:rPr>
        <w:t xml:space="preserve"> </w:t>
      </w:r>
      <w:r w:rsidR="004064E5" w:rsidRPr="007B140B">
        <w:rPr>
          <w:rFonts w:ascii="Times New Roman" w:hAnsi="Times New Roman" w:cs="Times New Roman"/>
          <w:color w:val="000000" w:themeColor="text1"/>
          <w:sz w:val="24"/>
          <w:szCs w:val="24"/>
          <w:lang w:val="en-US"/>
        </w:rPr>
        <w:t>Of this information, o</w:t>
      </w:r>
      <w:r w:rsidR="007E5092" w:rsidRPr="007B140B">
        <w:rPr>
          <w:rFonts w:ascii="Times New Roman" w:hAnsi="Times New Roman" w:cs="Times New Roman"/>
          <w:color w:val="000000" w:themeColor="text1"/>
          <w:sz w:val="24"/>
          <w:szCs w:val="24"/>
          <w:lang w:val="en-US"/>
        </w:rPr>
        <w:t>nly</w:t>
      </w:r>
      <w:r w:rsidR="00991A9A" w:rsidRPr="007B140B">
        <w:rPr>
          <w:rFonts w:ascii="Times New Roman" w:hAnsi="Times New Roman" w:cs="Times New Roman"/>
          <w:color w:val="000000" w:themeColor="text1"/>
          <w:sz w:val="24"/>
          <w:szCs w:val="24"/>
          <w:lang w:val="en-US"/>
        </w:rPr>
        <w:t xml:space="preserve"> the</w:t>
      </w:r>
      <w:r w:rsidR="007E5092" w:rsidRPr="007B140B">
        <w:rPr>
          <w:rFonts w:ascii="Times New Roman" w:hAnsi="Times New Roman" w:cs="Times New Roman"/>
          <w:color w:val="000000" w:themeColor="text1"/>
          <w:sz w:val="24"/>
          <w:szCs w:val="24"/>
          <w:lang w:val="en-US"/>
        </w:rPr>
        <w:t xml:space="preserve"> p</w:t>
      </w:r>
      <w:r w:rsidR="009D1158" w:rsidRPr="007B140B">
        <w:rPr>
          <w:rFonts w:ascii="Times New Roman" w:hAnsi="Times New Roman" w:cs="Times New Roman"/>
          <w:color w:val="000000" w:themeColor="text1"/>
          <w:sz w:val="24"/>
          <w:szCs w:val="24"/>
          <w:lang w:val="en-US"/>
        </w:rPr>
        <w:t>articipant ID codes will be used during data collection and analysis</w:t>
      </w:r>
      <w:r w:rsidR="005905F2">
        <w:rPr>
          <w:rFonts w:ascii="Times New Roman" w:hAnsi="Times New Roman" w:cs="Times New Roman"/>
          <w:color w:val="000000" w:themeColor="text1"/>
          <w:sz w:val="24"/>
          <w:szCs w:val="24"/>
          <w:lang w:val="en-US"/>
        </w:rPr>
        <w:t>, in order</w:t>
      </w:r>
      <w:r w:rsidR="009D1158" w:rsidRPr="007B140B">
        <w:rPr>
          <w:rFonts w:ascii="Times New Roman" w:hAnsi="Times New Roman" w:cs="Times New Roman"/>
          <w:color w:val="000000" w:themeColor="text1"/>
          <w:sz w:val="24"/>
          <w:szCs w:val="24"/>
          <w:lang w:val="en-US"/>
        </w:rPr>
        <w:t xml:space="preserve"> to p</w:t>
      </w:r>
      <w:r w:rsidR="00410886" w:rsidRPr="007B140B">
        <w:rPr>
          <w:rFonts w:ascii="Times New Roman" w:hAnsi="Times New Roman" w:cs="Times New Roman"/>
          <w:color w:val="000000" w:themeColor="text1"/>
          <w:sz w:val="24"/>
          <w:szCs w:val="24"/>
          <w:lang w:val="en-US"/>
        </w:rPr>
        <w:t>rotect participants’ integrity. Participant lists will be sent encrypted to the sponsor to enable</w:t>
      </w:r>
      <w:r w:rsidR="00167244">
        <w:rPr>
          <w:rFonts w:ascii="Times New Roman" w:hAnsi="Times New Roman" w:cs="Times New Roman"/>
          <w:color w:val="000000" w:themeColor="text1"/>
          <w:sz w:val="24"/>
          <w:szCs w:val="24"/>
          <w:lang w:val="en-US"/>
        </w:rPr>
        <w:t xml:space="preserve"> registry</w:t>
      </w:r>
      <w:r w:rsidR="00410886" w:rsidRPr="007B140B">
        <w:rPr>
          <w:rFonts w:ascii="Times New Roman" w:hAnsi="Times New Roman" w:cs="Times New Roman"/>
          <w:color w:val="000000" w:themeColor="text1"/>
          <w:sz w:val="24"/>
          <w:szCs w:val="24"/>
          <w:lang w:val="en-US"/>
        </w:rPr>
        <w:t xml:space="preserve"> </w:t>
      </w:r>
      <w:r w:rsidR="00991A9A" w:rsidRPr="007B140B">
        <w:rPr>
          <w:rFonts w:ascii="Times New Roman" w:hAnsi="Times New Roman" w:cs="Times New Roman"/>
          <w:color w:val="000000" w:themeColor="text1"/>
          <w:sz w:val="24"/>
          <w:szCs w:val="24"/>
          <w:lang w:val="en-US"/>
        </w:rPr>
        <w:t>follow-up.</w:t>
      </w:r>
      <w:r w:rsidR="002005C6">
        <w:rPr>
          <w:rFonts w:ascii="Times New Roman" w:hAnsi="Times New Roman" w:cs="Times New Roman"/>
          <w:color w:val="000000" w:themeColor="text1"/>
          <w:sz w:val="24"/>
          <w:szCs w:val="24"/>
          <w:lang w:val="en-US"/>
        </w:rPr>
        <w:t xml:space="preserve"> </w:t>
      </w:r>
      <w:r w:rsidR="005937E0">
        <w:rPr>
          <w:rFonts w:ascii="Times New Roman" w:hAnsi="Times New Roman" w:cs="Times New Roman"/>
          <w:color w:val="000000" w:themeColor="text1"/>
          <w:sz w:val="24"/>
          <w:szCs w:val="24"/>
          <w:lang w:val="en-US"/>
        </w:rPr>
        <w:t>T</w:t>
      </w:r>
      <w:r w:rsidR="002005C6">
        <w:rPr>
          <w:rFonts w:ascii="Times New Roman" w:hAnsi="Times New Roman" w:cs="Times New Roman"/>
          <w:color w:val="000000" w:themeColor="text1"/>
          <w:sz w:val="24"/>
          <w:szCs w:val="24"/>
          <w:lang w:val="en-US"/>
        </w:rPr>
        <w:t xml:space="preserve">he registry data will be </w:t>
      </w:r>
      <w:r w:rsidR="005937E0">
        <w:rPr>
          <w:rFonts w:ascii="Times New Roman" w:hAnsi="Times New Roman" w:cs="Times New Roman"/>
          <w:color w:val="000000" w:themeColor="text1"/>
          <w:sz w:val="24"/>
          <w:szCs w:val="24"/>
          <w:lang w:val="en-US"/>
        </w:rPr>
        <w:t xml:space="preserve">pseudo-anonymized </w:t>
      </w:r>
      <w:r w:rsidR="00853D18">
        <w:rPr>
          <w:rFonts w:ascii="Times New Roman" w:hAnsi="Times New Roman" w:cs="Times New Roman"/>
          <w:color w:val="000000" w:themeColor="text1"/>
          <w:sz w:val="24"/>
          <w:szCs w:val="24"/>
          <w:lang w:val="en-US"/>
        </w:rPr>
        <w:t>using</w:t>
      </w:r>
      <w:r w:rsidR="005937E0">
        <w:rPr>
          <w:rFonts w:ascii="Times New Roman" w:hAnsi="Times New Roman" w:cs="Times New Roman"/>
          <w:color w:val="000000" w:themeColor="text1"/>
          <w:sz w:val="24"/>
          <w:szCs w:val="24"/>
          <w:lang w:val="en-US"/>
        </w:rPr>
        <w:t xml:space="preserve"> the participant ID codes.</w:t>
      </w:r>
    </w:p>
    <w:p w14:paraId="1002F841" w14:textId="77777777" w:rsidR="00F077FF" w:rsidRPr="007B140B" w:rsidRDefault="00F077FF" w:rsidP="004670FC">
      <w:pPr>
        <w:rPr>
          <w:rFonts w:ascii="Times New Roman" w:eastAsia="Times New Roman" w:hAnsi="Times New Roman" w:cs="Times New Roman"/>
          <w:sz w:val="24"/>
          <w:szCs w:val="24"/>
          <w:lang w:val="en-US" w:eastAsia="sv-SE"/>
        </w:rPr>
      </w:pPr>
    </w:p>
    <w:p w14:paraId="2D6818F1" w14:textId="2E3F5541" w:rsidR="00F077FF" w:rsidRPr="007B140B" w:rsidRDefault="00BF6FC2" w:rsidP="00D36611">
      <w:pPr>
        <w:pStyle w:val="Formatmall3"/>
        <w:rPr>
          <w:rFonts w:eastAsia="Times New Roman" w:cs="Times New Roman"/>
          <w:lang w:val="en-US" w:eastAsia="sv-SE"/>
        </w:rPr>
      </w:pPr>
      <w:bookmarkStart w:id="83" w:name="_Toc99001422"/>
      <w:r>
        <w:rPr>
          <w:rFonts w:eastAsia="Times New Roman" w:cs="Times New Roman"/>
          <w:lang w:val="en-US" w:eastAsia="sv-SE"/>
        </w:rPr>
        <w:t>Patient list</w:t>
      </w:r>
      <w:r w:rsidR="00030382">
        <w:rPr>
          <w:rFonts w:eastAsia="Times New Roman" w:cs="Times New Roman"/>
          <w:lang w:val="en-US" w:eastAsia="sv-SE"/>
        </w:rPr>
        <w:t xml:space="preserve">, </w:t>
      </w:r>
      <w:r w:rsidR="00AA3F62">
        <w:rPr>
          <w:rFonts w:eastAsia="Times New Roman" w:cs="Times New Roman"/>
          <w:lang w:val="en-US" w:eastAsia="sv-SE"/>
        </w:rPr>
        <w:t>p</w:t>
      </w:r>
      <w:r w:rsidR="00CD433C">
        <w:rPr>
          <w:rFonts w:eastAsia="Times New Roman" w:cs="Times New Roman"/>
          <w:lang w:val="en-US" w:eastAsia="sv-SE"/>
        </w:rPr>
        <w:t>re-screening log</w:t>
      </w:r>
      <w:r w:rsidR="00AA3F62">
        <w:rPr>
          <w:rFonts w:eastAsia="Times New Roman" w:cs="Times New Roman"/>
          <w:lang w:val="en-US" w:eastAsia="sv-SE"/>
        </w:rPr>
        <w:t>,</w:t>
      </w:r>
      <w:r w:rsidR="00CD433C">
        <w:rPr>
          <w:rFonts w:eastAsia="Times New Roman" w:cs="Times New Roman"/>
          <w:lang w:val="en-US" w:eastAsia="sv-SE"/>
        </w:rPr>
        <w:t xml:space="preserve"> and</w:t>
      </w:r>
      <w:r w:rsidR="007A5BC4">
        <w:rPr>
          <w:rFonts w:eastAsia="Times New Roman" w:cs="Times New Roman"/>
          <w:lang w:val="en-US" w:eastAsia="sv-SE"/>
        </w:rPr>
        <w:t xml:space="preserve"> </w:t>
      </w:r>
      <w:r w:rsidR="00CD433C">
        <w:rPr>
          <w:rFonts w:eastAsia="Times New Roman" w:cs="Times New Roman"/>
          <w:lang w:val="en-US" w:eastAsia="sv-SE"/>
        </w:rPr>
        <w:t>e</w:t>
      </w:r>
      <w:r w:rsidR="00F077FF" w:rsidRPr="007B140B">
        <w:rPr>
          <w:rFonts w:eastAsia="Times New Roman" w:cs="Times New Roman"/>
          <w:lang w:val="en-US" w:eastAsia="sv-SE"/>
        </w:rPr>
        <w:t>lectronic case report form</w:t>
      </w:r>
      <w:r w:rsidR="001C1392">
        <w:rPr>
          <w:rFonts w:eastAsia="Times New Roman" w:cs="Times New Roman"/>
          <w:lang w:val="en-US" w:eastAsia="sv-SE"/>
        </w:rPr>
        <w:t xml:space="preserve"> (eCRF)</w:t>
      </w:r>
      <w:bookmarkEnd w:id="83"/>
    </w:p>
    <w:p w14:paraId="2A1F63AA" w14:textId="266C2057" w:rsidR="00030382" w:rsidRDefault="002E7413" w:rsidP="004670FC">
      <w:pPr>
        <w:rPr>
          <w:rFonts w:ascii="Times New Roman" w:eastAsia="Times New Roman" w:hAnsi="Times New Roman" w:cs="Times New Roman"/>
          <w:sz w:val="24"/>
          <w:szCs w:val="24"/>
          <w:lang w:val="en-US" w:eastAsia="sv-SE"/>
        </w:rPr>
      </w:pPr>
      <w:r>
        <w:rPr>
          <w:rFonts w:ascii="Times New Roman" w:eastAsia="Times New Roman" w:hAnsi="Times New Roman" w:cs="Times New Roman"/>
          <w:sz w:val="24"/>
          <w:szCs w:val="24"/>
          <w:lang w:val="en-US" w:eastAsia="sv-SE"/>
        </w:rPr>
        <w:t>P</w:t>
      </w:r>
      <w:r w:rsidR="00BF6FC2">
        <w:rPr>
          <w:rFonts w:ascii="Times New Roman" w:eastAsia="Times New Roman" w:hAnsi="Times New Roman" w:cs="Times New Roman"/>
          <w:sz w:val="24"/>
          <w:szCs w:val="24"/>
          <w:lang w:val="en-US" w:eastAsia="sv-SE"/>
        </w:rPr>
        <w:t>atient lists will be downloaded</w:t>
      </w:r>
      <w:r w:rsidR="000C246B">
        <w:rPr>
          <w:rFonts w:ascii="Times New Roman" w:eastAsia="Times New Roman" w:hAnsi="Times New Roman" w:cs="Times New Roman"/>
          <w:sz w:val="24"/>
          <w:szCs w:val="24"/>
          <w:lang w:val="en-US" w:eastAsia="sv-SE"/>
        </w:rPr>
        <w:t xml:space="preserve"> </w:t>
      </w:r>
      <w:r w:rsidR="00BF6FC2">
        <w:rPr>
          <w:rFonts w:ascii="Times New Roman" w:eastAsia="Times New Roman" w:hAnsi="Times New Roman" w:cs="Times New Roman"/>
          <w:sz w:val="24"/>
          <w:szCs w:val="24"/>
          <w:lang w:val="en-US" w:eastAsia="sv-SE"/>
        </w:rPr>
        <w:t>from the Swedish Fracture Register</w:t>
      </w:r>
      <w:r>
        <w:rPr>
          <w:rFonts w:ascii="Times New Roman" w:eastAsia="Times New Roman" w:hAnsi="Times New Roman" w:cs="Times New Roman"/>
          <w:sz w:val="24"/>
          <w:szCs w:val="24"/>
          <w:lang w:val="en-US" w:eastAsia="sv-SE"/>
        </w:rPr>
        <w:t xml:space="preserve"> during participant recruitment</w:t>
      </w:r>
      <w:r w:rsidR="00BF6FC2">
        <w:rPr>
          <w:rFonts w:ascii="Times New Roman" w:eastAsia="Times New Roman" w:hAnsi="Times New Roman" w:cs="Times New Roman"/>
          <w:sz w:val="24"/>
          <w:szCs w:val="24"/>
          <w:lang w:val="en-US" w:eastAsia="sv-SE"/>
        </w:rPr>
        <w:t xml:space="preserve"> (see Section 11).</w:t>
      </w:r>
      <w:r w:rsidR="004B7052">
        <w:rPr>
          <w:rFonts w:ascii="Times New Roman" w:eastAsia="Times New Roman" w:hAnsi="Times New Roman" w:cs="Times New Roman"/>
          <w:sz w:val="24"/>
          <w:szCs w:val="24"/>
          <w:lang w:val="en-US" w:eastAsia="sv-SE"/>
        </w:rPr>
        <w:t xml:space="preserve"> </w:t>
      </w:r>
      <w:r w:rsidR="000C246B">
        <w:rPr>
          <w:rFonts w:ascii="Times New Roman" w:eastAsia="Times New Roman" w:hAnsi="Times New Roman" w:cs="Times New Roman"/>
          <w:sz w:val="24"/>
          <w:szCs w:val="24"/>
          <w:lang w:val="en-US" w:eastAsia="sv-SE"/>
        </w:rPr>
        <w:t>These lists will be merged into a single</w:t>
      </w:r>
      <w:r w:rsidR="00E7606E">
        <w:rPr>
          <w:rFonts w:ascii="Times New Roman" w:eastAsia="Times New Roman" w:hAnsi="Times New Roman" w:cs="Times New Roman"/>
          <w:sz w:val="24"/>
          <w:szCs w:val="24"/>
          <w:lang w:val="en-US" w:eastAsia="sv-SE"/>
        </w:rPr>
        <w:t xml:space="preserve"> patient list per study center. O</w:t>
      </w:r>
      <w:r>
        <w:rPr>
          <w:rFonts w:ascii="Times New Roman" w:eastAsia="Times New Roman" w:hAnsi="Times New Roman" w:cs="Times New Roman"/>
          <w:sz w:val="24"/>
          <w:szCs w:val="24"/>
          <w:lang w:val="en-US" w:eastAsia="sv-SE"/>
        </w:rPr>
        <w:t xml:space="preserve">n </w:t>
      </w:r>
      <w:r w:rsidR="000C246B">
        <w:rPr>
          <w:rFonts w:ascii="Times New Roman" w:eastAsia="Times New Roman" w:hAnsi="Times New Roman" w:cs="Times New Roman"/>
          <w:sz w:val="24"/>
          <w:szCs w:val="24"/>
          <w:lang w:val="en-US" w:eastAsia="sv-SE"/>
        </w:rPr>
        <w:t>this list</w:t>
      </w:r>
      <w:r>
        <w:rPr>
          <w:rFonts w:ascii="Times New Roman" w:eastAsia="Times New Roman" w:hAnsi="Times New Roman" w:cs="Times New Roman"/>
          <w:sz w:val="24"/>
          <w:szCs w:val="24"/>
          <w:lang w:val="en-US" w:eastAsia="sv-SE"/>
        </w:rPr>
        <w:t xml:space="preserve">, </w:t>
      </w:r>
      <w:r w:rsidR="00E7606E">
        <w:rPr>
          <w:rFonts w:ascii="Times New Roman" w:eastAsia="Times New Roman" w:hAnsi="Times New Roman" w:cs="Times New Roman"/>
          <w:sz w:val="24"/>
          <w:szCs w:val="24"/>
          <w:lang w:val="en-US" w:eastAsia="sv-SE"/>
        </w:rPr>
        <w:t xml:space="preserve">the </w:t>
      </w:r>
      <w:r>
        <w:rPr>
          <w:rFonts w:ascii="Times New Roman" w:eastAsia="Times New Roman" w:hAnsi="Times New Roman" w:cs="Times New Roman"/>
          <w:sz w:val="24"/>
          <w:szCs w:val="24"/>
          <w:lang w:val="en-US" w:eastAsia="sv-SE"/>
        </w:rPr>
        <w:t>s</w:t>
      </w:r>
      <w:r w:rsidR="004B7052">
        <w:rPr>
          <w:rFonts w:ascii="Times New Roman" w:eastAsia="Times New Roman" w:hAnsi="Times New Roman" w:cs="Times New Roman"/>
          <w:sz w:val="24"/>
          <w:szCs w:val="24"/>
          <w:lang w:val="en-US" w:eastAsia="sv-SE"/>
        </w:rPr>
        <w:t xml:space="preserve">tudy </w:t>
      </w:r>
      <w:r w:rsidR="00AC6D2F">
        <w:rPr>
          <w:rFonts w:ascii="Times New Roman" w:eastAsia="Times New Roman" w:hAnsi="Times New Roman" w:cs="Times New Roman"/>
          <w:sz w:val="24"/>
          <w:szCs w:val="24"/>
          <w:lang w:val="en-US" w:eastAsia="sv-SE"/>
        </w:rPr>
        <w:t>s</w:t>
      </w:r>
      <w:r w:rsidR="004B7052">
        <w:rPr>
          <w:rFonts w:ascii="Times New Roman" w:eastAsia="Times New Roman" w:hAnsi="Times New Roman" w:cs="Times New Roman"/>
          <w:sz w:val="24"/>
          <w:szCs w:val="24"/>
          <w:lang w:val="en-US" w:eastAsia="sv-SE"/>
        </w:rPr>
        <w:t xml:space="preserve">taff will </w:t>
      </w:r>
      <w:r>
        <w:rPr>
          <w:rFonts w:ascii="Times New Roman" w:eastAsia="Times New Roman" w:hAnsi="Times New Roman" w:cs="Times New Roman"/>
          <w:sz w:val="24"/>
          <w:szCs w:val="24"/>
          <w:lang w:val="en-US" w:eastAsia="sv-SE"/>
        </w:rPr>
        <w:t xml:space="preserve">note which patients have been contacted by postal mail, have accepted or declined to participate, and have been </w:t>
      </w:r>
      <w:r w:rsidR="00E37610">
        <w:rPr>
          <w:rFonts w:ascii="Times New Roman" w:eastAsia="Times New Roman" w:hAnsi="Times New Roman" w:cs="Times New Roman"/>
          <w:sz w:val="24"/>
          <w:szCs w:val="24"/>
          <w:lang w:val="en-US" w:eastAsia="sv-SE"/>
        </w:rPr>
        <w:t>pre-screened</w:t>
      </w:r>
      <w:r>
        <w:rPr>
          <w:rFonts w:ascii="Times New Roman" w:eastAsia="Times New Roman" w:hAnsi="Times New Roman" w:cs="Times New Roman"/>
          <w:sz w:val="24"/>
          <w:szCs w:val="24"/>
          <w:lang w:val="en-US" w:eastAsia="sv-SE"/>
        </w:rPr>
        <w:t>. Patient lists will be anonymized and retained after the end of the Main Phase of the trial.</w:t>
      </w:r>
    </w:p>
    <w:p w14:paraId="5B83E3F3" w14:textId="227376B3" w:rsidR="00CD433C" w:rsidRDefault="002E7413" w:rsidP="004670FC">
      <w:pPr>
        <w:rPr>
          <w:rFonts w:ascii="Times New Roman" w:eastAsia="Times New Roman" w:hAnsi="Times New Roman" w:cs="Times New Roman"/>
          <w:sz w:val="24"/>
          <w:szCs w:val="24"/>
          <w:lang w:val="en-US" w:eastAsia="sv-SE"/>
        </w:rPr>
      </w:pPr>
      <w:r>
        <w:rPr>
          <w:rFonts w:ascii="Times New Roman" w:eastAsia="Times New Roman" w:hAnsi="Times New Roman" w:cs="Times New Roman"/>
          <w:sz w:val="24"/>
          <w:szCs w:val="24"/>
          <w:lang w:val="en-US" w:eastAsia="sv-SE"/>
        </w:rPr>
        <w:t>The results of pre-screening</w:t>
      </w:r>
      <w:r w:rsidR="00EF5A46">
        <w:rPr>
          <w:rFonts w:ascii="Times New Roman" w:eastAsia="Times New Roman" w:hAnsi="Times New Roman" w:cs="Times New Roman"/>
          <w:sz w:val="24"/>
          <w:szCs w:val="24"/>
          <w:lang w:val="en-US" w:eastAsia="sv-SE"/>
        </w:rPr>
        <w:t xml:space="preserve"> (see Section 11)</w:t>
      </w:r>
      <w:r>
        <w:rPr>
          <w:rFonts w:ascii="Times New Roman" w:eastAsia="Times New Roman" w:hAnsi="Times New Roman" w:cs="Times New Roman"/>
          <w:sz w:val="24"/>
          <w:szCs w:val="24"/>
          <w:lang w:val="en-US" w:eastAsia="sv-SE"/>
        </w:rPr>
        <w:t xml:space="preserve"> </w:t>
      </w:r>
      <w:r w:rsidR="00EF5A46">
        <w:rPr>
          <w:rFonts w:ascii="Times New Roman" w:eastAsia="Times New Roman" w:hAnsi="Times New Roman" w:cs="Times New Roman"/>
          <w:sz w:val="24"/>
          <w:szCs w:val="24"/>
          <w:lang w:val="en-US" w:eastAsia="sv-SE"/>
        </w:rPr>
        <w:t>will be entered into an electronic pre-screening log. T</w:t>
      </w:r>
      <w:r w:rsidR="004B7052">
        <w:rPr>
          <w:rFonts w:ascii="Times New Roman" w:eastAsia="Times New Roman" w:hAnsi="Times New Roman" w:cs="Times New Roman"/>
          <w:sz w:val="24"/>
          <w:szCs w:val="24"/>
          <w:lang w:val="en-US" w:eastAsia="sv-SE"/>
        </w:rPr>
        <w:t xml:space="preserve">he pre-screening log </w:t>
      </w:r>
      <w:r w:rsidR="00E84BAF">
        <w:rPr>
          <w:rFonts w:ascii="Times New Roman" w:eastAsia="Times New Roman" w:hAnsi="Times New Roman" w:cs="Times New Roman"/>
          <w:sz w:val="24"/>
          <w:szCs w:val="24"/>
          <w:lang w:val="en-US" w:eastAsia="sv-SE"/>
        </w:rPr>
        <w:t xml:space="preserve">will </w:t>
      </w:r>
      <w:r>
        <w:rPr>
          <w:rFonts w:ascii="Times New Roman" w:eastAsia="Times New Roman" w:hAnsi="Times New Roman" w:cs="Times New Roman"/>
          <w:sz w:val="24"/>
          <w:szCs w:val="24"/>
          <w:lang w:val="en-US" w:eastAsia="sv-SE"/>
        </w:rPr>
        <w:t>be kept separate from patient lists</w:t>
      </w:r>
      <w:r w:rsidR="00283727">
        <w:rPr>
          <w:rFonts w:ascii="Times New Roman" w:eastAsia="Times New Roman" w:hAnsi="Times New Roman" w:cs="Times New Roman"/>
          <w:sz w:val="24"/>
          <w:szCs w:val="24"/>
          <w:lang w:val="en-US" w:eastAsia="sv-SE"/>
        </w:rPr>
        <w:t>. Furthermore, i</w:t>
      </w:r>
      <w:r w:rsidR="00D02AAA">
        <w:rPr>
          <w:rFonts w:ascii="Times New Roman" w:eastAsia="Times New Roman" w:hAnsi="Times New Roman" w:cs="Times New Roman"/>
          <w:sz w:val="24"/>
          <w:szCs w:val="24"/>
          <w:lang w:val="en-US" w:eastAsia="sv-SE"/>
        </w:rPr>
        <w:t xml:space="preserve">t </w:t>
      </w:r>
      <w:r w:rsidR="004B7052">
        <w:rPr>
          <w:rFonts w:ascii="Times New Roman" w:eastAsia="Times New Roman" w:hAnsi="Times New Roman" w:cs="Times New Roman"/>
          <w:sz w:val="24"/>
          <w:szCs w:val="24"/>
          <w:lang w:val="en-US" w:eastAsia="sv-SE"/>
        </w:rPr>
        <w:t xml:space="preserve">will not contain personal information, </w:t>
      </w:r>
      <w:r w:rsidR="00EF5A46">
        <w:rPr>
          <w:rFonts w:ascii="Times New Roman" w:eastAsia="Times New Roman" w:hAnsi="Times New Roman" w:cs="Times New Roman"/>
          <w:sz w:val="24"/>
          <w:szCs w:val="24"/>
          <w:lang w:val="en-US" w:eastAsia="sv-SE"/>
        </w:rPr>
        <w:t>as patients will not have provided informed consent at t</w:t>
      </w:r>
      <w:r w:rsidR="002A5759">
        <w:rPr>
          <w:rFonts w:ascii="Times New Roman" w:eastAsia="Times New Roman" w:hAnsi="Times New Roman" w:cs="Times New Roman"/>
          <w:sz w:val="24"/>
          <w:szCs w:val="24"/>
          <w:lang w:val="en-US" w:eastAsia="sv-SE"/>
        </w:rPr>
        <w:t>he time of pre-screening</w:t>
      </w:r>
      <w:r w:rsidR="00EF5A46">
        <w:rPr>
          <w:rFonts w:ascii="Times New Roman" w:eastAsia="Times New Roman" w:hAnsi="Times New Roman" w:cs="Times New Roman"/>
          <w:sz w:val="24"/>
          <w:szCs w:val="24"/>
          <w:lang w:val="en-US" w:eastAsia="sv-SE"/>
        </w:rPr>
        <w:t xml:space="preserve">. </w:t>
      </w:r>
    </w:p>
    <w:p w14:paraId="5E5E83C6" w14:textId="73FEE39C" w:rsidR="0031788C" w:rsidRPr="002C47C9" w:rsidRDefault="004F2FFC" w:rsidP="004670FC">
      <w:pPr>
        <w:rPr>
          <w:rFonts w:ascii="Times New Roman" w:hAnsi="Times New Roman" w:cs="Times New Roman"/>
          <w:sz w:val="24"/>
          <w:szCs w:val="24"/>
          <w:lang w:val="en-US"/>
        </w:rPr>
      </w:pPr>
      <w:r w:rsidRPr="007B140B">
        <w:rPr>
          <w:rFonts w:ascii="Times New Roman" w:eastAsia="Times New Roman" w:hAnsi="Times New Roman" w:cs="Times New Roman"/>
          <w:sz w:val="24"/>
          <w:szCs w:val="24"/>
          <w:lang w:val="en-US" w:eastAsia="sv-SE"/>
        </w:rPr>
        <w:t>The d</w:t>
      </w:r>
      <w:r w:rsidR="00ED3042" w:rsidRPr="007B140B">
        <w:rPr>
          <w:rFonts w:ascii="Times New Roman" w:eastAsia="Times New Roman" w:hAnsi="Times New Roman" w:cs="Times New Roman"/>
          <w:sz w:val="24"/>
          <w:szCs w:val="24"/>
          <w:lang w:val="en-US" w:eastAsia="sv-SE"/>
        </w:rPr>
        <w:t>ata</w:t>
      </w:r>
      <w:r w:rsidR="00E376D7" w:rsidRPr="007B140B">
        <w:rPr>
          <w:rFonts w:ascii="Times New Roman" w:eastAsia="Times New Roman" w:hAnsi="Times New Roman" w:cs="Times New Roman"/>
          <w:sz w:val="24"/>
          <w:szCs w:val="24"/>
          <w:lang w:val="en-US" w:eastAsia="sv-SE"/>
        </w:rPr>
        <w:t xml:space="preserve"> </w:t>
      </w:r>
      <w:r w:rsidR="00E73733">
        <w:rPr>
          <w:rFonts w:ascii="Times New Roman" w:eastAsia="Times New Roman" w:hAnsi="Times New Roman" w:cs="Times New Roman"/>
          <w:sz w:val="24"/>
          <w:szCs w:val="24"/>
          <w:lang w:val="en-US" w:eastAsia="sv-SE"/>
        </w:rPr>
        <w:t xml:space="preserve">on consenting participants </w:t>
      </w:r>
      <w:r w:rsidR="004B7582">
        <w:rPr>
          <w:rFonts w:ascii="Times New Roman" w:eastAsia="Times New Roman" w:hAnsi="Times New Roman" w:cs="Times New Roman"/>
          <w:sz w:val="24"/>
          <w:szCs w:val="24"/>
          <w:lang w:val="en-US" w:eastAsia="sv-SE"/>
        </w:rPr>
        <w:t xml:space="preserve">that are </w:t>
      </w:r>
      <w:r w:rsidRPr="007B140B">
        <w:rPr>
          <w:rFonts w:ascii="Times New Roman" w:eastAsia="Times New Roman" w:hAnsi="Times New Roman" w:cs="Times New Roman"/>
          <w:sz w:val="24"/>
          <w:szCs w:val="24"/>
          <w:lang w:val="en-US" w:eastAsia="sv-SE"/>
        </w:rPr>
        <w:t>required to</w:t>
      </w:r>
      <w:r w:rsidR="00E376D7" w:rsidRPr="007B140B">
        <w:rPr>
          <w:rFonts w:ascii="Times New Roman" w:eastAsia="Times New Roman" w:hAnsi="Times New Roman" w:cs="Times New Roman"/>
          <w:sz w:val="24"/>
          <w:szCs w:val="24"/>
          <w:lang w:val="en-US" w:eastAsia="sv-SE"/>
        </w:rPr>
        <w:t xml:space="preserve"> be collected according to</w:t>
      </w:r>
      <w:r w:rsidR="00544A9C" w:rsidRPr="007B140B">
        <w:rPr>
          <w:rFonts w:ascii="Times New Roman" w:eastAsia="Times New Roman" w:hAnsi="Times New Roman" w:cs="Times New Roman"/>
          <w:sz w:val="24"/>
          <w:szCs w:val="24"/>
          <w:lang w:val="en-US" w:eastAsia="sv-SE"/>
        </w:rPr>
        <w:t xml:space="preserve"> this protocol will be entered </w:t>
      </w:r>
      <w:r w:rsidR="00BD6A49" w:rsidRPr="007B140B">
        <w:rPr>
          <w:rFonts w:ascii="Times New Roman" w:eastAsia="Times New Roman" w:hAnsi="Times New Roman" w:cs="Times New Roman"/>
          <w:sz w:val="24"/>
          <w:szCs w:val="24"/>
          <w:lang w:val="en-US" w:eastAsia="sv-SE"/>
        </w:rPr>
        <w:t xml:space="preserve">by investigators </w:t>
      </w:r>
      <w:r w:rsidR="00763F99">
        <w:rPr>
          <w:rFonts w:ascii="Times New Roman" w:eastAsia="Times New Roman" w:hAnsi="Times New Roman" w:cs="Times New Roman"/>
          <w:sz w:val="24"/>
          <w:szCs w:val="24"/>
          <w:lang w:val="en-US" w:eastAsia="sv-SE"/>
        </w:rPr>
        <w:t>i</w:t>
      </w:r>
      <w:r w:rsidR="00E376D7" w:rsidRPr="007B140B">
        <w:rPr>
          <w:rFonts w:ascii="Times New Roman" w:eastAsia="Times New Roman" w:hAnsi="Times New Roman" w:cs="Times New Roman"/>
          <w:sz w:val="24"/>
          <w:szCs w:val="24"/>
          <w:lang w:val="en-US" w:eastAsia="sv-SE"/>
        </w:rPr>
        <w:t>nto</w:t>
      </w:r>
      <w:r w:rsidR="004670FC" w:rsidRPr="007B140B">
        <w:rPr>
          <w:rFonts w:ascii="Times New Roman" w:eastAsia="Times New Roman" w:hAnsi="Times New Roman" w:cs="Times New Roman"/>
          <w:sz w:val="24"/>
          <w:szCs w:val="24"/>
          <w:lang w:val="en-US" w:eastAsia="sv-SE"/>
        </w:rPr>
        <w:t xml:space="preserve"> </w:t>
      </w:r>
      <w:r w:rsidR="00763F99">
        <w:rPr>
          <w:rFonts w:ascii="Times New Roman" w:eastAsia="Times New Roman" w:hAnsi="Times New Roman" w:cs="Times New Roman"/>
          <w:sz w:val="24"/>
          <w:szCs w:val="24"/>
          <w:lang w:val="en-US" w:eastAsia="sv-SE"/>
        </w:rPr>
        <w:t xml:space="preserve">an </w:t>
      </w:r>
      <w:r w:rsidR="00322517" w:rsidRPr="007B140B">
        <w:rPr>
          <w:rFonts w:ascii="Times New Roman" w:eastAsia="Times New Roman" w:hAnsi="Times New Roman" w:cs="Times New Roman"/>
          <w:sz w:val="24"/>
          <w:szCs w:val="24"/>
          <w:lang w:val="en-US" w:eastAsia="sv-SE"/>
        </w:rPr>
        <w:t>eCRF</w:t>
      </w:r>
      <w:r w:rsidR="00ED3042" w:rsidRPr="007B140B">
        <w:rPr>
          <w:rFonts w:ascii="Times New Roman" w:eastAsia="Times New Roman" w:hAnsi="Times New Roman" w:cs="Times New Roman"/>
          <w:sz w:val="24"/>
          <w:szCs w:val="24"/>
          <w:lang w:val="en-US" w:eastAsia="sv-SE"/>
        </w:rPr>
        <w:t>, which will be pseudo-anonymized with participant ID codes.</w:t>
      </w:r>
      <w:r w:rsidR="00610677" w:rsidRPr="007B140B">
        <w:rPr>
          <w:rFonts w:ascii="Times New Roman" w:eastAsia="Times New Roman" w:hAnsi="Times New Roman" w:cs="Times New Roman"/>
          <w:sz w:val="24"/>
          <w:szCs w:val="24"/>
          <w:lang w:val="en-US" w:eastAsia="sv-SE"/>
        </w:rPr>
        <w:t xml:space="preserve"> </w:t>
      </w:r>
      <w:r w:rsidR="00ED3042" w:rsidRPr="007B140B">
        <w:rPr>
          <w:rFonts w:ascii="Times New Roman" w:eastAsia="Times New Roman" w:hAnsi="Times New Roman" w:cs="Times New Roman"/>
          <w:sz w:val="24"/>
          <w:szCs w:val="24"/>
          <w:lang w:val="en-US" w:eastAsia="sv-SE"/>
        </w:rPr>
        <w:t>The</w:t>
      </w:r>
      <w:r w:rsidR="00F56D9A">
        <w:rPr>
          <w:rFonts w:ascii="Times New Roman" w:eastAsia="Times New Roman" w:hAnsi="Times New Roman" w:cs="Times New Roman"/>
          <w:sz w:val="24"/>
          <w:szCs w:val="24"/>
          <w:lang w:val="en-US" w:eastAsia="sv-SE"/>
        </w:rPr>
        <w:t xml:space="preserve"> </w:t>
      </w:r>
      <w:r w:rsidR="00610677" w:rsidRPr="007B140B">
        <w:rPr>
          <w:rFonts w:ascii="Times New Roman" w:eastAsia="Times New Roman" w:hAnsi="Times New Roman" w:cs="Times New Roman"/>
          <w:sz w:val="24"/>
          <w:szCs w:val="24"/>
          <w:lang w:val="en-US" w:eastAsia="sv-SE"/>
        </w:rPr>
        <w:t>exception</w:t>
      </w:r>
      <w:r w:rsidR="00ED3042" w:rsidRPr="007B140B">
        <w:rPr>
          <w:rFonts w:ascii="Times New Roman" w:eastAsia="Times New Roman" w:hAnsi="Times New Roman" w:cs="Times New Roman"/>
          <w:sz w:val="24"/>
          <w:szCs w:val="24"/>
          <w:lang w:val="en-US" w:eastAsia="sv-SE"/>
        </w:rPr>
        <w:t xml:space="preserve"> to this rule</w:t>
      </w:r>
      <w:r w:rsidR="00F56D9A">
        <w:rPr>
          <w:rFonts w:ascii="Times New Roman" w:eastAsia="Times New Roman" w:hAnsi="Times New Roman" w:cs="Times New Roman"/>
          <w:sz w:val="24"/>
          <w:szCs w:val="24"/>
          <w:lang w:val="en-US" w:eastAsia="sv-SE"/>
        </w:rPr>
        <w:t xml:space="preserve"> is </w:t>
      </w:r>
      <w:r w:rsidR="00103DD9" w:rsidRPr="007B140B">
        <w:rPr>
          <w:rFonts w:ascii="Times New Roman" w:eastAsia="Times New Roman" w:hAnsi="Times New Roman" w:cs="Times New Roman"/>
          <w:sz w:val="24"/>
          <w:szCs w:val="24"/>
          <w:lang w:val="en-US" w:eastAsia="sv-SE"/>
        </w:rPr>
        <w:t>registry</w:t>
      </w:r>
      <w:r w:rsidR="00F56D9A">
        <w:rPr>
          <w:rFonts w:ascii="Times New Roman" w:eastAsia="Times New Roman" w:hAnsi="Times New Roman" w:cs="Times New Roman"/>
          <w:sz w:val="24"/>
          <w:szCs w:val="24"/>
          <w:lang w:val="en-US" w:eastAsia="sv-SE"/>
        </w:rPr>
        <w:t xml:space="preserve"> </w:t>
      </w:r>
      <w:r w:rsidR="00103DD9" w:rsidRPr="007B140B">
        <w:rPr>
          <w:rFonts w:ascii="Times New Roman" w:eastAsia="Times New Roman" w:hAnsi="Times New Roman" w:cs="Times New Roman"/>
          <w:sz w:val="24"/>
          <w:szCs w:val="24"/>
          <w:lang w:val="en-US" w:eastAsia="sv-SE"/>
        </w:rPr>
        <w:t>data</w:t>
      </w:r>
      <w:r w:rsidR="00EC2B9F">
        <w:rPr>
          <w:rFonts w:ascii="Times New Roman" w:eastAsia="Times New Roman" w:hAnsi="Times New Roman" w:cs="Times New Roman"/>
          <w:sz w:val="24"/>
          <w:szCs w:val="24"/>
          <w:lang w:val="en-US" w:eastAsia="sv-SE"/>
        </w:rPr>
        <w:t xml:space="preserve"> on secondary outcomes</w:t>
      </w:r>
      <w:r w:rsidR="00F56D9A">
        <w:rPr>
          <w:rFonts w:ascii="Times New Roman" w:eastAsia="Times New Roman" w:hAnsi="Times New Roman" w:cs="Times New Roman"/>
          <w:sz w:val="24"/>
          <w:szCs w:val="24"/>
          <w:lang w:val="en-US" w:eastAsia="sv-SE"/>
        </w:rPr>
        <w:t>, which</w:t>
      </w:r>
      <w:r w:rsidR="00103DD9" w:rsidRPr="007B140B">
        <w:rPr>
          <w:rFonts w:ascii="Times New Roman" w:eastAsia="Times New Roman" w:hAnsi="Times New Roman" w:cs="Times New Roman"/>
          <w:sz w:val="24"/>
          <w:szCs w:val="24"/>
          <w:lang w:val="en-US" w:eastAsia="sv-SE"/>
        </w:rPr>
        <w:t xml:space="preserve"> will be </w:t>
      </w:r>
      <w:r w:rsidR="00103DD9" w:rsidRPr="007B140B">
        <w:rPr>
          <w:rFonts w:ascii="Times New Roman" w:hAnsi="Times New Roman" w:cs="Times New Roman"/>
          <w:sz w:val="24"/>
          <w:szCs w:val="24"/>
          <w:lang w:val="en-US"/>
        </w:rPr>
        <w:t xml:space="preserve">collected centrally by the sponsor. </w:t>
      </w:r>
      <w:r w:rsidR="002C47C9">
        <w:rPr>
          <w:rFonts w:ascii="Times New Roman" w:hAnsi="Times New Roman" w:cs="Times New Roman"/>
          <w:sz w:val="24"/>
          <w:szCs w:val="24"/>
          <w:lang w:val="en-US"/>
        </w:rPr>
        <w:t>Ho</w:t>
      </w:r>
      <w:r w:rsidR="00610699">
        <w:rPr>
          <w:rFonts w:ascii="Times New Roman" w:hAnsi="Times New Roman" w:cs="Times New Roman"/>
          <w:sz w:val="24"/>
          <w:szCs w:val="24"/>
          <w:lang w:val="en-US"/>
        </w:rPr>
        <w:t>w</w:t>
      </w:r>
      <w:r w:rsidR="002C47C9">
        <w:rPr>
          <w:rFonts w:ascii="Times New Roman" w:hAnsi="Times New Roman" w:cs="Times New Roman"/>
          <w:sz w:val="24"/>
          <w:szCs w:val="24"/>
          <w:lang w:val="en-US"/>
        </w:rPr>
        <w:t xml:space="preserve">ever, fractures outcomes </w:t>
      </w:r>
      <w:r w:rsidR="002C47C9" w:rsidRPr="00066B77">
        <w:rPr>
          <w:rFonts w:ascii="Times New Roman" w:hAnsi="Times New Roman" w:cs="Times New Roman"/>
          <w:sz w:val="24"/>
          <w:szCs w:val="24"/>
          <w:lang w:val="en-US"/>
        </w:rPr>
        <w:t xml:space="preserve">will be recorded on </w:t>
      </w:r>
      <w:r w:rsidR="00763F99">
        <w:rPr>
          <w:rFonts w:ascii="Times New Roman" w:hAnsi="Times New Roman" w:cs="Times New Roman"/>
          <w:sz w:val="24"/>
          <w:szCs w:val="24"/>
          <w:lang w:val="en-US"/>
        </w:rPr>
        <w:t>the</w:t>
      </w:r>
      <w:r w:rsidR="00763F99" w:rsidRPr="00066B77">
        <w:rPr>
          <w:rFonts w:ascii="Times New Roman" w:hAnsi="Times New Roman" w:cs="Times New Roman"/>
          <w:sz w:val="24"/>
          <w:szCs w:val="24"/>
          <w:lang w:val="en-US"/>
        </w:rPr>
        <w:t xml:space="preserve"> </w:t>
      </w:r>
      <w:r w:rsidR="002C47C9" w:rsidRPr="00066B77">
        <w:rPr>
          <w:rFonts w:ascii="Times New Roman" w:hAnsi="Times New Roman" w:cs="Times New Roman"/>
          <w:sz w:val="24"/>
          <w:szCs w:val="24"/>
          <w:lang w:val="en-US"/>
        </w:rPr>
        <w:t>e</w:t>
      </w:r>
      <w:r w:rsidR="002C47C9">
        <w:rPr>
          <w:rFonts w:ascii="Times New Roman" w:hAnsi="Times New Roman" w:cs="Times New Roman"/>
          <w:sz w:val="24"/>
          <w:szCs w:val="24"/>
          <w:lang w:val="en-US"/>
        </w:rPr>
        <w:t xml:space="preserve">CRF, as these data will be verified through medical records. </w:t>
      </w:r>
    </w:p>
    <w:p w14:paraId="64A260F1" w14:textId="149E111B" w:rsidR="00901ACD" w:rsidRPr="007B140B" w:rsidRDefault="00CE7901" w:rsidP="004670FC">
      <w:pPr>
        <w:rPr>
          <w:rFonts w:ascii="Times New Roman" w:eastAsia="Times New Roman" w:hAnsi="Times New Roman" w:cs="Times New Roman"/>
          <w:sz w:val="24"/>
          <w:szCs w:val="24"/>
          <w:lang w:val="en-US" w:eastAsia="sv-SE"/>
        </w:rPr>
      </w:pPr>
      <w:r w:rsidRPr="007B140B">
        <w:rPr>
          <w:rFonts w:ascii="Times New Roman" w:hAnsi="Times New Roman" w:cs="Times New Roman"/>
          <w:sz w:val="24"/>
          <w:szCs w:val="24"/>
          <w:lang w:val="en-US"/>
        </w:rPr>
        <w:t>All efficacy outcomes and adverse events will be recorded using</w:t>
      </w:r>
      <w:r w:rsidR="00454434" w:rsidRPr="007B140B">
        <w:rPr>
          <w:rFonts w:ascii="Times New Roman" w:hAnsi="Times New Roman" w:cs="Times New Roman"/>
          <w:sz w:val="24"/>
          <w:szCs w:val="24"/>
          <w:lang w:val="en-US"/>
        </w:rPr>
        <w:t xml:space="preserve"> the</w:t>
      </w:r>
      <w:r w:rsidRPr="007B140B">
        <w:rPr>
          <w:rFonts w:ascii="Times New Roman" w:hAnsi="Times New Roman" w:cs="Times New Roman"/>
          <w:sz w:val="24"/>
          <w:szCs w:val="24"/>
          <w:lang w:val="en-US"/>
        </w:rPr>
        <w:t xml:space="preserve"> ICD-10</w:t>
      </w:r>
      <w:r w:rsidR="004953ED" w:rsidRPr="007B140B">
        <w:rPr>
          <w:rFonts w:ascii="Times New Roman" w:hAnsi="Times New Roman" w:cs="Times New Roman"/>
          <w:sz w:val="24"/>
          <w:szCs w:val="24"/>
          <w:lang w:val="en-US"/>
        </w:rPr>
        <w:t>-S</w:t>
      </w:r>
      <w:r w:rsidR="00CC2D73" w:rsidRPr="007B140B">
        <w:rPr>
          <w:rFonts w:ascii="Times New Roman" w:hAnsi="Times New Roman" w:cs="Times New Roman"/>
          <w:sz w:val="24"/>
          <w:szCs w:val="24"/>
          <w:lang w:val="en-US"/>
        </w:rPr>
        <w:t>E system</w:t>
      </w:r>
      <w:r w:rsidRPr="007B140B">
        <w:rPr>
          <w:rFonts w:ascii="Times New Roman" w:hAnsi="Times New Roman" w:cs="Times New Roman"/>
          <w:sz w:val="24"/>
          <w:szCs w:val="24"/>
          <w:lang w:val="en-US"/>
        </w:rPr>
        <w:t>.</w:t>
      </w:r>
      <w:r w:rsidR="00454434" w:rsidRPr="007B140B">
        <w:rPr>
          <w:rFonts w:ascii="Times New Roman" w:hAnsi="Times New Roman" w:cs="Times New Roman"/>
          <w:sz w:val="24"/>
          <w:szCs w:val="24"/>
          <w:lang w:val="en-US"/>
        </w:rPr>
        <w:t xml:space="preserve"> </w:t>
      </w:r>
      <w:r w:rsidR="003A16A3" w:rsidRPr="007B140B">
        <w:rPr>
          <w:rFonts w:ascii="Times New Roman" w:hAnsi="Times New Roman" w:cs="Times New Roman"/>
          <w:color w:val="000000" w:themeColor="text1"/>
          <w:sz w:val="24"/>
          <w:szCs w:val="24"/>
          <w:lang w:val="en-US"/>
        </w:rPr>
        <w:t>T</w:t>
      </w:r>
      <w:r w:rsidR="000F2920" w:rsidRPr="007B140B">
        <w:rPr>
          <w:rFonts w:ascii="Times New Roman" w:hAnsi="Times New Roman" w:cs="Times New Roman"/>
          <w:color w:val="000000" w:themeColor="text1"/>
          <w:sz w:val="24"/>
          <w:szCs w:val="24"/>
          <w:lang w:val="en-US"/>
        </w:rPr>
        <w:t xml:space="preserve">he eCRF will be </w:t>
      </w:r>
      <w:r w:rsidR="004E33EA">
        <w:rPr>
          <w:rFonts w:ascii="Times New Roman" w:hAnsi="Times New Roman" w:cs="Times New Roman"/>
          <w:color w:val="000000" w:themeColor="text1"/>
          <w:sz w:val="24"/>
          <w:szCs w:val="24"/>
          <w:lang w:val="en-US"/>
        </w:rPr>
        <w:t xml:space="preserve">appended to </w:t>
      </w:r>
      <w:r w:rsidR="00D35231" w:rsidRPr="007B140B">
        <w:rPr>
          <w:rFonts w:ascii="Times New Roman" w:hAnsi="Times New Roman" w:cs="Times New Roman"/>
          <w:color w:val="000000" w:themeColor="text1"/>
          <w:sz w:val="24"/>
          <w:szCs w:val="24"/>
          <w:lang w:val="en-US"/>
        </w:rPr>
        <w:t>the Clinical Study Report</w:t>
      </w:r>
      <w:r w:rsidR="000F2920" w:rsidRPr="007B140B">
        <w:rPr>
          <w:rFonts w:ascii="Times New Roman" w:hAnsi="Times New Roman" w:cs="Times New Roman"/>
          <w:color w:val="000000" w:themeColor="text1"/>
          <w:sz w:val="24"/>
          <w:szCs w:val="24"/>
          <w:lang w:val="en-US"/>
        </w:rPr>
        <w:t xml:space="preserve">. </w:t>
      </w:r>
      <w:r w:rsidR="00843F77" w:rsidRPr="007B140B">
        <w:rPr>
          <w:rFonts w:ascii="Times New Roman" w:hAnsi="Times New Roman" w:cs="Times New Roman"/>
          <w:sz w:val="24"/>
          <w:szCs w:val="24"/>
          <w:lang w:val="en-US"/>
        </w:rPr>
        <w:t>To ensure that the system is secure, t</w:t>
      </w:r>
      <w:r w:rsidR="00A60104" w:rsidRPr="007B140B">
        <w:rPr>
          <w:rFonts w:ascii="Times New Roman" w:hAnsi="Times New Roman" w:cs="Times New Roman"/>
          <w:sz w:val="24"/>
          <w:szCs w:val="24"/>
          <w:lang w:val="en-US"/>
        </w:rPr>
        <w:t xml:space="preserve">he eCRF system will </w:t>
      </w:r>
      <w:r w:rsidR="00843F77" w:rsidRPr="007B140B">
        <w:rPr>
          <w:rFonts w:ascii="Times New Roman" w:hAnsi="Times New Roman" w:cs="Times New Roman"/>
          <w:sz w:val="24"/>
          <w:szCs w:val="24"/>
          <w:lang w:val="en-US"/>
        </w:rPr>
        <w:t xml:space="preserve">be </w:t>
      </w:r>
      <w:r w:rsidR="00A60104" w:rsidRPr="007B140B">
        <w:rPr>
          <w:rFonts w:ascii="Times New Roman" w:hAnsi="Times New Roman" w:cs="Times New Roman"/>
          <w:sz w:val="24"/>
          <w:szCs w:val="24"/>
          <w:lang w:val="en-US"/>
        </w:rPr>
        <w:t>set up in collaboration with the University Hospital of Umeå Clinical Research Centre and the Department of ICT Services and System Development at Umeå University.</w:t>
      </w:r>
    </w:p>
    <w:p w14:paraId="174CF618" w14:textId="6125D458" w:rsidR="004670FC" w:rsidRPr="007B140B" w:rsidRDefault="006B593A" w:rsidP="004670FC">
      <w:pPr>
        <w:rPr>
          <w:rFonts w:ascii="Times New Roman" w:eastAsia="Times New Roman" w:hAnsi="Times New Roman" w:cs="Times New Roman"/>
          <w:sz w:val="24"/>
          <w:szCs w:val="24"/>
          <w:lang w:val="en-US" w:eastAsia="sv-SE"/>
        </w:rPr>
      </w:pPr>
      <w:r w:rsidRPr="007B140B">
        <w:rPr>
          <w:rFonts w:ascii="Times New Roman" w:eastAsia="Times New Roman" w:hAnsi="Times New Roman" w:cs="Times New Roman"/>
          <w:sz w:val="24"/>
          <w:szCs w:val="24"/>
          <w:lang w:val="en-US" w:eastAsia="sv-SE"/>
        </w:rPr>
        <w:t>I</w:t>
      </w:r>
      <w:r w:rsidR="004670FC" w:rsidRPr="007B140B">
        <w:rPr>
          <w:rFonts w:ascii="Times New Roman" w:eastAsia="Times New Roman" w:hAnsi="Times New Roman" w:cs="Times New Roman"/>
          <w:sz w:val="24"/>
          <w:szCs w:val="24"/>
          <w:lang w:val="en-US" w:eastAsia="sv-SE"/>
        </w:rPr>
        <w:t>nvestigator</w:t>
      </w:r>
      <w:r w:rsidRPr="007B140B">
        <w:rPr>
          <w:rFonts w:ascii="Times New Roman" w:eastAsia="Times New Roman" w:hAnsi="Times New Roman" w:cs="Times New Roman"/>
          <w:sz w:val="24"/>
          <w:szCs w:val="24"/>
          <w:lang w:val="en-US" w:eastAsia="sv-SE"/>
        </w:rPr>
        <w:t>s</w:t>
      </w:r>
      <w:r w:rsidR="004670FC" w:rsidRPr="007B140B">
        <w:rPr>
          <w:rFonts w:ascii="Times New Roman" w:eastAsia="Times New Roman" w:hAnsi="Times New Roman" w:cs="Times New Roman"/>
          <w:sz w:val="24"/>
          <w:szCs w:val="24"/>
          <w:lang w:val="en-US" w:eastAsia="sv-SE"/>
        </w:rPr>
        <w:t xml:space="preserve"> must </w:t>
      </w:r>
      <w:r w:rsidR="00605090" w:rsidRPr="007B140B">
        <w:rPr>
          <w:rFonts w:ascii="Times New Roman" w:eastAsia="Times New Roman" w:hAnsi="Times New Roman" w:cs="Times New Roman"/>
          <w:sz w:val="24"/>
          <w:szCs w:val="24"/>
          <w:lang w:val="en-US" w:eastAsia="sv-SE"/>
        </w:rPr>
        <w:t xml:space="preserve">ensure that </w:t>
      </w:r>
      <w:r w:rsidR="00F13CCB" w:rsidRPr="007B140B">
        <w:rPr>
          <w:rFonts w:ascii="Times New Roman" w:eastAsia="Times New Roman" w:hAnsi="Times New Roman" w:cs="Times New Roman"/>
          <w:sz w:val="24"/>
          <w:szCs w:val="24"/>
          <w:lang w:val="en-US" w:eastAsia="sv-SE"/>
        </w:rPr>
        <w:t>eCRFs are</w:t>
      </w:r>
      <w:r w:rsidR="004670FC" w:rsidRPr="007B140B">
        <w:rPr>
          <w:rFonts w:ascii="Times New Roman" w:eastAsia="Times New Roman" w:hAnsi="Times New Roman" w:cs="Times New Roman"/>
          <w:sz w:val="24"/>
          <w:szCs w:val="24"/>
          <w:lang w:val="en-US" w:eastAsia="sv-SE"/>
        </w:rPr>
        <w:t xml:space="preserve"> </w:t>
      </w:r>
      <w:r w:rsidR="00F13CCB" w:rsidRPr="007B140B">
        <w:rPr>
          <w:rFonts w:ascii="Times New Roman" w:eastAsia="Times New Roman" w:hAnsi="Times New Roman" w:cs="Times New Roman"/>
          <w:sz w:val="24"/>
          <w:szCs w:val="24"/>
          <w:lang w:val="en-US" w:eastAsia="sv-SE"/>
        </w:rPr>
        <w:t>correct and complete and that reporting takes place within the predefined time windows.</w:t>
      </w:r>
      <w:r w:rsidR="004670FC" w:rsidRPr="007B140B">
        <w:rPr>
          <w:rFonts w:ascii="Times New Roman" w:eastAsia="Times New Roman" w:hAnsi="Times New Roman" w:cs="Times New Roman"/>
          <w:sz w:val="24"/>
          <w:szCs w:val="24"/>
          <w:lang w:val="en-US" w:eastAsia="sv-SE"/>
        </w:rPr>
        <w:t xml:space="preserve"> </w:t>
      </w:r>
      <w:r w:rsidR="00F13CCB" w:rsidRPr="007B140B">
        <w:rPr>
          <w:rFonts w:ascii="Times New Roman" w:eastAsia="Times New Roman" w:hAnsi="Times New Roman" w:cs="Times New Roman"/>
          <w:sz w:val="24"/>
          <w:szCs w:val="24"/>
          <w:lang w:val="en-US" w:eastAsia="sv-SE"/>
        </w:rPr>
        <w:t>A</w:t>
      </w:r>
      <w:r w:rsidR="004670FC" w:rsidRPr="007B140B">
        <w:rPr>
          <w:rFonts w:ascii="Times New Roman" w:eastAsia="Times New Roman" w:hAnsi="Times New Roman" w:cs="Times New Roman"/>
          <w:sz w:val="24"/>
          <w:szCs w:val="24"/>
          <w:lang w:val="en-US" w:eastAsia="sv-SE"/>
        </w:rPr>
        <w:t xml:space="preserve">ny corrections </w:t>
      </w:r>
      <w:r w:rsidR="00F13CCB" w:rsidRPr="007B140B">
        <w:rPr>
          <w:rFonts w:ascii="Times New Roman" w:eastAsia="Times New Roman" w:hAnsi="Times New Roman" w:cs="Times New Roman"/>
          <w:sz w:val="24"/>
          <w:szCs w:val="24"/>
          <w:lang w:val="en-US" w:eastAsia="sv-SE"/>
        </w:rPr>
        <w:t xml:space="preserve">made to an eCRF </w:t>
      </w:r>
      <w:r w:rsidR="00AF08C0" w:rsidRPr="007B140B">
        <w:rPr>
          <w:rFonts w:ascii="Times New Roman" w:eastAsia="Times New Roman" w:hAnsi="Times New Roman" w:cs="Times New Roman"/>
          <w:sz w:val="24"/>
          <w:szCs w:val="24"/>
          <w:lang w:val="en-US" w:eastAsia="sv-SE"/>
        </w:rPr>
        <w:t>should</w:t>
      </w:r>
      <w:r w:rsidR="00F13CCB" w:rsidRPr="007B140B">
        <w:rPr>
          <w:rFonts w:ascii="Times New Roman" w:eastAsia="Times New Roman" w:hAnsi="Times New Roman" w:cs="Times New Roman"/>
          <w:sz w:val="24"/>
          <w:szCs w:val="24"/>
          <w:lang w:val="en-US" w:eastAsia="sv-SE"/>
        </w:rPr>
        <w:t xml:space="preserve"> be signed, dated</w:t>
      </w:r>
      <w:r w:rsidR="002678B1" w:rsidRPr="007B140B">
        <w:rPr>
          <w:rFonts w:ascii="Times New Roman" w:eastAsia="Times New Roman" w:hAnsi="Times New Roman" w:cs="Times New Roman"/>
          <w:sz w:val="24"/>
          <w:szCs w:val="24"/>
          <w:lang w:val="en-US" w:eastAsia="sv-SE"/>
        </w:rPr>
        <w:t xml:space="preserve">, and </w:t>
      </w:r>
      <w:r w:rsidR="00965574" w:rsidRPr="007B140B">
        <w:rPr>
          <w:rFonts w:ascii="Times New Roman" w:eastAsia="Times New Roman" w:hAnsi="Times New Roman" w:cs="Times New Roman"/>
          <w:sz w:val="24"/>
          <w:szCs w:val="24"/>
          <w:lang w:val="en-US" w:eastAsia="sv-SE"/>
        </w:rPr>
        <w:t xml:space="preserve">(if needed) </w:t>
      </w:r>
      <w:r w:rsidR="002678B1" w:rsidRPr="007B140B">
        <w:rPr>
          <w:rFonts w:ascii="Times New Roman" w:eastAsia="Times New Roman" w:hAnsi="Times New Roman" w:cs="Times New Roman"/>
          <w:sz w:val="24"/>
          <w:szCs w:val="24"/>
          <w:lang w:val="en-US" w:eastAsia="sv-SE"/>
        </w:rPr>
        <w:t>explained</w:t>
      </w:r>
      <w:r w:rsidR="00F13CCB" w:rsidRPr="007B140B">
        <w:rPr>
          <w:rFonts w:ascii="Times New Roman" w:eastAsia="Times New Roman" w:hAnsi="Times New Roman" w:cs="Times New Roman"/>
          <w:sz w:val="24"/>
          <w:szCs w:val="24"/>
          <w:lang w:val="en-US" w:eastAsia="sv-SE"/>
        </w:rPr>
        <w:t xml:space="preserve">. </w:t>
      </w:r>
    </w:p>
    <w:p w14:paraId="6BA519B0" w14:textId="07A3E52D" w:rsidR="00F077FF" w:rsidRPr="007B140B" w:rsidRDefault="00F077FF" w:rsidP="00AB70C9">
      <w:pPr>
        <w:rPr>
          <w:rFonts w:ascii="Times New Roman" w:hAnsi="Times New Roman" w:cs="Times New Roman"/>
          <w:sz w:val="24"/>
          <w:szCs w:val="24"/>
          <w:lang w:val="en-US"/>
        </w:rPr>
      </w:pPr>
    </w:p>
    <w:p w14:paraId="1E1D8D2E" w14:textId="77777777" w:rsidR="00F077FF" w:rsidRPr="007B140B" w:rsidRDefault="00F077FF" w:rsidP="00D36611">
      <w:pPr>
        <w:pStyle w:val="Formatmall3"/>
        <w:rPr>
          <w:rFonts w:cs="Times New Roman"/>
          <w:lang w:val="en-US"/>
        </w:rPr>
      </w:pPr>
      <w:bookmarkStart w:id="84" w:name="_Toc99001423"/>
      <w:r w:rsidRPr="007B140B">
        <w:rPr>
          <w:rFonts w:cs="Times New Roman"/>
          <w:lang w:val="en-US"/>
        </w:rPr>
        <w:t>Biological specimens</w:t>
      </w:r>
      <w:bookmarkEnd w:id="84"/>
    </w:p>
    <w:p w14:paraId="359B9B68" w14:textId="5DAB2C4D" w:rsidR="00F077FF" w:rsidRPr="007B140B" w:rsidRDefault="00F077FF" w:rsidP="00AB70C9">
      <w:pPr>
        <w:rPr>
          <w:rFonts w:ascii="Times New Roman" w:hAnsi="Times New Roman" w:cs="Times New Roman"/>
          <w:sz w:val="24"/>
          <w:szCs w:val="24"/>
          <w:lang w:val="en-US"/>
        </w:rPr>
      </w:pPr>
      <w:r w:rsidRPr="007B140B">
        <w:rPr>
          <w:rFonts w:ascii="Times New Roman" w:hAnsi="Times New Roman" w:cs="Times New Roman"/>
          <w:iCs/>
          <w:color w:val="000000" w:themeColor="text1"/>
          <w:sz w:val="24"/>
          <w:szCs w:val="24"/>
          <w:lang w:val="en-US"/>
        </w:rPr>
        <w:t xml:space="preserve">Samples of peripheral venous blood will be collected for analyses of </w:t>
      </w:r>
      <w:r w:rsidR="005B592B">
        <w:rPr>
          <w:rFonts w:ascii="Times New Roman" w:hAnsi="Times New Roman" w:cs="Times New Roman"/>
          <w:iCs/>
          <w:color w:val="000000" w:themeColor="text1"/>
          <w:sz w:val="24"/>
          <w:szCs w:val="24"/>
          <w:lang w:val="en-US"/>
        </w:rPr>
        <w:t>plasma</w:t>
      </w:r>
      <w:r w:rsidRPr="007B140B">
        <w:rPr>
          <w:rFonts w:ascii="Times New Roman" w:hAnsi="Times New Roman" w:cs="Times New Roman"/>
          <w:iCs/>
          <w:color w:val="000000" w:themeColor="text1"/>
          <w:sz w:val="24"/>
          <w:szCs w:val="24"/>
          <w:lang w:val="en-US"/>
        </w:rPr>
        <w:t xml:space="preserve"> calcium and creatinine clearance (i.e., estim</w:t>
      </w:r>
      <w:r w:rsidR="007B3012" w:rsidRPr="007B140B">
        <w:rPr>
          <w:rFonts w:ascii="Times New Roman" w:hAnsi="Times New Roman" w:cs="Times New Roman"/>
          <w:iCs/>
          <w:color w:val="000000" w:themeColor="text1"/>
          <w:sz w:val="24"/>
          <w:szCs w:val="24"/>
          <w:lang w:val="en-US"/>
        </w:rPr>
        <w:t>ated glomerular filtration rate</w:t>
      </w:r>
      <w:r w:rsidRPr="007B140B">
        <w:rPr>
          <w:rFonts w:ascii="Times New Roman" w:hAnsi="Times New Roman" w:cs="Times New Roman"/>
          <w:iCs/>
          <w:color w:val="000000" w:themeColor="text1"/>
          <w:sz w:val="24"/>
          <w:szCs w:val="24"/>
          <w:lang w:val="en-US"/>
        </w:rPr>
        <w:t xml:space="preserve">). </w:t>
      </w:r>
      <w:r w:rsidRPr="007B140B">
        <w:rPr>
          <w:rFonts w:ascii="Times New Roman" w:hAnsi="Times New Roman" w:cs="Times New Roman"/>
          <w:sz w:val="24"/>
          <w:szCs w:val="24"/>
          <w:lang w:val="en-US"/>
        </w:rPr>
        <w:t xml:space="preserve">The total volume of blood taken from each participant will be a maximum of 20 ml (10 ml at the screening visit and </w:t>
      </w:r>
      <w:r w:rsidR="00D623D1" w:rsidRPr="007B140B">
        <w:rPr>
          <w:rFonts w:ascii="Times New Roman" w:hAnsi="Times New Roman" w:cs="Times New Roman"/>
          <w:sz w:val="24"/>
          <w:szCs w:val="24"/>
          <w:lang w:val="en-US"/>
        </w:rPr>
        <w:t xml:space="preserve">10 ml </w:t>
      </w:r>
      <w:r w:rsidRPr="007B140B">
        <w:rPr>
          <w:rFonts w:ascii="Times New Roman" w:hAnsi="Times New Roman" w:cs="Times New Roman"/>
          <w:sz w:val="24"/>
          <w:szCs w:val="24"/>
          <w:lang w:val="en-US"/>
        </w:rPr>
        <w:t>1 week before the 24-month follow-up)</w:t>
      </w:r>
      <w:r w:rsidR="00F95041">
        <w:rPr>
          <w:rFonts w:ascii="Times New Roman" w:hAnsi="Times New Roman" w:cs="Times New Roman"/>
          <w:sz w:val="24"/>
          <w:szCs w:val="24"/>
          <w:lang w:val="en-US"/>
        </w:rPr>
        <w:t>. F</w:t>
      </w:r>
      <w:r w:rsidR="00A8618B" w:rsidRPr="007B140B">
        <w:rPr>
          <w:rFonts w:ascii="Times New Roman" w:hAnsi="Times New Roman" w:cs="Times New Roman"/>
          <w:sz w:val="24"/>
          <w:szCs w:val="24"/>
          <w:lang w:val="en-US"/>
        </w:rPr>
        <w:t xml:space="preserve">urther blood </w:t>
      </w:r>
      <w:r w:rsidR="00F400DE" w:rsidRPr="007B140B">
        <w:rPr>
          <w:rFonts w:ascii="Times New Roman" w:hAnsi="Times New Roman" w:cs="Times New Roman"/>
          <w:sz w:val="24"/>
          <w:szCs w:val="24"/>
          <w:lang w:val="en-US"/>
        </w:rPr>
        <w:t>samples</w:t>
      </w:r>
      <w:r w:rsidR="00A8618B" w:rsidRPr="007B140B">
        <w:rPr>
          <w:rFonts w:ascii="Times New Roman" w:hAnsi="Times New Roman" w:cs="Times New Roman"/>
          <w:sz w:val="24"/>
          <w:szCs w:val="24"/>
          <w:lang w:val="en-US"/>
        </w:rPr>
        <w:t xml:space="preserve"> </w:t>
      </w:r>
      <w:r w:rsidR="00F95041">
        <w:rPr>
          <w:rFonts w:ascii="Times New Roman" w:hAnsi="Times New Roman" w:cs="Times New Roman"/>
          <w:sz w:val="24"/>
          <w:szCs w:val="24"/>
          <w:lang w:val="en-US"/>
        </w:rPr>
        <w:t>may be taken</w:t>
      </w:r>
      <w:r w:rsidR="00D623D1" w:rsidRPr="007B140B">
        <w:rPr>
          <w:rFonts w:ascii="Times New Roman" w:hAnsi="Times New Roman" w:cs="Times New Roman"/>
          <w:sz w:val="24"/>
          <w:szCs w:val="24"/>
          <w:lang w:val="en-US"/>
        </w:rPr>
        <w:t xml:space="preserve"> t</w:t>
      </w:r>
      <w:r w:rsidR="00A8618B" w:rsidRPr="007B140B">
        <w:rPr>
          <w:rFonts w:ascii="Times New Roman" w:hAnsi="Times New Roman" w:cs="Times New Roman"/>
          <w:sz w:val="24"/>
          <w:szCs w:val="24"/>
          <w:lang w:val="en-US"/>
        </w:rPr>
        <w:t>o ensure a participant</w:t>
      </w:r>
      <w:r w:rsidR="001E66A9">
        <w:rPr>
          <w:rFonts w:ascii="Times New Roman" w:hAnsi="Times New Roman" w:cs="Times New Roman"/>
          <w:sz w:val="24"/>
          <w:szCs w:val="24"/>
          <w:lang w:val="en-US"/>
        </w:rPr>
        <w:t>’</w:t>
      </w:r>
      <w:r w:rsidR="00A8618B" w:rsidRPr="007B140B">
        <w:rPr>
          <w:rFonts w:ascii="Times New Roman" w:hAnsi="Times New Roman" w:cs="Times New Roman"/>
          <w:sz w:val="24"/>
          <w:szCs w:val="24"/>
          <w:lang w:val="en-US"/>
        </w:rPr>
        <w:t>s safety</w:t>
      </w:r>
      <w:r w:rsidRPr="007B140B">
        <w:rPr>
          <w:rFonts w:ascii="Times New Roman" w:hAnsi="Times New Roman" w:cs="Times New Roman"/>
          <w:sz w:val="24"/>
          <w:szCs w:val="24"/>
          <w:lang w:val="en-US"/>
        </w:rPr>
        <w:t xml:space="preserve">. </w:t>
      </w:r>
      <w:r w:rsidR="00D65FF4">
        <w:rPr>
          <w:rFonts w:ascii="Times New Roman" w:hAnsi="Times New Roman" w:cs="Times New Roman"/>
          <w:sz w:val="24"/>
          <w:szCs w:val="24"/>
          <w:lang w:val="en-US"/>
        </w:rPr>
        <w:t xml:space="preserve">In that case maximum volume of blood will be 25 ml. </w:t>
      </w:r>
      <w:r w:rsidRPr="007B140B">
        <w:rPr>
          <w:rFonts w:ascii="Times New Roman" w:hAnsi="Times New Roman" w:cs="Times New Roman"/>
          <w:iCs/>
          <w:color w:val="000000" w:themeColor="text1"/>
          <w:sz w:val="24"/>
          <w:szCs w:val="24"/>
          <w:lang w:val="en-US"/>
        </w:rPr>
        <w:t xml:space="preserve">The samples will be analyzed </w:t>
      </w:r>
      <w:r w:rsidR="000968BC">
        <w:rPr>
          <w:rFonts w:ascii="Times New Roman" w:hAnsi="Times New Roman" w:cs="Times New Roman"/>
          <w:iCs/>
          <w:color w:val="000000" w:themeColor="text1"/>
          <w:sz w:val="24"/>
          <w:szCs w:val="24"/>
          <w:lang w:val="en-US"/>
        </w:rPr>
        <w:t xml:space="preserve">locally </w:t>
      </w:r>
      <w:r w:rsidRPr="007B140B">
        <w:rPr>
          <w:rFonts w:ascii="Times New Roman" w:hAnsi="Times New Roman" w:cs="Times New Roman"/>
          <w:iCs/>
          <w:color w:val="000000" w:themeColor="text1"/>
          <w:sz w:val="24"/>
          <w:szCs w:val="24"/>
          <w:lang w:val="en-US"/>
        </w:rPr>
        <w:t xml:space="preserve">at the accredited department of clinical chemistry at each study center’s </w:t>
      </w:r>
      <w:r w:rsidRPr="007B140B">
        <w:rPr>
          <w:rFonts w:ascii="Times New Roman" w:hAnsi="Times New Roman" w:cs="Times New Roman"/>
          <w:iCs/>
          <w:color w:val="000000" w:themeColor="text1"/>
          <w:sz w:val="24"/>
          <w:szCs w:val="24"/>
          <w:lang w:val="en-US"/>
        </w:rPr>
        <w:lastRenderedPageBreak/>
        <w:t>institution.</w:t>
      </w:r>
      <w:r w:rsidRPr="007B140B">
        <w:rPr>
          <w:rFonts w:ascii="Times New Roman" w:hAnsi="Times New Roman" w:cs="Times New Roman"/>
          <w:sz w:val="24"/>
          <w:szCs w:val="24"/>
          <w:lang w:val="en-US"/>
        </w:rPr>
        <w:t xml:space="preserve"> The samples of venous blood will be destroyed immediately after analysis, but the results will be archived</w:t>
      </w:r>
      <w:r w:rsidR="00E669C1" w:rsidRPr="007B140B">
        <w:rPr>
          <w:rFonts w:ascii="Times New Roman" w:hAnsi="Times New Roman" w:cs="Times New Roman"/>
          <w:sz w:val="24"/>
          <w:szCs w:val="24"/>
          <w:lang w:val="en-US"/>
        </w:rPr>
        <w:t xml:space="preserve"> as source documents</w:t>
      </w:r>
      <w:r w:rsidR="00F400DE" w:rsidRPr="007B140B">
        <w:rPr>
          <w:rFonts w:ascii="Times New Roman" w:hAnsi="Times New Roman" w:cs="Times New Roman"/>
          <w:sz w:val="24"/>
          <w:szCs w:val="24"/>
          <w:lang w:val="en-US"/>
        </w:rPr>
        <w:t xml:space="preserve"> (see below)</w:t>
      </w:r>
      <w:r w:rsidRPr="007B140B">
        <w:rPr>
          <w:rFonts w:ascii="Times New Roman" w:hAnsi="Times New Roman" w:cs="Times New Roman"/>
          <w:sz w:val="24"/>
          <w:szCs w:val="24"/>
          <w:lang w:val="en-US"/>
        </w:rPr>
        <w:t>.</w:t>
      </w:r>
    </w:p>
    <w:p w14:paraId="67ACC5A8" w14:textId="77777777" w:rsidR="00F077FF" w:rsidRPr="007B140B" w:rsidRDefault="00F077FF" w:rsidP="00AB70C9">
      <w:pPr>
        <w:rPr>
          <w:rFonts w:ascii="Times New Roman" w:hAnsi="Times New Roman" w:cs="Times New Roman"/>
          <w:sz w:val="24"/>
          <w:szCs w:val="24"/>
          <w:lang w:val="en-US"/>
        </w:rPr>
      </w:pPr>
    </w:p>
    <w:p w14:paraId="5FEDF8AB" w14:textId="10A609AC" w:rsidR="003A2785" w:rsidRPr="007B140B" w:rsidRDefault="00F077FF" w:rsidP="00D36611">
      <w:pPr>
        <w:pStyle w:val="Formatmall3"/>
        <w:rPr>
          <w:rFonts w:cs="Times New Roman"/>
          <w:lang w:val="en-US"/>
        </w:rPr>
      </w:pPr>
      <w:bookmarkStart w:id="85" w:name="_Toc99001424"/>
      <w:r w:rsidRPr="007B140B">
        <w:rPr>
          <w:rFonts w:cs="Times New Roman"/>
          <w:lang w:val="en-US"/>
        </w:rPr>
        <w:t>Documentation</w:t>
      </w:r>
      <w:bookmarkEnd w:id="85"/>
    </w:p>
    <w:p w14:paraId="07F87C4A" w14:textId="5BFA5069" w:rsidR="00F077FF" w:rsidRPr="007B140B" w:rsidRDefault="00F077FF" w:rsidP="003A2785">
      <w:p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The sponsor will keep a Trial Master File and investigators will keep an Investigator Site File containing the essential documents </w:t>
      </w:r>
      <w:r w:rsidR="00671002" w:rsidRPr="007B140B">
        <w:rPr>
          <w:rFonts w:ascii="Times New Roman" w:hAnsi="Times New Roman" w:cs="Times New Roman"/>
          <w:sz w:val="24"/>
          <w:szCs w:val="24"/>
          <w:lang w:val="en-US"/>
        </w:rPr>
        <w:t>of the trial, as</w:t>
      </w:r>
      <w:r w:rsidRPr="007B140B">
        <w:rPr>
          <w:rFonts w:ascii="Times New Roman" w:hAnsi="Times New Roman" w:cs="Times New Roman"/>
          <w:sz w:val="24"/>
          <w:szCs w:val="24"/>
          <w:lang w:val="en-US"/>
        </w:rPr>
        <w:t xml:space="preserve"> defined in ICH GCP.</w:t>
      </w:r>
      <w:r w:rsidRPr="007B140B">
        <w:rPr>
          <w:rFonts w:ascii="Times New Roman" w:hAnsi="Times New Roman" w:cs="Times New Roman"/>
          <w:sz w:val="24"/>
          <w:szCs w:val="24"/>
          <w:lang w:val="en-US"/>
        </w:rPr>
        <w:fldChar w:fldCharType="begin" w:fldLock="1"/>
      </w:r>
      <w:r w:rsidR="00272560">
        <w:rPr>
          <w:rFonts w:ascii="Times New Roman" w:hAnsi="Times New Roman" w:cs="Times New Roman"/>
          <w:sz w:val="24"/>
          <w:szCs w:val="24"/>
          <w:lang w:val="en-US"/>
        </w:rPr>
        <w:instrText>ADDIN CSL_CITATION {"citationItems":[{"id":"ITEM-1","itemData":{"author":[{"dropping-particle":"","family":"International Conference on Harmonisation of Technical Requirements for Registration of Pharmaceuticals for Human Use","given":"","non-dropping-particle":"","parse-names":false,"suffix":""}],"id":"ITEM-1","issued":{"date-parts":[["2016"]]},"title":"ICH harmonised guideline E6(R2): integrated addendum to ICH E6(R1): guideline for good clinical practice","type":"book"},"uris":["http://www.mendeley.com/documents/?uuid=e64ecd0c-e131-4d95-b40a-f31ecd63cce2"]}],"mendeley":{"formattedCitation":"&lt;sup&gt;&lt;sup&gt;54&lt;/sup&gt;&lt;/sup&gt;","plainTextFormattedCitation":"54","previouslyFormattedCitation":"&lt;sup&gt;&lt;sup&gt;54&lt;/sup&gt;&lt;/sup&gt;"},"properties":{"noteIndex":0},"schema":"https://github.com/citation-style-language/schema/raw/master/csl-citation.json"}</w:instrText>
      </w:r>
      <w:r w:rsidRPr="007B140B">
        <w:rPr>
          <w:rFonts w:ascii="Times New Roman" w:hAnsi="Times New Roman" w:cs="Times New Roman"/>
          <w:sz w:val="24"/>
          <w:szCs w:val="24"/>
          <w:lang w:val="en-US"/>
        </w:rPr>
        <w:fldChar w:fldCharType="separate"/>
      </w:r>
      <w:r w:rsidR="0081127D" w:rsidRPr="0081127D">
        <w:rPr>
          <w:rFonts w:ascii="Times New Roman" w:hAnsi="Times New Roman" w:cs="Times New Roman"/>
          <w:noProof/>
          <w:sz w:val="24"/>
          <w:szCs w:val="24"/>
          <w:vertAlign w:val="superscript"/>
          <w:lang w:val="en-US"/>
        </w:rPr>
        <w:t>54</w:t>
      </w:r>
      <w:r w:rsidRPr="007B140B">
        <w:rPr>
          <w:rFonts w:ascii="Times New Roman" w:hAnsi="Times New Roman" w:cs="Times New Roman"/>
          <w:sz w:val="24"/>
          <w:szCs w:val="24"/>
          <w:lang w:val="en-US"/>
        </w:rPr>
        <w:fldChar w:fldCharType="end"/>
      </w:r>
      <w:r w:rsidR="00575304" w:rsidRPr="007B140B">
        <w:rPr>
          <w:rFonts w:ascii="Times New Roman" w:hAnsi="Times New Roman" w:cs="Times New Roman"/>
          <w:sz w:val="24"/>
          <w:szCs w:val="24"/>
          <w:lang w:val="en-US"/>
        </w:rPr>
        <w:t xml:space="preserve"> These documents </w:t>
      </w:r>
      <w:r w:rsidRPr="007B140B">
        <w:rPr>
          <w:rFonts w:ascii="Times New Roman" w:hAnsi="Times New Roman" w:cs="Times New Roman"/>
          <w:sz w:val="24"/>
          <w:szCs w:val="24"/>
          <w:lang w:val="en-US"/>
        </w:rPr>
        <w:t>will be archived in accordance with each institution</w:t>
      </w:r>
      <w:r w:rsidR="00040388" w:rsidRPr="007B140B">
        <w:rPr>
          <w:rFonts w:ascii="Times New Roman" w:hAnsi="Times New Roman" w:cs="Times New Roman"/>
          <w:sz w:val="24"/>
          <w:szCs w:val="24"/>
          <w:lang w:val="en-US"/>
        </w:rPr>
        <w:t>’</w:t>
      </w:r>
      <w:r w:rsidRPr="007B140B">
        <w:rPr>
          <w:rFonts w:ascii="Times New Roman" w:hAnsi="Times New Roman" w:cs="Times New Roman"/>
          <w:sz w:val="24"/>
          <w:szCs w:val="24"/>
          <w:lang w:val="en-US"/>
        </w:rPr>
        <w:t>s local rules,</w:t>
      </w:r>
      <w:r w:rsidR="00186050" w:rsidRPr="007B140B">
        <w:rPr>
          <w:rFonts w:ascii="Times New Roman" w:hAnsi="Times New Roman" w:cs="Times New Roman"/>
          <w:sz w:val="24"/>
          <w:szCs w:val="24"/>
          <w:lang w:val="en-US"/>
        </w:rPr>
        <w:t xml:space="preserve"> but for a minimum of 15 years.</w:t>
      </w:r>
    </w:p>
    <w:p w14:paraId="03ABD881" w14:textId="7FB9F2C7" w:rsidR="00304185" w:rsidRPr="007B140B" w:rsidRDefault="00E85807" w:rsidP="003A2785">
      <w:pPr>
        <w:rPr>
          <w:rFonts w:ascii="Times New Roman" w:eastAsia="Times New Roman" w:hAnsi="Times New Roman" w:cs="Times New Roman"/>
          <w:sz w:val="24"/>
          <w:szCs w:val="24"/>
          <w:lang w:val="en-US" w:eastAsia="sv-SE"/>
        </w:rPr>
      </w:pPr>
      <w:r>
        <w:rPr>
          <w:rFonts w:ascii="Times New Roman" w:eastAsia="Times New Roman" w:hAnsi="Times New Roman" w:cs="Times New Roman"/>
          <w:sz w:val="24"/>
          <w:szCs w:val="24"/>
          <w:lang w:val="en-US" w:eastAsia="sv-SE"/>
        </w:rPr>
        <w:t>A</w:t>
      </w:r>
      <w:r w:rsidRPr="007B140B">
        <w:rPr>
          <w:rFonts w:ascii="Times New Roman" w:eastAsia="Times New Roman" w:hAnsi="Times New Roman" w:cs="Times New Roman"/>
          <w:sz w:val="24"/>
          <w:szCs w:val="24"/>
          <w:lang w:val="en-US" w:eastAsia="sv-SE"/>
        </w:rPr>
        <w:t>s stated in the ICH GCP</w:t>
      </w:r>
      <w:r>
        <w:rPr>
          <w:rFonts w:ascii="Times New Roman" w:eastAsia="Times New Roman" w:hAnsi="Times New Roman" w:cs="Times New Roman"/>
          <w:sz w:val="24"/>
          <w:szCs w:val="24"/>
          <w:lang w:val="en-US" w:eastAsia="sv-SE"/>
        </w:rPr>
        <w:t>,</w:t>
      </w:r>
      <w:r w:rsidRPr="007B140B">
        <w:rPr>
          <w:rFonts w:ascii="Times New Roman" w:eastAsia="Times New Roman" w:hAnsi="Times New Roman" w:cs="Times New Roman"/>
          <w:sz w:val="24"/>
          <w:szCs w:val="24"/>
          <w:lang w:val="en-US" w:eastAsia="sv-SE"/>
        </w:rPr>
        <w:fldChar w:fldCharType="begin" w:fldLock="1"/>
      </w:r>
      <w:r w:rsidR="00272560">
        <w:rPr>
          <w:rFonts w:ascii="Times New Roman" w:eastAsia="Times New Roman" w:hAnsi="Times New Roman" w:cs="Times New Roman"/>
          <w:sz w:val="24"/>
          <w:szCs w:val="24"/>
          <w:lang w:val="en-US" w:eastAsia="sv-SE"/>
        </w:rPr>
        <w:instrText>ADDIN CSL_CITATION {"citationItems":[{"id":"ITEM-1","itemData":{"author":[{"dropping-particle":"","family":"International Conference on Harmonisation of Technical Requirements for Registration of Pharmaceuticals for Human Use","given":"","non-dropping-particle":"","parse-names":false,"suffix":""}],"id":"ITEM-1","issued":{"date-parts":[["2016"]]},"title":"ICH harmonised guideline E6(R2): integrated addendum to ICH E6(R1): guideline for good clinical practice","type":"book"},"uris":["http://www.mendeley.com/documents/?uuid=e64ecd0c-e131-4d95-b40a-f31ecd63cce2"]}],"mendeley":{"formattedCitation":"&lt;sup&gt;&lt;sup&gt;54&lt;/sup&gt;&lt;/sup&gt;","plainTextFormattedCitation":"54","previouslyFormattedCitation":"&lt;sup&gt;&lt;sup&gt;54&lt;/sup&gt;&lt;/sup&gt;"},"properties":{"noteIndex":0},"schema":"https://github.com/citation-style-language/schema/raw/master/csl-citation.json"}</w:instrText>
      </w:r>
      <w:r w:rsidRPr="007B140B">
        <w:rPr>
          <w:rFonts w:ascii="Times New Roman" w:eastAsia="Times New Roman" w:hAnsi="Times New Roman" w:cs="Times New Roman"/>
          <w:sz w:val="24"/>
          <w:szCs w:val="24"/>
          <w:lang w:val="en-US" w:eastAsia="sv-SE"/>
        </w:rPr>
        <w:fldChar w:fldCharType="separate"/>
      </w:r>
      <w:r w:rsidR="0081127D" w:rsidRPr="0081127D">
        <w:rPr>
          <w:rFonts w:ascii="Times New Roman" w:eastAsia="Times New Roman" w:hAnsi="Times New Roman" w:cs="Times New Roman"/>
          <w:noProof/>
          <w:sz w:val="24"/>
          <w:szCs w:val="24"/>
          <w:vertAlign w:val="superscript"/>
          <w:lang w:val="en-US" w:eastAsia="sv-SE"/>
        </w:rPr>
        <w:t>54</w:t>
      </w:r>
      <w:r w:rsidRPr="007B140B">
        <w:rPr>
          <w:rFonts w:ascii="Times New Roman" w:eastAsia="Times New Roman" w:hAnsi="Times New Roman" w:cs="Times New Roman"/>
          <w:sz w:val="24"/>
          <w:szCs w:val="24"/>
          <w:lang w:val="en-US" w:eastAsia="sv-SE"/>
        </w:rPr>
        <w:fldChar w:fldCharType="end"/>
      </w:r>
      <w:r w:rsidRPr="007B140B">
        <w:rPr>
          <w:rFonts w:ascii="Times New Roman" w:eastAsia="Times New Roman" w:hAnsi="Times New Roman" w:cs="Times New Roman"/>
          <w:sz w:val="24"/>
          <w:szCs w:val="24"/>
          <w:lang w:val="en-US" w:eastAsia="sv-SE"/>
        </w:rPr>
        <w:t xml:space="preserve"> </w:t>
      </w:r>
      <w:r w:rsidR="00EE7EDE" w:rsidRPr="007B140B">
        <w:rPr>
          <w:rFonts w:ascii="Times New Roman" w:eastAsia="Times New Roman" w:hAnsi="Times New Roman" w:cs="Times New Roman"/>
          <w:sz w:val="24"/>
          <w:szCs w:val="24"/>
          <w:lang w:val="en-US" w:eastAsia="sv-SE"/>
        </w:rPr>
        <w:t>i</w:t>
      </w:r>
      <w:r w:rsidR="003A2785" w:rsidRPr="007B140B">
        <w:rPr>
          <w:rFonts w:ascii="Times New Roman" w:eastAsia="Times New Roman" w:hAnsi="Times New Roman" w:cs="Times New Roman"/>
          <w:sz w:val="24"/>
          <w:szCs w:val="24"/>
          <w:lang w:val="en-US" w:eastAsia="sv-SE"/>
        </w:rPr>
        <w:t>nvestigator</w:t>
      </w:r>
      <w:r w:rsidR="00EE7EDE" w:rsidRPr="007B140B">
        <w:rPr>
          <w:rFonts w:ascii="Times New Roman" w:eastAsia="Times New Roman" w:hAnsi="Times New Roman" w:cs="Times New Roman"/>
          <w:sz w:val="24"/>
          <w:szCs w:val="24"/>
          <w:lang w:val="en-US" w:eastAsia="sv-SE"/>
        </w:rPr>
        <w:t>s</w:t>
      </w:r>
      <w:r w:rsidR="003A2785" w:rsidRPr="007B140B">
        <w:rPr>
          <w:rFonts w:ascii="Times New Roman" w:eastAsia="Times New Roman" w:hAnsi="Times New Roman" w:cs="Times New Roman"/>
          <w:sz w:val="24"/>
          <w:szCs w:val="24"/>
          <w:lang w:val="en-US" w:eastAsia="sv-SE"/>
        </w:rPr>
        <w:t xml:space="preserve"> must keep source documents, which</w:t>
      </w:r>
      <w:r w:rsidR="00D62FB1" w:rsidRPr="007B140B">
        <w:rPr>
          <w:rFonts w:ascii="Times New Roman" w:eastAsia="Times New Roman" w:hAnsi="Times New Roman" w:cs="Times New Roman"/>
          <w:sz w:val="24"/>
          <w:szCs w:val="24"/>
          <w:lang w:val="en-US" w:eastAsia="sv-SE"/>
        </w:rPr>
        <w:t xml:space="preserve"> include (but are not limited to)</w:t>
      </w:r>
      <w:r w:rsidR="003A2785" w:rsidRPr="007B140B">
        <w:rPr>
          <w:rFonts w:ascii="Times New Roman" w:eastAsia="Times New Roman" w:hAnsi="Times New Roman" w:cs="Times New Roman"/>
          <w:sz w:val="24"/>
          <w:szCs w:val="24"/>
          <w:lang w:val="en-US" w:eastAsia="sv-SE"/>
        </w:rPr>
        <w:t xml:space="preserve"> eCRFs, questionnaires, laboratory </w:t>
      </w:r>
      <w:r w:rsidR="00040388" w:rsidRPr="007B140B">
        <w:rPr>
          <w:rFonts w:ascii="Times New Roman" w:eastAsia="Times New Roman" w:hAnsi="Times New Roman" w:cs="Times New Roman"/>
          <w:sz w:val="24"/>
          <w:szCs w:val="24"/>
          <w:lang w:val="en-US" w:eastAsia="sv-SE"/>
        </w:rPr>
        <w:t>reports</w:t>
      </w:r>
      <w:r w:rsidR="00072D17">
        <w:rPr>
          <w:rFonts w:ascii="Times New Roman" w:eastAsia="Times New Roman" w:hAnsi="Times New Roman" w:cs="Times New Roman"/>
          <w:sz w:val="24"/>
          <w:szCs w:val="24"/>
          <w:lang w:val="en-US" w:eastAsia="sv-SE"/>
        </w:rPr>
        <w:t>, and registry data</w:t>
      </w:r>
      <w:r w:rsidR="003A2785" w:rsidRPr="007B140B">
        <w:rPr>
          <w:rFonts w:ascii="Times New Roman" w:eastAsia="Times New Roman" w:hAnsi="Times New Roman" w:cs="Times New Roman"/>
          <w:sz w:val="24"/>
          <w:szCs w:val="24"/>
          <w:lang w:val="en-US" w:eastAsia="sv-SE"/>
        </w:rPr>
        <w:t xml:space="preserve"> to enable reconstruction and evaluation of the trial’s results</w:t>
      </w:r>
      <w:r>
        <w:rPr>
          <w:rFonts w:ascii="Times New Roman" w:eastAsia="Times New Roman" w:hAnsi="Times New Roman" w:cs="Times New Roman"/>
          <w:sz w:val="24"/>
          <w:szCs w:val="24"/>
          <w:lang w:val="en-US" w:eastAsia="sv-SE"/>
        </w:rPr>
        <w:t>.</w:t>
      </w:r>
      <w:r w:rsidR="003A2785" w:rsidRPr="007B140B">
        <w:rPr>
          <w:rFonts w:ascii="Times New Roman" w:eastAsia="Times New Roman" w:hAnsi="Times New Roman" w:cs="Times New Roman"/>
          <w:sz w:val="24"/>
          <w:szCs w:val="24"/>
          <w:lang w:val="en-US" w:eastAsia="sv-SE"/>
        </w:rPr>
        <w:t xml:space="preserve"> </w:t>
      </w:r>
      <w:r w:rsidR="0031788C" w:rsidRPr="007B140B">
        <w:rPr>
          <w:rFonts w:ascii="Times New Roman" w:hAnsi="Times New Roman" w:cs="Times New Roman"/>
          <w:color w:val="000000" w:themeColor="text1"/>
          <w:sz w:val="24"/>
          <w:szCs w:val="24"/>
          <w:lang w:val="en-US"/>
        </w:rPr>
        <w:t>Investigators will also keep a</w:t>
      </w:r>
      <w:r w:rsidR="004E422B" w:rsidRPr="007B140B">
        <w:rPr>
          <w:rFonts w:ascii="Times New Roman" w:hAnsi="Times New Roman" w:cs="Times New Roman"/>
          <w:color w:val="000000" w:themeColor="text1"/>
          <w:sz w:val="24"/>
          <w:szCs w:val="24"/>
          <w:lang w:val="en-US"/>
        </w:rPr>
        <w:t xml:space="preserve"> drug accountability log</w:t>
      </w:r>
      <w:r w:rsidR="008D44C5" w:rsidRPr="007B140B">
        <w:rPr>
          <w:rFonts w:ascii="Times New Roman" w:hAnsi="Times New Roman" w:cs="Times New Roman"/>
          <w:color w:val="000000" w:themeColor="text1"/>
          <w:sz w:val="24"/>
          <w:szCs w:val="24"/>
          <w:lang w:val="en-US"/>
        </w:rPr>
        <w:t xml:space="preserve"> so that investigational products can be </w:t>
      </w:r>
      <w:proofErr w:type="gramStart"/>
      <w:r w:rsidR="008D44C5" w:rsidRPr="007B140B">
        <w:rPr>
          <w:rFonts w:ascii="Times New Roman" w:hAnsi="Times New Roman" w:cs="Times New Roman"/>
          <w:color w:val="000000" w:themeColor="text1"/>
          <w:sz w:val="24"/>
          <w:szCs w:val="24"/>
          <w:lang w:val="en-US"/>
        </w:rPr>
        <w:t>tracked</w:t>
      </w:r>
      <w:proofErr w:type="gramEnd"/>
      <w:r w:rsidR="00F3039D">
        <w:rPr>
          <w:rFonts w:ascii="Times New Roman" w:hAnsi="Times New Roman" w:cs="Times New Roman"/>
          <w:color w:val="000000" w:themeColor="text1"/>
          <w:sz w:val="24"/>
          <w:szCs w:val="24"/>
          <w:lang w:val="en-US"/>
        </w:rPr>
        <w:t xml:space="preserve"> and </w:t>
      </w:r>
      <w:r w:rsidR="004E422B" w:rsidRPr="007B140B">
        <w:rPr>
          <w:rFonts w:ascii="Times New Roman" w:hAnsi="Times New Roman" w:cs="Times New Roman"/>
          <w:color w:val="000000" w:themeColor="text1"/>
          <w:sz w:val="24"/>
          <w:szCs w:val="24"/>
          <w:lang w:val="en-US"/>
        </w:rPr>
        <w:t>a screening</w:t>
      </w:r>
      <w:r w:rsidR="0031788C" w:rsidRPr="007B140B">
        <w:rPr>
          <w:rFonts w:ascii="Times New Roman" w:hAnsi="Times New Roman" w:cs="Times New Roman"/>
          <w:color w:val="000000" w:themeColor="text1"/>
          <w:sz w:val="24"/>
          <w:szCs w:val="24"/>
          <w:lang w:val="en-US"/>
        </w:rPr>
        <w:t xml:space="preserve"> log of persons </w:t>
      </w:r>
      <w:r w:rsidR="004E3C43">
        <w:rPr>
          <w:rFonts w:ascii="Times New Roman" w:hAnsi="Times New Roman" w:cs="Times New Roman"/>
          <w:color w:val="000000" w:themeColor="text1"/>
          <w:sz w:val="24"/>
          <w:szCs w:val="24"/>
          <w:lang w:val="en-US"/>
        </w:rPr>
        <w:t xml:space="preserve">screened, </w:t>
      </w:r>
      <w:r w:rsidR="0031788C" w:rsidRPr="007B140B">
        <w:rPr>
          <w:rFonts w:ascii="Times New Roman" w:hAnsi="Times New Roman" w:cs="Times New Roman"/>
          <w:color w:val="000000" w:themeColor="text1"/>
          <w:sz w:val="24"/>
          <w:szCs w:val="24"/>
          <w:lang w:val="en-US"/>
        </w:rPr>
        <w:t xml:space="preserve">invited to </w:t>
      </w:r>
      <w:r w:rsidR="004E3C43">
        <w:rPr>
          <w:rFonts w:ascii="Times New Roman" w:hAnsi="Times New Roman" w:cs="Times New Roman"/>
          <w:color w:val="000000" w:themeColor="text1"/>
          <w:sz w:val="24"/>
          <w:szCs w:val="24"/>
          <w:lang w:val="en-US"/>
        </w:rPr>
        <w:t xml:space="preserve">a </w:t>
      </w:r>
      <w:r w:rsidR="0031788C" w:rsidRPr="007B140B">
        <w:rPr>
          <w:rFonts w:ascii="Times New Roman" w:hAnsi="Times New Roman" w:cs="Times New Roman"/>
          <w:color w:val="000000" w:themeColor="text1"/>
          <w:sz w:val="24"/>
          <w:szCs w:val="24"/>
          <w:lang w:val="en-US"/>
        </w:rPr>
        <w:t>screening</w:t>
      </w:r>
      <w:r w:rsidR="008D44C5" w:rsidRPr="007B140B">
        <w:rPr>
          <w:rFonts w:ascii="Times New Roman" w:hAnsi="Times New Roman" w:cs="Times New Roman"/>
          <w:color w:val="000000" w:themeColor="text1"/>
          <w:sz w:val="24"/>
          <w:szCs w:val="24"/>
          <w:lang w:val="en-US"/>
        </w:rPr>
        <w:t xml:space="preserve"> </w:t>
      </w:r>
      <w:r w:rsidR="004E3C43">
        <w:rPr>
          <w:rFonts w:ascii="Times New Roman" w:hAnsi="Times New Roman" w:cs="Times New Roman"/>
          <w:color w:val="000000" w:themeColor="text1"/>
          <w:sz w:val="24"/>
          <w:szCs w:val="24"/>
          <w:lang w:val="en-US"/>
        </w:rPr>
        <w:t xml:space="preserve">visit </w:t>
      </w:r>
      <w:r w:rsidR="008D44C5" w:rsidRPr="007B140B">
        <w:rPr>
          <w:rFonts w:ascii="Times New Roman" w:hAnsi="Times New Roman" w:cs="Times New Roman"/>
          <w:color w:val="000000" w:themeColor="text1"/>
          <w:sz w:val="24"/>
          <w:szCs w:val="24"/>
          <w:lang w:val="en-US"/>
        </w:rPr>
        <w:t>and</w:t>
      </w:r>
      <w:r w:rsidR="00040388" w:rsidRPr="007B140B">
        <w:rPr>
          <w:rFonts w:ascii="Times New Roman" w:hAnsi="Times New Roman" w:cs="Times New Roman"/>
          <w:color w:val="000000" w:themeColor="text1"/>
          <w:sz w:val="24"/>
          <w:szCs w:val="24"/>
          <w:lang w:val="en-US"/>
        </w:rPr>
        <w:t xml:space="preserve"> the number</w:t>
      </w:r>
      <w:r w:rsidR="008D44C5" w:rsidRPr="007B140B">
        <w:rPr>
          <w:rFonts w:ascii="Times New Roman" w:hAnsi="Times New Roman" w:cs="Times New Roman"/>
          <w:color w:val="000000" w:themeColor="text1"/>
          <w:sz w:val="24"/>
          <w:szCs w:val="24"/>
          <w:lang w:val="en-US"/>
        </w:rPr>
        <w:t xml:space="preserve"> attending </w:t>
      </w:r>
      <w:r w:rsidR="004E3C43">
        <w:rPr>
          <w:rFonts w:ascii="Times New Roman" w:hAnsi="Times New Roman" w:cs="Times New Roman"/>
          <w:color w:val="000000" w:themeColor="text1"/>
          <w:sz w:val="24"/>
          <w:szCs w:val="24"/>
          <w:lang w:val="en-US"/>
        </w:rPr>
        <w:t xml:space="preserve">a </w:t>
      </w:r>
      <w:r w:rsidR="008D44C5" w:rsidRPr="007B140B">
        <w:rPr>
          <w:rFonts w:ascii="Times New Roman" w:hAnsi="Times New Roman" w:cs="Times New Roman"/>
          <w:color w:val="000000" w:themeColor="text1"/>
          <w:sz w:val="24"/>
          <w:szCs w:val="24"/>
          <w:lang w:val="en-US"/>
        </w:rPr>
        <w:t>screening</w:t>
      </w:r>
      <w:r w:rsidR="004E3C43">
        <w:rPr>
          <w:rFonts w:ascii="Times New Roman" w:hAnsi="Times New Roman" w:cs="Times New Roman"/>
          <w:color w:val="000000" w:themeColor="text1"/>
          <w:sz w:val="24"/>
          <w:szCs w:val="24"/>
          <w:lang w:val="en-US"/>
        </w:rPr>
        <w:t xml:space="preserve"> visit</w:t>
      </w:r>
      <w:r w:rsidR="0031788C" w:rsidRPr="007B140B">
        <w:rPr>
          <w:rFonts w:ascii="Times New Roman" w:hAnsi="Times New Roman" w:cs="Times New Roman"/>
          <w:color w:val="000000" w:themeColor="text1"/>
          <w:sz w:val="24"/>
          <w:szCs w:val="24"/>
          <w:lang w:val="en-US"/>
        </w:rPr>
        <w:t xml:space="preserve">. </w:t>
      </w:r>
      <w:r w:rsidR="003A2785" w:rsidRPr="007B140B">
        <w:rPr>
          <w:rFonts w:ascii="Times New Roman" w:eastAsia="Times New Roman" w:hAnsi="Times New Roman" w:cs="Times New Roman"/>
          <w:sz w:val="24"/>
          <w:szCs w:val="24"/>
          <w:lang w:val="en-US" w:eastAsia="sv-SE"/>
        </w:rPr>
        <w:t>The investigator must ensure that all source documents</w:t>
      </w:r>
      <w:r w:rsidR="007073E7" w:rsidRPr="007B140B">
        <w:rPr>
          <w:rFonts w:ascii="Times New Roman" w:eastAsia="Times New Roman" w:hAnsi="Times New Roman" w:cs="Times New Roman"/>
          <w:sz w:val="24"/>
          <w:szCs w:val="24"/>
          <w:lang w:val="en-US" w:eastAsia="sv-SE"/>
        </w:rPr>
        <w:t xml:space="preserve"> are accessible for monitoring</w:t>
      </w:r>
      <w:r w:rsidR="003A2785" w:rsidRPr="007B140B">
        <w:rPr>
          <w:rFonts w:ascii="Times New Roman" w:eastAsia="Times New Roman" w:hAnsi="Times New Roman" w:cs="Times New Roman"/>
          <w:sz w:val="24"/>
          <w:szCs w:val="24"/>
          <w:lang w:val="en-US" w:eastAsia="sv-SE"/>
        </w:rPr>
        <w:t xml:space="preserve"> and </w:t>
      </w:r>
      <w:r w:rsidR="000F66E9" w:rsidRPr="007B140B">
        <w:rPr>
          <w:rFonts w:ascii="Times New Roman" w:eastAsia="Times New Roman" w:hAnsi="Times New Roman" w:cs="Times New Roman"/>
          <w:sz w:val="24"/>
          <w:szCs w:val="24"/>
          <w:lang w:val="en-US" w:eastAsia="sv-SE"/>
        </w:rPr>
        <w:t>inspection</w:t>
      </w:r>
      <w:r w:rsidR="005242DE" w:rsidRPr="007B140B">
        <w:rPr>
          <w:rFonts w:ascii="Times New Roman" w:eastAsia="Times New Roman" w:hAnsi="Times New Roman" w:cs="Times New Roman"/>
          <w:sz w:val="24"/>
          <w:szCs w:val="24"/>
          <w:lang w:val="en-US" w:eastAsia="sv-SE"/>
        </w:rPr>
        <w:t>.</w:t>
      </w:r>
    </w:p>
    <w:p w14:paraId="22C55E84" w14:textId="5FC92FBB" w:rsidR="004670FC" w:rsidRPr="007B140B" w:rsidRDefault="004670FC" w:rsidP="00FD6D2C">
      <w:pPr>
        <w:rPr>
          <w:rFonts w:ascii="Times New Roman" w:hAnsi="Times New Roman" w:cs="Times New Roman"/>
          <w:sz w:val="24"/>
          <w:szCs w:val="24"/>
          <w:lang w:val="en-US"/>
        </w:rPr>
      </w:pPr>
    </w:p>
    <w:p w14:paraId="44391517" w14:textId="4EA73832" w:rsidR="002C4D25" w:rsidRPr="007B140B" w:rsidRDefault="002C4D25" w:rsidP="00D36611">
      <w:pPr>
        <w:pStyle w:val="Formatmall3"/>
        <w:rPr>
          <w:rFonts w:cs="Times New Roman"/>
          <w:lang w:val="en-US"/>
        </w:rPr>
      </w:pPr>
      <w:bookmarkStart w:id="86" w:name="_Toc99001425"/>
      <w:r w:rsidRPr="007B140B">
        <w:rPr>
          <w:rFonts w:cs="Times New Roman"/>
          <w:lang w:val="en-US"/>
        </w:rPr>
        <w:t>Data management</w:t>
      </w:r>
      <w:bookmarkEnd w:id="86"/>
    </w:p>
    <w:p w14:paraId="1972407A" w14:textId="3A30D55D" w:rsidR="00D01738" w:rsidRPr="007B140B" w:rsidRDefault="006E6B8E" w:rsidP="00FD6D2C">
      <w:pPr>
        <w:rPr>
          <w:rFonts w:ascii="Times New Roman" w:hAnsi="Times New Roman" w:cs="Times New Roman"/>
          <w:sz w:val="24"/>
          <w:szCs w:val="24"/>
          <w:lang w:val="en-US"/>
        </w:rPr>
      </w:pPr>
      <w:r w:rsidRPr="007B140B">
        <w:rPr>
          <w:rFonts w:ascii="Times New Roman" w:hAnsi="Times New Roman" w:cs="Times New Roman"/>
          <w:sz w:val="24"/>
          <w:szCs w:val="24"/>
          <w:lang w:val="en-US"/>
        </w:rPr>
        <w:t>The trial statistician will continuously monitor eCRFs for accuracy and completeness (including range and logical checks)</w:t>
      </w:r>
      <w:r w:rsidR="000801F3" w:rsidRPr="007B140B">
        <w:rPr>
          <w:rFonts w:ascii="Times New Roman" w:hAnsi="Times New Roman" w:cs="Times New Roman"/>
          <w:sz w:val="24"/>
          <w:szCs w:val="24"/>
          <w:lang w:val="en-US"/>
        </w:rPr>
        <w:t xml:space="preserve"> and for compliance with this</w:t>
      </w:r>
      <w:r w:rsidRPr="007B140B">
        <w:rPr>
          <w:rFonts w:ascii="Times New Roman" w:hAnsi="Times New Roman" w:cs="Times New Roman"/>
          <w:sz w:val="24"/>
          <w:szCs w:val="24"/>
          <w:lang w:val="en-US"/>
        </w:rPr>
        <w:t xml:space="preserve"> protocol. Any inaccuracies, inconsistencies, or deviations will be reported to the appropriate study center, with a request for correction or explanation.</w:t>
      </w:r>
      <w:r w:rsidR="0071512C" w:rsidRPr="007B140B">
        <w:rPr>
          <w:rFonts w:ascii="Times New Roman" w:hAnsi="Times New Roman" w:cs="Times New Roman"/>
          <w:sz w:val="24"/>
          <w:szCs w:val="24"/>
          <w:lang w:val="en-US"/>
        </w:rPr>
        <w:t xml:space="preserve"> </w:t>
      </w:r>
      <w:r w:rsidR="00D01738" w:rsidRPr="007B140B">
        <w:rPr>
          <w:rFonts w:ascii="Times New Roman" w:hAnsi="Times New Roman" w:cs="Times New Roman"/>
          <w:sz w:val="24"/>
          <w:szCs w:val="24"/>
          <w:lang w:val="en-US"/>
        </w:rPr>
        <w:t xml:space="preserve">The </w:t>
      </w:r>
      <w:r w:rsidR="00D41EDC" w:rsidRPr="007B140B">
        <w:rPr>
          <w:rFonts w:ascii="Times New Roman" w:hAnsi="Times New Roman" w:cs="Times New Roman"/>
          <w:sz w:val="24"/>
          <w:szCs w:val="24"/>
          <w:lang w:val="en-US"/>
        </w:rPr>
        <w:t>trial</w:t>
      </w:r>
      <w:r w:rsidR="00D01738" w:rsidRPr="007B140B">
        <w:rPr>
          <w:rFonts w:ascii="Times New Roman" w:hAnsi="Times New Roman" w:cs="Times New Roman"/>
          <w:sz w:val="24"/>
          <w:szCs w:val="24"/>
          <w:lang w:val="en-US"/>
        </w:rPr>
        <w:t xml:space="preserve"> database will be backed up regularly.</w:t>
      </w:r>
      <w:r w:rsidR="002A61EB" w:rsidRPr="007B140B">
        <w:rPr>
          <w:rFonts w:ascii="Times New Roman" w:hAnsi="Times New Roman" w:cs="Times New Roman"/>
          <w:sz w:val="24"/>
          <w:szCs w:val="24"/>
          <w:lang w:val="en-US"/>
        </w:rPr>
        <w:t xml:space="preserve"> The sponsor/coordinating investigator may also appoint staff to conduct on-site monitoring to verify eCRF</w:t>
      </w:r>
      <w:r w:rsidR="003449E1" w:rsidRPr="007B140B">
        <w:rPr>
          <w:rFonts w:ascii="Times New Roman" w:hAnsi="Times New Roman" w:cs="Times New Roman"/>
          <w:sz w:val="24"/>
          <w:szCs w:val="24"/>
          <w:lang w:val="en-US"/>
        </w:rPr>
        <w:t>s</w:t>
      </w:r>
      <w:r w:rsidR="002A61EB" w:rsidRPr="007B140B">
        <w:rPr>
          <w:rFonts w:ascii="Times New Roman" w:hAnsi="Times New Roman" w:cs="Times New Roman"/>
          <w:sz w:val="24"/>
          <w:szCs w:val="24"/>
          <w:lang w:val="en-US"/>
        </w:rPr>
        <w:t xml:space="preserve"> with source documents.</w:t>
      </w:r>
      <w:r w:rsidR="0071512C" w:rsidRPr="007B140B">
        <w:rPr>
          <w:rFonts w:ascii="Times New Roman" w:hAnsi="Times New Roman" w:cs="Times New Roman"/>
          <w:sz w:val="24"/>
          <w:szCs w:val="24"/>
          <w:lang w:val="en-US"/>
        </w:rPr>
        <w:t xml:space="preserve"> A detailed plan for data management has not been developed at </w:t>
      </w:r>
      <w:r w:rsidR="009E6052" w:rsidRPr="007B140B">
        <w:rPr>
          <w:rFonts w:ascii="Times New Roman" w:hAnsi="Times New Roman" w:cs="Times New Roman"/>
          <w:sz w:val="24"/>
          <w:szCs w:val="24"/>
          <w:lang w:val="en-US"/>
        </w:rPr>
        <w:t>the time of</w:t>
      </w:r>
      <w:r w:rsidR="0071512C" w:rsidRPr="007B140B">
        <w:rPr>
          <w:rFonts w:ascii="Times New Roman" w:hAnsi="Times New Roman" w:cs="Times New Roman"/>
          <w:sz w:val="24"/>
          <w:szCs w:val="24"/>
          <w:lang w:val="en-US"/>
        </w:rPr>
        <w:t xml:space="preserve"> wri</w:t>
      </w:r>
      <w:r w:rsidR="009E6052" w:rsidRPr="007B140B">
        <w:rPr>
          <w:rFonts w:ascii="Times New Roman" w:hAnsi="Times New Roman" w:cs="Times New Roman"/>
          <w:sz w:val="24"/>
          <w:szCs w:val="24"/>
          <w:lang w:val="en-US"/>
        </w:rPr>
        <w:t xml:space="preserve">ting, but it will be attached </w:t>
      </w:r>
      <w:r w:rsidR="0007719B" w:rsidRPr="007B140B">
        <w:rPr>
          <w:rFonts w:ascii="Times New Roman" w:hAnsi="Times New Roman" w:cs="Times New Roman"/>
          <w:color w:val="000000" w:themeColor="text1"/>
          <w:sz w:val="24"/>
          <w:szCs w:val="24"/>
          <w:lang w:val="en-US"/>
        </w:rPr>
        <w:t xml:space="preserve">to </w:t>
      </w:r>
      <w:r w:rsidR="0071512C" w:rsidRPr="007B140B">
        <w:rPr>
          <w:rFonts w:ascii="Times New Roman" w:hAnsi="Times New Roman" w:cs="Times New Roman"/>
          <w:sz w:val="24"/>
          <w:szCs w:val="24"/>
          <w:lang w:val="en-US"/>
        </w:rPr>
        <w:t>the Clinical Study Report.</w:t>
      </w:r>
    </w:p>
    <w:p w14:paraId="03CEBDE9" w14:textId="77777777" w:rsidR="00D01738" w:rsidRPr="007B140B" w:rsidRDefault="00D01738" w:rsidP="00FD6D2C">
      <w:pPr>
        <w:rPr>
          <w:rFonts w:ascii="Times New Roman" w:hAnsi="Times New Roman" w:cs="Times New Roman"/>
          <w:sz w:val="24"/>
          <w:szCs w:val="24"/>
          <w:lang w:val="en-US"/>
        </w:rPr>
      </w:pPr>
    </w:p>
    <w:p w14:paraId="19B027B2" w14:textId="77777777" w:rsidR="0041561B" w:rsidRPr="007B140B" w:rsidRDefault="00CE6F42" w:rsidP="00D36611">
      <w:pPr>
        <w:pStyle w:val="Formatmall4"/>
        <w:rPr>
          <w:rFonts w:cs="Times New Roman"/>
          <w:lang w:val="en-US"/>
        </w:rPr>
      </w:pPr>
      <w:bookmarkStart w:id="87" w:name="_Toc99001426"/>
      <w:r w:rsidRPr="007B140B">
        <w:rPr>
          <w:rFonts w:cs="Times New Roman"/>
          <w:lang w:val="en-US"/>
        </w:rPr>
        <w:t>Statistical Analysis</w:t>
      </w:r>
      <w:bookmarkEnd w:id="87"/>
    </w:p>
    <w:p w14:paraId="39927F84" w14:textId="61CE09A8" w:rsidR="00822354" w:rsidRPr="007B140B" w:rsidRDefault="0041561B" w:rsidP="0041561B">
      <w:pPr>
        <w:rPr>
          <w:rFonts w:ascii="Times New Roman" w:hAnsi="Times New Roman" w:cs="Times New Roman"/>
          <w:sz w:val="24"/>
          <w:szCs w:val="24"/>
          <w:lang w:val="en-US"/>
        </w:rPr>
      </w:pPr>
      <w:r w:rsidRPr="007B140B">
        <w:rPr>
          <w:rFonts w:ascii="Times New Roman" w:hAnsi="Times New Roman" w:cs="Times New Roman"/>
          <w:sz w:val="24"/>
          <w:szCs w:val="24"/>
          <w:lang w:val="en-US"/>
        </w:rPr>
        <w:t>Statistical analyses will be performed using the latest version of R</w:t>
      </w:r>
      <w:r w:rsidR="00D9766F" w:rsidRPr="007B140B">
        <w:rPr>
          <w:rFonts w:ascii="Times New Roman" w:hAnsi="Times New Roman" w:cs="Times New Roman"/>
          <w:sz w:val="24"/>
          <w:szCs w:val="24"/>
          <w:lang w:val="en-US"/>
        </w:rPr>
        <w:t xml:space="preserve"> software</w:t>
      </w:r>
      <w:r w:rsidRPr="007B140B">
        <w:rPr>
          <w:rFonts w:ascii="Times New Roman" w:hAnsi="Times New Roman" w:cs="Times New Roman"/>
          <w:sz w:val="24"/>
          <w:szCs w:val="24"/>
          <w:lang w:val="en-US"/>
        </w:rPr>
        <w:t>.</w:t>
      </w:r>
      <w:r w:rsidR="00C66531" w:rsidRPr="007B140B">
        <w:rPr>
          <w:rFonts w:ascii="Times New Roman" w:hAnsi="Times New Roman" w:cs="Times New Roman"/>
          <w:sz w:val="24"/>
          <w:szCs w:val="24"/>
          <w:lang w:val="en-US"/>
        </w:rPr>
        <w:t xml:space="preserve"> </w:t>
      </w:r>
      <w:r w:rsidR="00A74125" w:rsidRPr="007B140B">
        <w:rPr>
          <w:rFonts w:ascii="Times New Roman" w:hAnsi="Times New Roman" w:cs="Times New Roman"/>
          <w:sz w:val="24"/>
          <w:szCs w:val="24"/>
          <w:lang w:val="en-US"/>
        </w:rPr>
        <w:t xml:space="preserve">All statistical hypothesis tests </w:t>
      </w:r>
      <w:r w:rsidR="0071044A" w:rsidRPr="007B140B">
        <w:rPr>
          <w:rFonts w:ascii="Times New Roman" w:hAnsi="Times New Roman" w:cs="Times New Roman"/>
          <w:sz w:val="24"/>
          <w:szCs w:val="24"/>
          <w:lang w:val="en-US"/>
        </w:rPr>
        <w:t xml:space="preserve">that can be two-sided </w:t>
      </w:r>
      <w:r w:rsidR="00A74125" w:rsidRPr="007B140B">
        <w:rPr>
          <w:rFonts w:ascii="Times New Roman" w:hAnsi="Times New Roman" w:cs="Times New Roman"/>
          <w:sz w:val="24"/>
          <w:szCs w:val="24"/>
          <w:lang w:val="en-US"/>
        </w:rPr>
        <w:t xml:space="preserve">will be two-sided. </w:t>
      </w:r>
      <w:r w:rsidR="00D96361" w:rsidRPr="007B140B">
        <w:rPr>
          <w:rFonts w:ascii="Times New Roman" w:hAnsi="Times New Roman" w:cs="Times New Roman"/>
          <w:sz w:val="24"/>
          <w:szCs w:val="24"/>
          <w:lang w:val="en-US"/>
        </w:rPr>
        <w:t>P-values &lt;0.05 will be considered statistically significant</w:t>
      </w:r>
      <w:r w:rsidR="004B0AAF" w:rsidRPr="007B140B">
        <w:rPr>
          <w:rFonts w:ascii="Times New Roman" w:hAnsi="Times New Roman" w:cs="Times New Roman"/>
          <w:sz w:val="24"/>
          <w:szCs w:val="24"/>
          <w:lang w:val="en-US"/>
        </w:rPr>
        <w:t>, unless otherwise specified</w:t>
      </w:r>
      <w:r w:rsidR="00D96361" w:rsidRPr="007B140B">
        <w:rPr>
          <w:rFonts w:ascii="Times New Roman" w:hAnsi="Times New Roman" w:cs="Times New Roman"/>
          <w:sz w:val="24"/>
          <w:szCs w:val="24"/>
          <w:lang w:val="en-US"/>
        </w:rPr>
        <w:t>.</w:t>
      </w:r>
      <w:r w:rsidR="00822354" w:rsidRPr="007B140B">
        <w:rPr>
          <w:rFonts w:ascii="Times New Roman" w:hAnsi="Times New Roman" w:cs="Times New Roman"/>
          <w:sz w:val="24"/>
          <w:szCs w:val="24"/>
          <w:lang w:val="en-US"/>
        </w:rPr>
        <w:t xml:space="preserve"> </w:t>
      </w:r>
      <w:r w:rsidR="00537657" w:rsidRPr="007B140B">
        <w:rPr>
          <w:rFonts w:ascii="Times New Roman" w:hAnsi="Times New Roman" w:cs="Times New Roman"/>
          <w:sz w:val="24"/>
          <w:szCs w:val="24"/>
          <w:lang w:val="en-US"/>
        </w:rPr>
        <w:t>P-values will be rounded to two decimal places if ≥0.01</w:t>
      </w:r>
      <w:r w:rsidR="00A062DB">
        <w:rPr>
          <w:rFonts w:ascii="Times New Roman" w:hAnsi="Times New Roman" w:cs="Times New Roman"/>
          <w:sz w:val="24"/>
          <w:szCs w:val="24"/>
          <w:lang w:val="en-US"/>
        </w:rPr>
        <w:t xml:space="preserve"> and</w:t>
      </w:r>
      <w:r w:rsidR="00AD0DB5">
        <w:rPr>
          <w:rFonts w:ascii="Times New Roman" w:hAnsi="Times New Roman" w:cs="Times New Roman"/>
          <w:sz w:val="24"/>
          <w:szCs w:val="24"/>
          <w:lang w:val="en-US"/>
        </w:rPr>
        <w:t xml:space="preserve"> rounded to</w:t>
      </w:r>
      <w:r w:rsidR="00A062DB">
        <w:rPr>
          <w:rFonts w:ascii="Times New Roman" w:hAnsi="Times New Roman" w:cs="Times New Roman"/>
          <w:sz w:val="24"/>
          <w:szCs w:val="24"/>
          <w:lang w:val="en-US"/>
        </w:rPr>
        <w:t xml:space="preserve"> </w:t>
      </w:r>
      <w:r w:rsidR="00537657" w:rsidRPr="007B140B">
        <w:rPr>
          <w:rFonts w:ascii="Times New Roman" w:hAnsi="Times New Roman" w:cs="Times New Roman"/>
          <w:sz w:val="24"/>
          <w:szCs w:val="24"/>
          <w:lang w:val="en-US"/>
        </w:rPr>
        <w:t xml:space="preserve">three decimal places if </w:t>
      </w:r>
      <w:r w:rsidR="00A062DB" w:rsidRPr="007B140B">
        <w:rPr>
          <w:rFonts w:ascii="Times New Roman" w:hAnsi="Times New Roman" w:cs="Times New Roman"/>
          <w:sz w:val="24"/>
          <w:szCs w:val="24"/>
          <w:lang w:val="en-US"/>
        </w:rPr>
        <w:t>&lt;0.01</w:t>
      </w:r>
      <w:r w:rsidR="00A062DB">
        <w:rPr>
          <w:rFonts w:ascii="Times New Roman" w:hAnsi="Times New Roman" w:cs="Times New Roman"/>
          <w:sz w:val="24"/>
          <w:szCs w:val="24"/>
          <w:lang w:val="en-US"/>
        </w:rPr>
        <w:t xml:space="preserve"> but </w:t>
      </w:r>
      <w:r w:rsidR="00537657" w:rsidRPr="007B140B">
        <w:rPr>
          <w:rFonts w:ascii="Times New Roman" w:hAnsi="Times New Roman" w:cs="Times New Roman"/>
          <w:sz w:val="24"/>
          <w:szCs w:val="24"/>
          <w:lang w:val="en-US"/>
        </w:rPr>
        <w:t>≥0.00</w:t>
      </w:r>
      <w:r w:rsidR="00A062DB">
        <w:rPr>
          <w:rFonts w:ascii="Times New Roman" w:hAnsi="Times New Roman" w:cs="Times New Roman"/>
          <w:sz w:val="24"/>
          <w:szCs w:val="24"/>
          <w:lang w:val="en-US"/>
        </w:rPr>
        <w:t>1. P-values</w:t>
      </w:r>
      <w:r w:rsidR="00C870C1" w:rsidRPr="007B140B">
        <w:rPr>
          <w:rFonts w:ascii="Times New Roman" w:hAnsi="Times New Roman" w:cs="Times New Roman"/>
          <w:sz w:val="24"/>
          <w:szCs w:val="24"/>
          <w:lang w:val="en-US"/>
        </w:rPr>
        <w:t xml:space="preserve"> &lt;0.001 </w:t>
      </w:r>
      <w:r w:rsidR="00A062DB">
        <w:rPr>
          <w:rFonts w:ascii="Times New Roman" w:hAnsi="Times New Roman" w:cs="Times New Roman"/>
          <w:sz w:val="24"/>
          <w:szCs w:val="24"/>
          <w:lang w:val="en-US"/>
        </w:rPr>
        <w:t>will be expressed as “</w:t>
      </w:r>
      <w:r w:rsidR="00A062DB" w:rsidRPr="007B140B">
        <w:rPr>
          <w:rFonts w:ascii="Times New Roman" w:hAnsi="Times New Roman" w:cs="Times New Roman"/>
          <w:sz w:val="24"/>
          <w:szCs w:val="24"/>
          <w:lang w:val="en-US"/>
        </w:rPr>
        <w:t>&lt;0.001</w:t>
      </w:r>
      <w:r w:rsidR="00A062DB">
        <w:rPr>
          <w:rFonts w:ascii="Times New Roman" w:hAnsi="Times New Roman" w:cs="Times New Roman"/>
          <w:sz w:val="24"/>
          <w:szCs w:val="24"/>
          <w:lang w:val="en-US"/>
        </w:rPr>
        <w:t>”</w:t>
      </w:r>
      <w:r w:rsidR="00C870C1" w:rsidRPr="007B140B">
        <w:rPr>
          <w:rFonts w:ascii="Times New Roman" w:hAnsi="Times New Roman" w:cs="Times New Roman"/>
          <w:sz w:val="24"/>
          <w:szCs w:val="24"/>
          <w:lang w:val="en-US"/>
        </w:rPr>
        <w:t>.</w:t>
      </w:r>
    </w:p>
    <w:p w14:paraId="767E4F72" w14:textId="642C4E1E" w:rsidR="00340425" w:rsidRPr="007B140B" w:rsidRDefault="00822354" w:rsidP="0041561B">
      <w:p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The zoledronic acid and placebo groups will be defined </w:t>
      </w:r>
      <w:r w:rsidR="00C66531" w:rsidRPr="007B140B">
        <w:rPr>
          <w:rFonts w:ascii="Times New Roman" w:hAnsi="Times New Roman" w:cs="Times New Roman"/>
          <w:sz w:val="24"/>
          <w:szCs w:val="24"/>
          <w:lang w:val="en-US"/>
        </w:rPr>
        <w:t>according to</w:t>
      </w:r>
      <w:r w:rsidRPr="007B140B">
        <w:rPr>
          <w:rFonts w:ascii="Times New Roman" w:hAnsi="Times New Roman" w:cs="Times New Roman"/>
          <w:sz w:val="24"/>
          <w:szCs w:val="24"/>
          <w:lang w:val="en-US"/>
        </w:rPr>
        <w:t xml:space="preserve"> randomization.</w:t>
      </w:r>
      <w:r w:rsidR="007E53F6" w:rsidRPr="007B140B">
        <w:rPr>
          <w:rFonts w:ascii="Times New Roman" w:hAnsi="Times New Roman" w:cs="Times New Roman"/>
          <w:sz w:val="24"/>
          <w:szCs w:val="24"/>
          <w:lang w:val="en-US"/>
        </w:rPr>
        <w:t xml:space="preserve"> </w:t>
      </w:r>
      <w:r w:rsidR="00B677A9" w:rsidRPr="007B140B">
        <w:rPr>
          <w:rFonts w:ascii="Times New Roman" w:hAnsi="Times New Roman" w:cs="Times New Roman"/>
          <w:sz w:val="24"/>
          <w:szCs w:val="24"/>
          <w:lang w:val="en-US"/>
        </w:rPr>
        <w:t>Baseline date will be</w:t>
      </w:r>
      <w:r w:rsidR="0041561B" w:rsidRPr="007B140B">
        <w:rPr>
          <w:rFonts w:ascii="Times New Roman" w:hAnsi="Times New Roman" w:cs="Times New Roman"/>
          <w:sz w:val="24"/>
          <w:szCs w:val="24"/>
          <w:lang w:val="en-US"/>
        </w:rPr>
        <w:t xml:space="preserve"> defined as the date of randomization.</w:t>
      </w:r>
      <w:r w:rsidR="00C66531" w:rsidRPr="007B140B">
        <w:rPr>
          <w:rFonts w:ascii="Times New Roman" w:hAnsi="Times New Roman" w:cs="Times New Roman"/>
          <w:sz w:val="24"/>
          <w:szCs w:val="24"/>
          <w:lang w:val="en-US"/>
        </w:rPr>
        <w:t xml:space="preserve"> </w:t>
      </w:r>
      <w:r w:rsidR="007C531E">
        <w:rPr>
          <w:rFonts w:ascii="Times New Roman" w:hAnsi="Times New Roman" w:cs="Times New Roman"/>
          <w:sz w:val="24"/>
          <w:szCs w:val="24"/>
          <w:lang w:val="en-US"/>
        </w:rPr>
        <w:t>In the Main Phase, f</w:t>
      </w:r>
      <w:r w:rsidR="003A7E50" w:rsidRPr="007B140B">
        <w:rPr>
          <w:rFonts w:ascii="Times New Roman" w:hAnsi="Times New Roman" w:cs="Times New Roman"/>
          <w:sz w:val="24"/>
          <w:szCs w:val="24"/>
          <w:lang w:val="en-US"/>
        </w:rPr>
        <w:t xml:space="preserve">ollow-up time will be defined as </w:t>
      </w:r>
      <w:r w:rsidR="007C531E">
        <w:rPr>
          <w:rFonts w:ascii="Times New Roman" w:hAnsi="Times New Roman" w:cs="Times New Roman"/>
          <w:sz w:val="24"/>
          <w:szCs w:val="24"/>
          <w:lang w:val="en-US"/>
        </w:rPr>
        <w:t xml:space="preserve">48 months or </w:t>
      </w:r>
      <w:r w:rsidR="003A7E50" w:rsidRPr="007B140B">
        <w:rPr>
          <w:rFonts w:ascii="Times New Roman" w:hAnsi="Times New Roman" w:cs="Times New Roman"/>
          <w:sz w:val="24"/>
          <w:szCs w:val="24"/>
          <w:lang w:val="en-US"/>
        </w:rPr>
        <w:t>the date of death</w:t>
      </w:r>
      <w:r w:rsidR="007C531E">
        <w:rPr>
          <w:rFonts w:ascii="Times New Roman" w:hAnsi="Times New Roman" w:cs="Times New Roman"/>
          <w:sz w:val="24"/>
          <w:szCs w:val="24"/>
          <w:lang w:val="en-US"/>
        </w:rPr>
        <w:t xml:space="preserve"> or</w:t>
      </w:r>
      <w:r w:rsidR="003A7E50" w:rsidRPr="007B140B">
        <w:rPr>
          <w:rFonts w:ascii="Times New Roman" w:hAnsi="Times New Roman" w:cs="Times New Roman"/>
          <w:sz w:val="24"/>
          <w:szCs w:val="24"/>
          <w:lang w:val="en-US"/>
        </w:rPr>
        <w:t xml:space="preserve"> </w:t>
      </w:r>
      <w:r w:rsidR="0074224C" w:rsidRPr="007B140B">
        <w:rPr>
          <w:rFonts w:ascii="Times New Roman" w:hAnsi="Times New Roman" w:cs="Times New Roman"/>
          <w:sz w:val="24"/>
          <w:szCs w:val="24"/>
          <w:lang w:val="en-US"/>
        </w:rPr>
        <w:t>withdrawal</w:t>
      </w:r>
      <w:r w:rsidR="003A7E50" w:rsidRPr="007B140B">
        <w:rPr>
          <w:rFonts w:ascii="Times New Roman" w:hAnsi="Times New Roman" w:cs="Times New Roman"/>
          <w:sz w:val="24"/>
          <w:szCs w:val="24"/>
          <w:lang w:val="en-US"/>
        </w:rPr>
        <w:t xml:space="preserve"> (whichever came first) minus the date </w:t>
      </w:r>
      <w:r w:rsidR="003A7E50" w:rsidRPr="007B140B">
        <w:rPr>
          <w:rFonts w:ascii="Times New Roman" w:hAnsi="Times New Roman" w:cs="Times New Roman"/>
          <w:sz w:val="24"/>
          <w:szCs w:val="24"/>
          <w:lang w:val="en-US"/>
        </w:rPr>
        <w:lastRenderedPageBreak/>
        <w:t>of randomization plus 1 day</w:t>
      </w:r>
      <w:r w:rsidR="006518C4" w:rsidRPr="007B140B">
        <w:rPr>
          <w:rFonts w:ascii="Times New Roman" w:hAnsi="Times New Roman" w:cs="Times New Roman"/>
          <w:sz w:val="24"/>
          <w:szCs w:val="24"/>
          <w:lang w:val="en-US"/>
        </w:rPr>
        <w:t xml:space="preserve"> (to account for the possibility of an event later in the day of randomization)</w:t>
      </w:r>
      <w:r w:rsidR="003A7E50" w:rsidRPr="007B140B">
        <w:rPr>
          <w:rFonts w:ascii="Times New Roman" w:hAnsi="Times New Roman" w:cs="Times New Roman"/>
          <w:sz w:val="24"/>
          <w:szCs w:val="24"/>
          <w:lang w:val="en-US"/>
        </w:rPr>
        <w:t>.</w:t>
      </w:r>
      <w:r w:rsidR="00C92D0C" w:rsidRPr="007B140B">
        <w:rPr>
          <w:rFonts w:ascii="Times New Roman" w:hAnsi="Times New Roman" w:cs="Times New Roman"/>
          <w:sz w:val="24"/>
          <w:szCs w:val="24"/>
          <w:lang w:val="en-US"/>
        </w:rPr>
        <w:t xml:space="preserve"> Incomplete follow-up will be defined as follow-up time that ends before </w:t>
      </w:r>
      <w:r w:rsidR="00F078C1" w:rsidRPr="007B140B">
        <w:rPr>
          <w:rFonts w:ascii="Times New Roman" w:hAnsi="Times New Roman" w:cs="Times New Roman"/>
          <w:sz w:val="24"/>
          <w:szCs w:val="24"/>
          <w:lang w:val="en-US"/>
        </w:rPr>
        <w:t xml:space="preserve">the </w:t>
      </w:r>
      <w:r w:rsidR="00C92D0C" w:rsidRPr="007B140B">
        <w:rPr>
          <w:rFonts w:ascii="Times New Roman" w:hAnsi="Times New Roman" w:cs="Times New Roman"/>
          <w:sz w:val="24"/>
          <w:szCs w:val="24"/>
          <w:lang w:val="en-US"/>
        </w:rPr>
        <w:t>last study contact</w:t>
      </w:r>
      <w:r w:rsidR="008A02BB">
        <w:rPr>
          <w:rFonts w:ascii="Times New Roman" w:hAnsi="Times New Roman" w:cs="Times New Roman"/>
          <w:sz w:val="24"/>
          <w:szCs w:val="24"/>
          <w:lang w:val="en-US"/>
        </w:rPr>
        <w:t xml:space="preserve"> at 48 months</w:t>
      </w:r>
      <w:r w:rsidR="00C92D0C" w:rsidRPr="007B140B">
        <w:rPr>
          <w:rFonts w:ascii="Times New Roman" w:hAnsi="Times New Roman" w:cs="Times New Roman"/>
          <w:sz w:val="24"/>
          <w:szCs w:val="24"/>
          <w:lang w:val="en-US"/>
        </w:rPr>
        <w:t>.</w:t>
      </w:r>
      <w:r w:rsidR="007D07E6" w:rsidRPr="007D07E6">
        <w:rPr>
          <w:rFonts w:ascii="Times New Roman" w:hAnsi="Times New Roman" w:cs="Times New Roman"/>
          <w:sz w:val="24"/>
          <w:szCs w:val="24"/>
          <w:lang w:val="en-US"/>
        </w:rPr>
        <w:t xml:space="preserve"> </w:t>
      </w:r>
      <w:r w:rsidR="007D07E6">
        <w:rPr>
          <w:rFonts w:ascii="Times New Roman" w:hAnsi="Times New Roman" w:cs="Times New Roman"/>
          <w:sz w:val="24"/>
          <w:szCs w:val="24"/>
          <w:lang w:val="en-US"/>
        </w:rPr>
        <w:t>In the Secondary Phase, follow-up will be extended to 10 years.</w:t>
      </w:r>
    </w:p>
    <w:p w14:paraId="1338F523" w14:textId="4673C5FA" w:rsidR="001F534C" w:rsidRPr="007B140B" w:rsidRDefault="001F534C" w:rsidP="0057206C">
      <w:pPr>
        <w:spacing w:after="0" w:line="259" w:lineRule="auto"/>
        <w:rPr>
          <w:rFonts w:ascii="Times New Roman" w:hAnsi="Times New Roman" w:cs="Times New Roman"/>
          <w:iCs/>
          <w:color w:val="000000" w:themeColor="text1"/>
          <w:sz w:val="24"/>
          <w:szCs w:val="24"/>
          <w:lang w:val="en-US"/>
        </w:rPr>
      </w:pPr>
    </w:p>
    <w:p w14:paraId="627EE69A" w14:textId="3D54D97C" w:rsidR="00D33779" w:rsidRPr="007B140B" w:rsidRDefault="0012364C" w:rsidP="00D36611">
      <w:pPr>
        <w:pStyle w:val="Formatmall3"/>
        <w:rPr>
          <w:rFonts w:cs="Times New Roman"/>
          <w:lang w:val="en-US"/>
        </w:rPr>
      </w:pPr>
      <w:bookmarkStart w:id="88" w:name="_Toc99001427"/>
      <w:r w:rsidRPr="007B140B">
        <w:rPr>
          <w:rFonts w:cs="Times New Roman"/>
          <w:lang w:val="en-US"/>
        </w:rPr>
        <w:t xml:space="preserve">Description of </w:t>
      </w:r>
      <w:r w:rsidR="002B14C1" w:rsidRPr="007B140B">
        <w:rPr>
          <w:rFonts w:cs="Times New Roman"/>
          <w:lang w:val="en-US"/>
        </w:rPr>
        <w:t>r</w:t>
      </w:r>
      <w:r w:rsidR="00D33779" w:rsidRPr="007B140B">
        <w:rPr>
          <w:rFonts w:cs="Times New Roman"/>
          <w:lang w:val="en-US"/>
        </w:rPr>
        <w:t>ecruitment</w:t>
      </w:r>
      <w:r w:rsidR="001C452B" w:rsidRPr="007B140B">
        <w:rPr>
          <w:rFonts w:cs="Times New Roman"/>
          <w:lang w:val="en-US"/>
        </w:rPr>
        <w:t xml:space="preserve"> process</w:t>
      </w:r>
      <w:bookmarkEnd w:id="88"/>
    </w:p>
    <w:p w14:paraId="1D020707" w14:textId="12BDAF1E" w:rsidR="00D33779" w:rsidRPr="007B140B" w:rsidRDefault="00D33779" w:rsidP="0057206C">
      <w:pPr>
        <w:spacing w:after="0" w:line="259" w:lineRule="auto"/>
        <w:rPr>
          <w:rFonts w:ascii="Times New Roman" w:hAnsi="Times New Roman" w:cs="Times New Roman"/>
          <w:iCs/>
          <w:color w:val="000000" w:themeColor="text1"/>
          <w:sz w:val="24"/>
          <w:szCs w:val="24"/>
          <w:lang w:val="en-US"/>
        </w:rPr>
      </w:pPr>
      <w:r w:rsidRPr="007B140B">
        <w:rPr>
          <w:rFonts w:ascii="Times New Roman" w:hAnsi="Times New Roman" w:cs="Times New Roman"/>
          <w:iCs/>
          <w:color w:val="000000" w:themeColor="text1"/>
          <w:sz w:val="24"/>
          <w:szCs w:val="24"/>
          <w:lang w:val="en-US"/>
        </w:rPr>
        <w:t>The</w:t>
      </w:r>
      <w:r w:rsidR="002A523D">
        <w:rPr>
          <w:rFonts w:ascii="Times New Roman" w:hAnsi="Times New Roman" w:cs="Times New Roman"/>
          <w:iCs/>
          <w:color w:val="000000" w:themeColor="text1"/>
          <w:sz w:val="24"/>
          <w:szCs w:val="24"/>
          <w:lang w:val="en-US"/>
        </w:rPr>
        <w:t xml:space="preserve"> recruit</w:t>
      </w:r>
      <w:r w:rsidR="00723A9C">
        <w:rPr>
          <w:rFonts w:ascii="Times New Roman" w:hAnsi="Times New Roman" w:cs="Times New Roman"/>
          <w:iCs/>
          <w:color w:val="000000" w:themeColor="text1"/>
          <w:sz w:val="24"/>
          <w:szCs w:val="24"/>
          <w:lang w:val="en-US"/>
        </w:rPr>
        <w:t>ment process will be described in terms of</w:t>
      </w:r>
      <w:r w:rsidR="002A523D">
        <w:rPr>
          <w:rFonts w:ascii="Times New Roman" w:hAnsi="Times New Roman" w:cs="Times New Roman"/>
          <w:iCs/>
          <w:color w:val="000000" w:themeColor="text1"/>
          <w:sz w:val="24"/>
          <w:szCs w:val="24"/>
          <w:lang w:val="en-US"/>
        </w:rPr>
        <w:t xml:space="preserve"> the</w:t>
      </w:r>
      <w:r w:rsidRPr="007B140B">
        <w:rPr>
          <w:rFonts w:ascii="Times New Roman" w:hAnsi="Times New Roman" w:cs="Times New Roman"/>
          <w:iCs/>
          <w:color w:val="000000" w:themeColor="text1"/>
          <w:sz w:val="24"/>
          <w:szCs w:val="24"/>
          <w:lang w:val="en-US"/>
        </w:rPr>
        <w:t xml:space="preserve"> number of persons invited to </w:t>
      </w:r>
      <w:r w:rsidR="002A523D">
        <w:rPr>
          <w:rFonts w:ascii="Times New Roman" w:hAnsi="Times New Roman" w:cs="Times New Roman"/>
          <w:iCs/>
          <w:color w:val="000000" w:themeColor="text1"/>
          <w:sz w:val="24"/>
          <w:szCs w:val="24"/>
          <w:lang w:val="en-US"/>
        </w:rPr>
        <w:t>a screening visit</w:t>
      </w:r>
      <w:r w:rsidR="006C1B92" w:rsidRPr="007B140B">
        <w:rPr>
          <w:rFonts w:ascii="Times New Roman" w:hAnsi="Times New Roman" w:cs="Times New Roman"/>
          <w:iCs/>
          <w:color w:val="000000" w:themeColor="text1"/>
          <w:sz w:val="24"/>
          <w:szCs w:val="24"/>
          <w:lang w:val="en-US"/>
        </w:rPr>
        <w:t xml:space="preserve">, </w:t>
      </w:r>
      <w:r w:rsidR="00C62948">
        <w:rPr>
          <w:rFonts w:ascii="Times New Roman" w:hAnsi="Times New Roman" w:cs="Times New Roman"/>
          <w:iCs/>
          <w:color w:val="000000" w:themeColor="text1"/>
          <w:sz w:val="24"/>
          <w:szCs w:val="24"/>
          <w:lang w:val="en-US"/>
        </w:rPr>
        <w:t xml:space="preserve">the number who </w:t>
      </w:r>
      <w:r w:rsidR="002F1F6B">
        <w:rPr>
          <w:rFonts w:ascii="Times New Roman" w:hAnsi="Times New Roman" w:cs="Times New Roman"/>
          <w:iCs/>
          <w:color w:val="000000" w:themeColor="text1"/>
          <w:sz w:val="24"/>
          <w:szCs w:val="24"/>
          <w:lang w:val="en-US"/>
        </w:rPr>
        <w:t>attend</w:t>
      </w:r>
      <w:r w:rsidR="00C62948">
        <w:rPr>
          <w:rFonts w:ascii="Times New Roman" w:hAnsi="Times New Roman" w:cs="Times New Roman"/>
          <w:iCs/>
          <w:color w:val="000000" w:themeColor="text1"/>
          <w:sz w:val="24"/>
          <w:szCs w:val="24"/>
          <w:lang w:val="en-US"/>
        </w:rPr>
        <w:t>ed</w:t>
      </w:r>
      <w:r w:rsidR="002F1F6B">
        <w:rPr>
          <w:rFonts w:ascii="Times New Roman" w:hAnsi="Times New Roman" w:cs="Times New Roman"/>
          <w:iCs/>
          <w:color w:val="000000" w:themeColor="text1"/>
          <w:sz w:val="24"/>
          <w:szCs w:val="24"/>
          <w:lang w:val="en-US"/>
        </w:rPr>
        <w:t xml:space="preserve"> a screening visit, </w:t>
      </w:r>
      <w:r w:rsidR="00C62948">
        <w:rPr>
          <w:rFonts w:ascii="Times New Roman" w:hAnsi="Times New Roman" w:cs="Times New Roman"/>
          <w:iCs/>
          <w:color w:val="000000" w:themeColor="text1"/>
          <w:sz w:val="24"/>
          <w:szCs w:val="24"/>
          <w:lang w:val="en-US"/>
        </w:rPr>
        <w:t xml:space="preserve">the number who provided </w:t>
      </w:r>
      <w:r w:rsidR="002F1F6B">
        <w:rPr>
          <w:rFonts w:ascii="Times New Roman" w:hAnsi="Times New Roman" w:cs="Times New Roman"/>
          <w:iCs/>
          <w:color w:val="000000" w:themeColor="text1"/>
          <w:sz w:val="24"/>
          <w:szCs w:val="24"/>
          <w:lang w:val="en-US"/>
        </w:rPr>
        <w:t xml:space="preserve">informed consent, </w:t>
      </w:r>
      <w:r w:rsidR="00C62948">
        <w:rPr>
          <w:rFonts w:ascii="Times New Roman" w:hAnsi="Times New Roman" w:cs="Times New Roman"/>
          <w:iCs/>
          <w:color w:val="000000" w:themeColor="text1"/>
          <w:sz w:val="24"/>
          <w:szCs w:val="24"/>
          <w:lang w:val="en-US"/>
        </w:rPr>
        <w:t xml:space="preserve">the number who </w:t>
      </w:r>
      <w:r w:rsidR="00842644">
        <w:rPr>
          <w:rFonts w:ascii="Times New Roman" w:hAnsi="Times New Roman" w:cs="Times New Roman"/>
          <w:iCs/>
          <w:color w:val="000000" w:themeColor="text1"/>
          <w:sz w:val="24"/>
          <w:szCs w:val="24"/>
          <w:lang w:val="en-US"/>
        </w:rPr>
        <w:t>me</w:t>
      </w:r>
      <w:r w:rsidR="00C62948">
        <w:rPr>
          <w:rFonts w:ascii="Times New Roman" w:hAnsi="Times New Roman" w:cs="Times New Roman"/>
          <w:iCs/>
          <w:color w:val="000000" w:themeColor="text1"/>
          <w:sz w:val="24"/>
          <w:szCs w:val="24"/>
          <w:lang w:val="en-US"/>
        </w:rPr>
        <w:t>t</w:t>
      </w:r>
      <w:r w:rsidR="00842644">
        <w:rPr>
          <w:rFonts w:ascii="Times New Roman" w:hAnsi="Times New Roman" w:cs="Times New Roman"/>
          <w:iCs/>
          <w:color w:val="000000" w:themeColor="text1"/>
          <w:sz w:val="24"/>
          <w:szCs w:val="24"/>
          <w:lang w:val="en-US"/>
        </w:rPr>
        <w:t xml:space="preserve"> </w:t>
      </w:r>
      <w:r w:rsidR="00BB5B79">
        <w:rPr>
          <w:rFonts w:ascii="Times New Roman" w:hAnsi="Times New Roman" w:cs="Times New Roman"/>
          <w:iCs/>
          <w:color w:val="000000" w:themeColor="text1"/>
          <w:sz w:val="24"/>
          <w:szCs w:val="24"/>
          <w:lang w:val="en-US"/>
        </w:rPr>
        <w:t>all</w:t>
      </w:r>
      <w:r w:rsidR="00842644">
        <w:rPr>
          <w:rFonts w:ascii="Times New Roman" w:hAnsi="Times New Roman" w:cs="Times New Roman"/>
          <w:iCs/>
          <w:color w:val="000000" w:themeColor="text1"/>
          <w:sz w:val="24"/>
          <w:szCs w:val="24"/>
          <w:lang w:val="en-US"/>
        </w:rPr>
        <w:t xml:space="preserve"> eligibility criteria</w:t>
      </w:r>
      <w:r w:rsidR="002A523D">
        <w:rPr>
          <w:rFonts w:ascii="Times New Roman" w:hAnsi="Times New Roman" w:cs="Times New Roman"/>
          <w:iCs/>
          <w:color w:val="000000" w:themeColor="text1"/>
          <w:sz w:val="24"/>
          <w:szCs w:val="24"/>
          <w:lang w:val="en-US"/>
        </w:rPr>
        <w:t>, the number excluded at screening</w:t>
      </w:r>
      <w:r w:rsidRPr="007B140B">
        <w:rPr>
          <w:rFonts w:ascii="Times New Roman" w:hAnsi="Times New Roman" w:cs="Times New Roman"/>
          <w:iCs/>
          <w:color w:val="000000" w:themeColor="text1"/>
          <w:sz w:val="24"/>
          <w:szCs w:val="24"/>
          <w:lang w:val="en-US"/>
        </w:rPr>
        <w:t xml:space="preserve"> </w:t>
      </w:r>
      <w:r w:rsidR="002A523D">
        <w:rPr>
          <w:rFonts w:ascii="Times New Roman" w:hAnsi="Times New Roman" w:cs="Times New Roman"/>
          <w:iCs/>
          <w:color w:val="000000" w:themeColor="text1"/>
          <w:sz w:val="24"/>
          <w:szCs w:val="24"/>
          <w:lang w:val="en-US"/>
        </w:rPr>
        <w:t>(in total and by reason for exclusion)</w:t>
      </w:r>
      <w:r w:rsidR="00552244">
        <w:rPr>
          <w:rFonts w:ascii="Times New Roman" w:hAnsi="Times New Roman" w:cs="Times New Roman"/>
          <w:iCs/>
          <w:color w:val="000000" w:themeColor="text1"/>
          <w:sz w:val="24"/>
          <w:szCs w:val="24"/>
          <w:lang w:val="en-US"/>
        </w:rPr>
        <w:t>, and the number randomized</w:t>
      </w:r>
      <w:r w:rsidRPr="007B140B">
        <w:rPr>
          <w:rFonts w:ascii="Times New Roman" w:hAnsi="Times New Roman" w:cs="Times New Roman"/>
          <w:iCs/>
          <w:color w:val="000000" w:themeColor="text1"/>
          <w:sz w:val="24"/>
          <w:szCs w:val="24"/>
          <w:lang w:val="en-US"/>
        </w:rPr>
        <w:t>.</w:t>
      </w:r>
    </w:p>
    <w:p w14:paraId="64D7B128" w14:textId="77777777" w:rsidR="00D33779" w:rsidRPr="007B140B" w:rsidRDefault="00D33779" w:rsidP="0057206C">
      <w:pPr>
        <w:spacing w:after="0" w:line="259" w:lineRule="auto"/>
        <w:rPr>
          <w:rFonts w:ascii="Times New Roman" w:hAnsi="Times New Roman" w:cs="Times New Roman"/>
          <w:iCs/>
          <w:color w:val="000000" w:themeColor="text1"/>
          <w:sz w:val="24"/>
          <w:szCs w:val="24"/>
          <w:lang w:val="en-US"/>
        </w:rPr>
      </w:pPr>
    </w:p>
    <w:p w14:paraId="4E4DA359" w14:textId="77777777" w:rsidR="001F534C" w:rsidRPr="007B140B" w:rsidRDefault="001F534C" w:rsidP="00D36611">
      <w:pPr>
        <w:pStyle w:val="Formatmall3"/>
        <w:rPr>
          <w:rFonts w:cs="Times New Roman"/>
          <w:lang w:val="en-US"/>
        </w:rPr>
      </w:pPr>
      <w:bookmarkStart w:id="89" w:name="_Toc99001428"/>
      <w:r w:rsidRPr="007B140B">
        <w:rPr>
          <w:rFonts w:cs="Times New Roman"/>
          <w:lang w:val="en-US"/>
        </w:rPr>
        <w:t>Baseline characteristics</w:t>
      </w:r>
      <w:bookmarkEnd w:id="89"/>
    </w:p>
    <w:p w14:paraId="1906A72B" w14:textId="151ADABE" w:rsidR="00EB796C" w:rsidRPr="007B140B" w:rsidRDefault="00EB796C" w:rsidP="001F534C">
      <w:pPr>
        <w:rPr>
          <w:rFonts w:ascii="Times New Roman" w:hAnsi="Times New Roman" w:cs="Times New Roman"/>
          <w:sz w:val="24"/>
          <w:szCs w:val="24"/>
          <w:lang w:val="en-US"/>
        </w:rPr>
      </w:pPr>
      <w:r w:rsidRPr="007B140B">
        <w:rPr>
          <w:rFonts w:ascii="Times New Roman" w:hAnsi="Times New Roman" w:cs="Times New Roman"/>
          <w:sz w:val="24"/>
          <w:szCs w:val="24"/>
          <w:lang w:val="en-US"/>
        </w:rPr>
        <w:t>All randomized participants</w:t>
      </w:r>
      <w:r w:rsidR="009F2A01" w:rsidRPr="007B140B">
        <w:rPr>
          <w:rFonts w:ascii="Times New Roman" w:hAnsi="Times New Roman" w:cs="Times New Roman"/>
          <w:sz w:val="24"/>
          <w:szCs w:val="24"/>
          <w:lang w:val="en-US"/>
        </w:rPr>
        <w:t xml:space="preserve"> (i.e., the intention-to-treat population)</w:t>
      </w:r>
      <w:r w:rsidRPr="007B140B">
        <w:rPr>
          <w:rFonts w:ascii="Times New Roman" w:hAnsi="Times New Roman" w:cs="Times New Roman"/>
          <w:sz w:val="24"/>
          <w:szCs w:val="24"/>
          <w:lang w:val="en-US"/>
        </w:rPr>
        <w:t xml:space="preserve"> will be included in an analysis of baseline characteristics, in which the zoledronic acid and placebo groups will be compared.</w:t>
      </w:r>
      <w:r w:rsidR="006552EA" w:rsidRPr="007B140B">
        <w:rPr>
          <w:rFonts w:ascii="Times New Roman" w:hAnsi="Times New Roman" w:cs="Times New Roman"/>
          <w:sz w:val="24"/>
          <w:szCs w:val="24"/>
          <w:lang w:val="en-US"/>
        </w:rPr>
        <w:t xml:space="preserve"> </w:t>
      </w:r>
      <w:r w:rsidR="00957C1D">
        <w:rPr>
          <w:rFonts w:ascii="Times New Roman" w:hAnsi="Times New Roman" w:cs="Times New Roman"/>
          <w:sz w:val="24"/>
          <w:szCs w:val="24"/>
          <w:lang w:val="en-US"/>
        </w:rPr>
        <w:t xml:space="preserve">An analysis </w:t>
      </w:r>
      <w:r w:rsidR="00ED2596">
        <w:rPr>
          <w:rFonts w:ascii="Times New Roman" w:hAnsi="Times New Roman" w:cs="Times New Roman"/>
          <w:sz w:val="24"/>
          <w:szCs w:val="24"/>
          <w:lang w:val="en-US"/>
        </w:rPr>
        <w:t xml:space="preserve">of baseline characteristics will also be </w:t>
      </w:r>
      <w:r w:rsidR="00957C1D">
        <w:rPr>
          <w:rFonts w:ascii="Times New Roman" w:hAnsi="Times New Roman" w:cs="Times New Roman"/>
          <w:sz w:val="24"/>
          <w:szCs w:val="24"/>
          <w:lang w:val="en-US"/>
        </w:rPr>
        <w:t>performed</w:t>
      </w:r>
      <w:r w:rsidR="00ED2596">
        <w:rPr>
          <w:rFonts w:ascii="Times New Roman" w:hAnsi="Times New Roman" w:cs="Times New Roman"/>
          <w:sz w:val="24"/>
          <w:szCs w:val="24"/>
          <w:lang w:val="en-US"/>
        </w:rPr>
        <w:t xml:space="preserve"> for all </w:t>
      </w:r>
      <w:r w:rsidR="0057244A">
        <w:rPr>
          <w:rFonts w:ascii="Times New Roman" w:hAnsi="Times New Roman" w:cs="Times New Roman"/>
          <w:sz w:val="24"/>
          <w:szCs w:val="24"/>
          <w:lang w:val="en-US"/>
        </w:rPr>
        <w:t xml:space="preserve">participants </w:t>
      </w:r>
      <w:r w:rsidR="00ED2596">
        <w:rPr>
          <w:rFonts w:ascii="Times New Roman" w:hAnsi="Times New Roman" w:cs="Times New Roman"/>
          <w:sz w:val="24"/>
          <w:szCs w:val="24"/>
          <w:lang w:val="en-US"/>
        </w:rPr>
        <w:t xml:space="preserve">who provide written informed consent but are not randomized. </w:t>
      </w:r>
      <w:r w:rsidR="006552EA" w:rsidRPr="007B140B">
        <w:rPr>
          <w:rFonts w:ascii="Times New Roman" w:hAnsi="Times New Roman" w:cs="Times New Roman"/>
          <w:sz w:val="24"/>
          <w:szCs w:val="24"/>
          <w:lang w:val="en-US"/>
        </w:rPr>
        <w:t xml:space="preserve">Baseline values will be </w:t>
      </w:r>
      <w:r w:rsidR="00A75AC0" w:rsidRPr="007B140B">
        <w:rPr>
          <w:rFonts w:ascii="Times New Roman" w:hAnsi="Times New Roman" w:cs="Times New Roman"/>
          <w:sz w:val="24"/>
          <w:szCs w:val="24"/>
          <w:lang w:val="en-US"/>
        </w:rPr>
        <w:t>defined as</w:t>
      </w:r>
      <w:r w:rsidR="00734DDF" w:rsidRPr="007B140B">
        <w:rPr>
          <w:rFonts w:ascii="Times New Roman" w:hAnsi="Times New Roman" w:cs="Times New Roman"/>
          <w:sz w:val="24"/>
          <w:szCs w:val="24"/>
          <w:lang w:val="en-US"/>
        </w:rPr>
        <w:t xml:space="preserve"> the last</w:t>
      </w:r>
      <w:r w:rsidR="006552EA" w:rsidRPr="007B140B">
        <w:rPr>
          <w:rFonts w:ascii="Times New Roman" w:hAnsi="Times New Roman" w:cs="Times New Roman"/>
          <w:sz w:val="24"/>
          <w:szCs w:val="24"/>
          <w:lang w:val="en-US"/>
        </w:rPr>
        <w:t xml:space="preserve"> measurement </w:t>
      </w:r>
      <w:r w:rsidR="008A02BB">
        <w:rPr>
          <w:rFonts w:ascii="Times New Roman" w:hAnsi="Times New Roman" w:cs="Times New Roman"/>
          <w:sz w:val="24"/>
          <w:szCs w:val="24"/>
          <w:lang w:val="en-US"/>
        </w:rPr>
        <w:t xml:space="preserve">made </w:t>
      </w:r>
      <w:r w:rsidR="006552EA" w:rsidRPr="007B140B">
        <w:rPr>
          <w:rFonts w:ascii="Times New Roman" w:hAnsi="Times New Roman" w:cs="Times New Roman"/>
          <w:sz w:val="24"/>
          <w:szCs w:val="24"/>
          <w:lang w:val="en-US"/>
        </w:rPr>
        <w:t>prior to randomization.</w:t>
      </w:r>
      <w:r w:rsidR="00937125" w:rsidRPr="007B140B">
        <w:rPr>
          <w:rFonts w:ascii="Times New Roman" w:hAnsi="Times New Roman" w:cs="Times New Roman"/>
          <w:sz w:val="24"/>
          <w:szCs w:val="24"/>
          <w:lang w:val="en-US"/>
        </w:rPr>
        <w:t xml:space="preserve"> </w:t>
      </w:r>
      <w:r w:rsidRPr="007B140B">
        <w:rPr>
          <w:rFonts w:ascii="Times New Roman" w:hAnsi="Times New Roman" w:cs="Times New Roman"/>
          <w:sz w:val="24"/>
          <w:szCs w:val="24"/>
          <w:lang w:val="en-US"/>
        </w:rPr>
        <w:t xml:space="preserve">The following numeric, binary, and </w:t>
      </w:r>
      <w:r w:rsidR="00FE4617" w:rsidRPr="007B140B">
        <w:rPr>
          <w:rFonts w:ascii="Times New Roman" w:hAnsi="Times New Roman" w:cs="Times New Roman"/>
          <w:sz w:val="24"/>
          <w:szCs w:val="24"/>
          <w:lang w:val="en-US"/>
        </w:rPr>
        <w:t xml:space="preserve">multi-level </w:t>
      </w:r>
      <w:r w:rsidRPr="007B140B">
        <w:rPr>
          <w:rFonts w:ascii="Times New Roman" w:hAnsi="Times New Roman" w:cs="Times New Roman"/>
          <w:sz w:val="24"/>
          <w:szCs w:val="24"/>
          <w:lang w:val="en-US"/>
        </w:rPr>
        <w:t>categorical baseline characteristics will be analyzed:</w:t>
      </w:r>
    </w:p>
    <w:p w14:paraId="2B6F1994" w14:textId="32B886ED" w:rsidR="00EB796C" w:rsidRPr="007B140B" w:rsidRDefault="00EB796C" w:rsidP="001F534C">
      <w:pPr>
        <w:rPr>
          <w:rFonts w:ascii="Times New Roman" w:hAnsi="Times New Roman" w:cs="Times New Roman"/>
          <w:sz w:val="24"/>
          <w:szCs w:val="24"/>
          <w:lang w:val="en-US"/>
        </w:rPr>
      </w:pPr>
      <w:r w:rsidRPr="007B140B">
        <w:rPr>
          <w:rFonts w:ascii="Times New Roman" w:hAnsi="Times New Roman" w:cs="Times New Roman"/>
          <w:sz w:val="24"/>
          <w:szCs w:val="24"/>
          <w:lang w:val="en-US"/>
        </w:rPr>
        <w:t>Numeric:</w:t>
      </w:r>
    </w:p>
    <w:p w14:paraId="382E9748" w14:textId="762CB384" w:rsidR="00EB796C" w:rsidRPr="007B140B" w:rsidRDefault="00EB796C" w:rsidP="00363CEE">
      <w:pPr>
        <w:pStyle w:val="Liststycke"/>
        <w:numPr>
          <w:ilvl w:val="0"/>
          <w:numId w:val="15"/>
        </w:num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Age, </w:t>
      </w:r>
      <w:r w:rsidR="003A7E50" w:rsidRPr="007B140B">
        <w:rPr>
          <w:rFonts w:ascii="Times New Roman" w:hAnsi="Times New Roman" w:cs="Times New Roman"/>
          <w:sz w:val="24"/>
          <w:szCs w:val="24"/>
          <w:lang w:val="en-US"/>
        </w:rPr>
        <w:t>years</w:t>
      </w:r>
    </w:p>
    <w:p w14:paraId="5C34090F" w14:textId="3E4DCBFC" w:rsidR="00EB796C" w:rsidRPr="007B140B" w:rsidRDefault="00EB796C" w:rsidP="00363CEE">
      <w:pPr>
        <w:pStyle w:val="Liststycke"/>
        <w:numPr>
          <w:ilvl w:val="0"/>
          <w:numId w:val="15"/>
        </w:numPr>
        <w:rPr>
          <w:rFonts w:ascii="Times New Roman" w:hAnsi="Times New Roman" w:cs="Times New Roman"/>
          <w:sz w:val="24"/>
          <w:szCs w:val="24"/>
          <w:lang w:val="en-US"/>
        </w:rPr>
      </w:pPr>
      <w:r w:rsidRPr="007B140B">
        <w:rPr>
          <w:rFonts w:ascii="Times New Roman" w:hAnsi="Times New Roman" w:cs="Times New Roman"/>
          <w:sz w:val="24"/>
          <w:szCs w:val="24"/>
          <w:lang w:val="en-US"/>
        </w:rPr>
        <w:t>Body height, cm</w:t>
      </w:r>
    </w:p>
    <w:p w14:paraId="31280F1C" w14:textId="378F9AA9" w:rsidR="00EB796C" w:rsidRPr="007B140B" w:rsidRDefault="003A7E50" w:rsidP="00363CEE">
      <w:pPr>
        <w:pStyle w:val="Liststycke"/>
        <w:numPr>
          <w:ilvl w:val="0"/>
          <w:numId w:val="15"/>
        </w:numPr>
        <w:rPr>
          <w:rFonts w:ascii="Times New Roman" w:hAnsi="Times New Roman" w:cs="Times New Roman"/>
          <w:sz w:val="24"/>
          <w:szCs w:val="24"/>
          <w:lang w:val="en-US"/>
        </w:rPr>
      </w:pPr>
      <w:r w:rsidRPr="007B140B">
        <w:rPr>
          <w:rFonts w:ascii="Times New Roman" w:hAnsi="Times New Roman" w:cs="Times New Roman"/>
          <w:sz w:val="24"/>
          <w:szCs w:val="24"/>
          <w:lang w:val="en-US"/>
        </w:rPr>
        <w:t>Body weight, kg</w:t>
      </w:r>
    </w:p>
    <w:p w14:paraId="0619C764" w14:textId="727C18BA" w:rsidR="00EB796C" w:rsidRPr="007B140B" w:rsidRDefault="00EB796C" w:rsidP="00363CEE">
      <w:pPr>
        <w:pStyle w:val="Liststycke"/>
        <w:numPr>
          <w:ilvl w:val="0"/>
          <w:numId w:val="15"/>
        </w:numPr>
        <w:rPr>
          <w:rFonts w:ascii="Times New Roman" w:hAnsi="Times New Roman" w:cs="Times New Roman"/>
          <w:sz w:val="24"/>
          <w:szCs w:val="24"/>
          <w:lang w:val="en-US"/>
        </w:rPr>
      </w:pPr>
      <w:r w:rsidRPr="007B140B">
        <w:rPr>
          <w:rFonts w:ascii="Times New Roman" w:hAnsi="Times New Roman" w:cs="Times New Roman"/>
          <w:sz w:val="24"/>
          <w:szCs w:val="24"/>
          <w:lang w:val="en-US"/>
        </w:rPr>
        <w:t>Body mass index, kg/m</w:t>
      </w:r>
      <w:r w:rsidRPr="007B140B">
        <w:rPr>
          <w:rFonts w:ascii="Times New Roman" w:hAnsi="Times New Roman" w:cs="Times New Roman"/>
          <w:sz w:val="24"/>
          <w:szCs w:val="24"/>
          <w:vertAlign w:val="superscript"/>
          <w:lang w:val="en-US"/>
        </w:rPr>
        <w:t>2</w:t>
      </w:r>
    </w:p>
    <w:p w14:paraId="7F3272A3" w14:textId="21A11ACB" w:rsidR="00B04D41" w:rsidRDefault="00F07CFD" w:rsidP="00363CEE">
      <w:pPr>
        <w:pStyle w:val="Liststycke"/>
        <w:numPr>
          <w:ilvl w:val="0"/>
          <w:numId w:val="15"/>
        </w:numPr>
        <w:rPr>
          <w:rFonts w:ascii="Times New Roman" w:hAnsi="Times New Roman" w:cs="Times New Roman"/>
          <w:sz w:val="24"/>
          <w:szCs w:val="24"/>
          <w:lang w:val="en-US"/>
        </w:rPr>
      </w:pPr>
      <w:r>
        <w:rPr>
          <w:rFonts w:ascii="Times New Roman" w:hAnsi="Times New Roman" w:cs="Times New Roman"/>
          <w:sz w:val="24"/>
          <w:szCs w:val="24"/>
          <w:lang w:val="en-US"/>
        </w:rPr>
        <w:t>Age at</w:t>
      </w:r>
      <w:r w:rsidR="00961494" w:rsidRPr="007B140B">
        <w:rPr>
          <w:rFonts w:ascii="Times New Roman" w:hAnsi="Times New Roman" w:cs="Times New Roman"/>
          <w:sz w:val="24"/>
          <w:szCs w:val="24"/>
          <w:lang w:val="en-US"/>
        </w:rPr>
        <w:t xml:space="preserve"> quit</w:t>
      </w:r>
      <w:r w:rsidR="00F858D4" w:rsidRPr="007B140B">
        <w:rPr>
          <w:rFonts w:ascii="Times New Roman" w:hAnsi="Times New Roman" w:cs="Times New Roman"/>
          <w:sz w:val="24"/>
          <w:szCs w:val="24"/>
          <w:lang w:val="en-US"/>
        </w:rPr>
        <w:t>ting</w:t>
      </w:r>
      <w:r w:rsidR="00961494" w:rsidRPr="007B140B">
        <w:rPr>
          <w:rFonts w:ascii="Times New Roman" w:hAnsi="Times New Roman" w:cs="Times New Roman"/>
          <w:sz w:val="24"/>
          <w:szCs w:val="24"/>
          <w:lang w:val="en-US"/>
        </w:rPr>
        <w:t xml:space="preserve"> smoking, years</w:t>
      </w:r>
      <w:r w:rsidR="00AF0972">
        <w:rPr>
          <w:rFonts w:ascii="Times New Roman" w:hAnsi="Times New Roman" w:cs="Times New Roman"/>
          <w:sz w:val="24"/>
          <w:szCs w:val="24"/>
          <w:lang w:val="en-US"/>
        </w:rPr>
        <w:t xml:space="preserve"> (if </w:t>
      </w:r>
      <w:r w:rsidR="00CD76D7">
        <w:rPr>
          <w:rFonts w:ascii="Times New Roman" w:hAnsi="Times New Roman" w:cs="Times New Roman"/>
          <w:sz w:val="24"/>
          <w:szCs w:val="24"/>
          <w:lang w:val="en-US"/>
        </w:rPr>
        <w:t>former</w:t>
      </w:r>
      <w:r w:rsidR="00AF0972">
        <w:rPr>
          <w:rFonts w:ascii="Times New Roman" w:hAnsi="Times New Roman" w:cs="Times New Roman"/>
          <w:sz w:val="24"/>
          <w:szCs w:val="24"/>
          <w:lang w:val="en-US"/>
        </w:rPr>
        <w:t xml:space="preserve"> smoker)</w:t>
      </w:r>
    </w:p>
    <w:p w14:paraId="4A10BDC4" w14:textId="6F1218AA" w:rsidR="00961494" w:rsidRPr="00066B77" w:rsidRDefault="00B04D41" w:rsidP="00B04D41">
      <w:pPr>
        <w:pStyle w:val="Liststycke"/>
        <w:numPr>
          <w:ilvl w:val="0"/>
          <w:numId w:val="15"/>
        </w:numPr>
        <w:rPr>
          <w:rFonts w:ascii="Times New Roman" w:hAnsi="Times New Roman" w:cs="Times New Roman"/>
          <w:sz w:val="24"/>
          <w:szCs w:val="24"/>
          <w:lang w:val="en-US"/>
        </w:rPr>
      </w:pPr>
      <w:r>
        <w:rPr>
          <w:rFonts w:ascii="Times New Roman" w:hAnsi="Times New Roman" w:cs="Times New Roman"/>
          <w:sz w:val="24"/>
          <w:szCs w:val="24"/>
          <w:lang w:val="en-US"/>
        </w:rPr>
        <w:t>Number of cigarettes smoked on an average day</w:t>
      </w:r>
      <w:r w:rsidR="0064282C">
        <w:rPr>
          <w:rFonts w:ascii="Times New Roman" w:hAnsi="Times New Roman" w:cs="Times New Roman"/>
          <w:sz w:val="24"/>
          <w:szCs w:val="24"/>
          <w:lang w:val="en-US"/>
        </w:rPr>
        <w:t xml:space="preserve"> (if current smoker)</w:t>
      </w:r>
      <w:r w:rsidR="00961494" w:rsidRPr="00066B77">
        <w:rPr>
          <w:rFonts w:ascii="Times New Roman" w:hAnsi="Times New Roman" w:cs="Times New Roman"/>
          <w:sz w:val="24"/>
          <w:szCs w:val="24"/>
          <w:lang w:val="en-US"/>
        </w:rPr>
        <w:t xml:space="preserve"> </w:t>
      </w:r>
    </w:p>
    <w:p w14:paraId="69678C1A" w14:textId="211CA5F2" w:rsidR="003555FC" w:rsidRPr="007B140B" w:rsidRDefault="00F07CFD" w:rsidP="003555FC">
      <w:pPr>
        <w:pStyle w:val="Liststycke"/>
        <w:numPr>
          <w:ilvl w:val="0"/>
          <w:numId w:val="15"/>
        </w:numPr>
        <w:rPr>
          <w:rFonts w:ascii="Times New Roman" w:hAnsi="Times New Roman" w:cs="Times New Roman"/>
          <w:sz w:val="24"/>
          <w:szCs w:val="24"/>
          <w:lang w:val="en-US"/>
        </w:rPr>
      </w:pPr>
      <w:r>
        <w:rPr>
          <w:rFonts w:ascii="Times New Roman" w:hAnsi="Times New Roman" w:cs="Times New Roman"/>
          <w:sz w:val="24"/>
          <w:szCs w:val="24"/>
          <w:lang w:val="en-US"/>
        </w:rPr>
        <w:t>Age at</w:t>
      </w:r>
      <w:r w:rsidR="00961494" w:rsidRPr="007B140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time of </w:t>
      </w:r>
      <w:r w:rsidR="00113FCF" w:rsidRPr="007B140B">
        <w:rPr>
          <w:rFonts w:ascii="Times New Roman" w:hAnsi="Times New Roman" w:cs="Times New Roman"/>
          <w:sz w:val="24"/>
          <w:szCs w:val="24"/>
          <w:lang w:val="en-US"/>
        </w:rPr>
        <w:t xml:space="preserve">most recent </w:t>
      </w:r>
      <w:r w:rsidR="00961494" w:rsidRPr="007B140B">
        <w:rPr>
          <w:rFonts w:ascii="Times New Roman" w:hAnsi="Times New Roman" w:cs="Times New Roman"/>
          <w:sz w:val="24"/>
          <w:szCs w:val="24"/>
          <w:lang w:val="en-US"/>
        </w:rPr>
        <w:t>stroke, years</w:t>
      </w:r>
    </w:p>
    <w:p w14:paraId="34E00AF8" w14:textId="6316FDAB" w:rsidR="00961494" w:rsidRPr="007B140B" w:rsidRDefault="00F07CFD" w:rsidP="00363CEE">
      <w:pPr>
        <w:pStyle w:val="Liststycke"/>
        <w:numPr>
          <w:ilvl w:val="0"/>
          <w:numId w:val="15"/>
        </w:numPr>
        <w:rPr>
          <w:rFonts w:ascii="Times New Roman" w:hAnsi="Times New Roman" w:cs="Times New Roman"/>
          <w:sz w:val="24"/>
          <w:szCs w:val="24"/>
          <w:lang w:val="en-US"/>
        </w:rPr>
      </w:pPr>
      <w:r>
        <w:rPr>
          <w:rFonts w:ascii="Times New Roman" w:hAnsi="Times New Roman" w:cs="Times New Roman"/>
          <w:sz w:val="24"/>
          <w:szCs w:val="24"/>
          <w:lang w:val="en-US"/>
        </w:rPr>
        <w:t>Age at time of</w:t>
      </w:r>
      <w:r w:rsidR="00961494" w:rsidRPr="007B140B">
        <w:rPr>
          <w:rFonts w:ascii="Times New Roman" w:hAnsi="Times New Roman" w:cs="Times New Roman"/>
          <w:sz w:val="24"/>
          <w:szCs w:val="24"/>
          <w:lang w:val="en-US"/>
        </w:rPr>
        <w:t xml:space="preserve"> </w:t>
      </w:r>
      <w:r w:rsidR="00113FCF" w:rsidRPr="007B140B">
        <w:rPr>
          <w:rFonts w:ascii="Times New Roman" w:hAnsi="Times New Roman" w:cs="Times New Roman"/>
          <w:sz w:val="24"/>
          <w:szCs w:val="24"/>
          <w:lang w:val="en-US"/>
        </w:rPr>
        <w:t xml:space="preserve">most recent </w:t>
      </w:r>
      <w:r w:rsidR="00961494" w:rsidRPr="007B140B">
        <w:rPr>
          <w:rFonts w:ascii="Times New Roman" w:hAnsi="Times New Roman" w:cs="Times New Roman"/>
          <w:sz w:val="24"/>
          <w:szCs w:val="24"/>
          <w:lang w:val="en-US"/>
        </w:rPr>
        <w:t>myocardial infarction, years</w:t>
      </w:r>
    </w:p>
    <w:p w14:paraId="052C60E1" w14:textId="36773122" w:rsidR="00961494" w:rsidRPr="007B140B" w:rsidRDefault="00F07CFD" w:rsidP="00363CEE">
      <w:pPr>
        <w:pStyle w:val="Liststycke"/>
        <w:numPr>
          <w:ilvl w:val="0"/>
          <w:numId w:val="15"/>
        </w:numPr>
        <w:rPr>
          <w:rFonts w:ascii="Times New Roman" w:hAnsi="Times New Roman" w:cs="Times New Roman"/>
          <w:sz w:val="24"/>
          <w:szCs w:val="24"/>
          <w:lang w:val="en-US"/>
        </w:rPr>
      </w:pPr>
      <w:r>
        <w:rPr>
          <w:rFonts w:ascii="Times New Roman" w:hAnsi="Times New Roman" w:cs="Times New Roman"/>
          <w:sz w:val="24"/>
          <w:szCs w:val="24"/>
          <w:lang w:val="en-US"/>
        </w:rPr>
        <w:t xml:space="preserve">Age at </w:t>
      </w:r>
      <w:r w:rsidR="00113FCF" w:rsidRPr="007B140B">
        <w:rPr>
          <w:rFonts w:ascii="Times New Roman" w:hAnsi="Times New Roman" w:cs="Times New Roman"/>
          <w:sz w:val="24"/>
          <w:szCs w:val="24"/>
          <w:lang w:val="en-US"/>
        </w:rPr>
        <w:t xml:space="preserve">most recent </w:t>
      </w:r>
      <w:r w:rsidR="00961494" w:rsidRPr="007B140B">
        <w:rPr>
          <w:rFonts w:ascii="Times New Roman" w:hAnsi="Times New Roman" w:cs="Times New Roman"/>
          <w:sz w:val="24"/>
          <w:szCs w:val="24"/>
          <w:lang w:val="en-US"/>
        </w:rPr>
        <w:t>cancer diagnosis, years</w:t>
      </w:r>
    </w:p>
    <w:p w14:paraId="0EC23EC3" w14:textId="718D2FF9" w:rsidR="00903D80" w:rsidRDefault="00903D80" w:rsidP="00363CEE">
      <w:pPr>
        <w:pStyle w:val="Liststycke"/>
        <w:numPr>
          <w:ilvl w:val="0"/>
          <w:numId w:val="15"/>
        </w:numPr>
        <w:rPr>
          <w:rFonts w:ascii="Times New Roman" w:hAnsi="Times New Roman" w:cs="Times New Roman"/>
          <w:sz w:val="24"/>
          <w:szCs w:val="24"/>
          <w:lang w:val="en-US"/>
        </w:rPr>
      </w:pPr>
      <w:r w:rsidRPr="007B140B">
        <w:rPr>
          <w:rFonts w:ascii="Times New Roman" w:hAnsi="Times New Roman" w:cs="Times New Roman"/>
          <w:sz w:val="24"/>
          <w:szCs w:val="24"/>
          <w:lang w:val="en-US"/>
        </w:rPr>
        <w:t>Number of bone fractures</w:t>
      </w:r>
      <w:r w:rsidR="00113FCF" w:rsidRPr="007B140B">
        <w:rPr>
          <w:rFonts w:ascii="Times New Roman" w:hAnsi="Times New Roman" w:cs="Times New Roman"/>
          <w:sz w:val="24"/>
          <w:szCs w:val="24"/>
          <w:lang w:val="en-US"/>
        </w:rPr>
        <w:t xml:space="preserve"> in adulthood</w:t>
      </w:r>
      <w:r w:rsidR="00D2598F" w:rsidRPr="007B140B">
        <w:rPr>
          <w:rFonts w:ascii="Times New Roman" w:hAnsi="Times New Roman" w:cs="Times New Roman"/>
          <w:sz w:val="24"/>
          <w:szCs w:val="24"/>
          <w:lang w:val="en-US"/>
        </w:rPr>
        <w:t xml:space="preserve"> (age ≥18 years)</w:t>
      </w:r>
    </w:p>
    <w:p w14:paraId="371EE357" w14:textId="7D665A70" w:rsidR="00FE4617" w:rsidRPr="007B140B" w:rsidRDefault="00F115DC" w:rsidP="008A04AF">
      <w:pPr>
        <w:pStyle w:val="Liststycke"/>
        <w:numPr>
          <w:ilvl w:val="0"/>
          <w:numId w:val="15"/>
        </w:numPr>
        <w:rPr>
          <w:rFonts w:ascii="Times New Roman" w:hAnsi="Times New Roman" w:cs="Times New Roman"/>
          <w:sz w:val="24"/>
          <w:szCs w:val="24"/>
          <w:lang w:val="en-US"/>
        </w:rPr>
      </w:pPr>
      <w:r>
        <w:rPr>
          <w:rFonts w:ascii="Times New Roman" w:hAnsi="Times New Roman" w:cs="Times New Roman"/>
          <w:sz w:val="24"/>
          <w:szCs w:val="24"/>
          <w:lang w:val="en-US"/>
        </w:rPr>
        <w:t xml:space="preserve">Date of </w:t>
      </w:r>
      <w:r w:rsidR="0062011A">
        <w:rPr>
          <w:rFonts w:ascii="Times New Roman" w:hAnsi="Times New Roman" w:cs="Times New Roman"/>
          <w:sz w:val="24"/>
          <w:szCs w:val="24"/>
          <w:lang w:val="en-US"/>
        </w:rPr>
        <w:t>baseline fracture</w:t>
      </w:r>
    </w:p>
    <w:p w14:paraId="70B32A32" w14:textId="5AA87E1C" w:rsidR="002E4AF7" w:rsidRPr="007B140B" w:rsidRDefault="00B2097D" w:rsidP="00363CEE">
      <w:pPr>
        <w:pStyle w:val="Liststycke"/>
        <w:numPr>
          <w:ilvl w:val="0"/>
          <w:numId w:val="15"/>
        </w:numPr>
        <w:rPr>
          <w:rFonts w:ascii="Times New Roman" w:hAnsi="Times New Roman" w:cs="Times New Roman"/>
          <w:sz w:val="24"/>
          <w:szCs w:val="24"/>
          <w:lang w:val="en-US"/>
        </w:rPr>
      </w:pPr>
      <w:r>
        <w:rPr>
          <w:rFonts w:ascii="Times New Roman" w:hAnsi="Times New Roman" w:cs="Times New Roman"/>
          <w:sz w:val="24"/>
          <w:szCs w:val="24"/>
          <w:lang w:val="en-US"/>
        </w:rPr>
        <w:t>Creatinine clearance (e</w:t>
      </w:r>
      <w:r w:rsidR="00EF3934" w:rsidRPr="007B140B">
        <w:rPr>
          <w:rFonts w:ascii="Times New Roman" w:hAnsi="Times New Roman" w:cs="Times New Roman"/>
          <w:sz w:val="24"/>
          <w:szCs w:val="24"/>
          <w:lang w:val="en-US"/>
        </w:rPr>
        <w:t>stimated glomerular filtration rate</w:t>
      </w:r>
      <w:r w:rsidR="00AD7551">
        <w:rPr>
          <w:rFonts w:ascii="Times New Roman" w:hAnsi="Times New Roman" w:cs="Times New Roman"/>
          <w:sz w:val="24"/>
          <w:szCs w:val="24"/>
          <w:lang w:val="en-US"/>
        </w:rPr>
        <w:t>)</w:t>
      </w:r>
      <w:r w:rsidR="002E4AF7" w:rsidRPr="007B140B">
        <w:rPr>
          <w:rFonts w:ascii="Times New Roman" w:hAnsi="Times New Roman" w:cs="Times New Roman"/>
          <w:sz w:val="24"/>
          <w:szCs w:val="24"/>
          <w:lang w:val="en-US"/>
        </w:rPr>
        <w:t>, ml/min/1.73 m</w:t>
      </w:r>
      <w:r w:rsidR="002E4AF7" w:rsidRPr="007B140B">
        <w:rPr>
          <w:rFonts w:ascii="Times New Roman" w:hAnsi="Times New Roman" w:cs="Times New Roman"/>
          <w:sz w:val="24"/>
          <w:szCs w:val="24"/>
          <w:vertAlign w:val="superscript"/>
          <w:lang w:val="en-US"/>
        </w:rPr>
        <w:t>2</w:t>
      </w:r>
    </w:p>
    <w:p w14:paraId="2299E5ED" w14:textId="363DC4BA" w:rsidR="002E4AF7" w:rsidRPr="005B592B" w:rsidRDefault="005B592B" w:rsidP="00363CEE">
      <w:pPr>
        <w:pStyle w:val="Liststycke"/>
        <w:numPr>
          <w:ilvl w:val="0"/>
          <w:numId w:val="15"/>
        </w:numPr>
        <w:rPr>
          <w:rFonts w:ascii="Times New Roman" w:hAnsi="Times New Roman" w:cs="Times New Roman"/>
          <w:sz w:val="24"/>
          <w:szCs w:val="24"/>
          <w:lang w:val="en-US"/>
        </w:rPr>
      </w:pPr>
      <w:r>
        <w:rPr>
          <w:rFonts w:ascii="Times New Roman" w:hAnsi="Times New Roman" w:cs="Times New Roman"/>
          <w:sz w:val="24"/>
          <w:szCs w:val="24"/>
          <w:lang w:val="en-US"/>
        </w:rPr>
        <w:t>Plasma</w:t>
      </w:r>
      <w:r w:rsidR="00AB437F" w:rsidRPr="005B592B">
        <w:rPr>
          <w:rFonts w:ascii="Times New Roman" w:hAnsi="Times New Roman" w:cs="Times New Roman"/>
          <w:sz w:val="24"/>
          <w:szCs w:val="24"/>
          <w:lang w:val="en-US"/>
        </w:rPr>
        <w:t xml:space="preserve"> </w:t>
      </w:r>
      <w:r w:rsidR="002E4AF7" w:rsidRPr="005B592B">
        <w:rPr>
          <w:rFonts w:ascii="Times New Roman" w:hAnsi="Times New Roman" w:cs="Times New Roman"/>
          <w:sz w:val="24"/>
          <w:szCs w:val="24"/>
          <w:lang w:val="en-US"/>
        </w:rPr>
        <w:t>calcium, mmol/L</w:t>
      </w:r>
    </w:p>
    <w:p w14:paraId="113E393A" w14:textId="26CCE434" w:rsidR="00C9448F" w:rsidRDefault="00BA0276" w:rsidP="00B04D41">
      <w:pPr>
        <w:pStyle w:val="Liststycke"/>
        <w:numPr>
          <w:ilvl w:val="0"/>
          <w:numId w:val="15"/>
        </w:numPr>
        <w:rPr>
          <w:rFonts w:ascii="Times New Roman" w:hAnsi="Times New Roman" w:cs="Times New Roman"/>
          <w:sz w:val="24"/>
          <w:szCs w:val="24"/>
          <w:lang w:val="en-US"/>
        </w:rPr>
      </w:pPr>
      <w:r w:rsidRPr="007B140B">
        <w:rPr>
          <w:rFonts w:ascii="Times New Roman" w:hAnsi="Times New Roman" w:cs="Times New Roman"/>
          <w:sz w:val="24"/>
          <w:szCs w:val="24"/>
          <w:lang w:val="en-US"/>
        </w:rPr>
        <w:t>Hand-grip strength</w:t>
      </w:r>
      <w:r w:rsidR="00646A67">
        <w:rPr>
          <w:rFonts w:ascii="Times New Roman" w:hAnsi="Times New Roman" w:cs="Times New Roman"/>
          <w:sz w:val="24"/>
          <w:szCs w:val="24"/>
          <w:lang w:val="en-US"/>
        </w:rPr>
        <w:t>,</w:t>
      </w:r>
      <w:r w:rsidR="0062011A">
        <w:rPr>
          <w:rFonts w:ascii="Times New Roman" w:hAnsi="Times New Roman" w:cs="Times New Roman"/>
          <w:sz w:val="24"/>
          <w:szCs w:val="24"/>
          <w:lang w:val="en-US"/>
        </w:rPr>
        <w:t xml:space="preserve"> attempt 1</w:t>
      </w:r>
      <w:r w:rsidRPr="007B140B">
        <w:rPr>
          <w:rFonts w:ascii="Times New Roman" w:hAnsi="Times New Roman" w:cs="Times New Roman"/>
          <w:sz w:val="24"/>
          <w:szCs w:val="24"/>
          <w:lang w:val="en-US"/>
        </w:rPr>
        <w:t>, kg</w:t>
      </w:r>
    </w:p>
    <w:p w14:paraId="4A857A17" w14:textId="304DC0FD" w:rsidR="0062011A" w:rsidRDefault="0062011A" w:rsidP="00B04D41">
      <w:pPr>
        <w:pStyle w:val="Liststycke"/>
        <w:numPr>
          <w:ilvl w:val="0"/>
          <w:numId w:val="15"/>
        </w:numPr>
        <w:rPr>
          <w:rFonts w:ascii="Times New Roman" w:hAnsi="Times New Roman" w:cs="Times New Roman"/>
          <w:sz w:val="24"/>
          <w:szCs w:val="24"/>
          <w:lang w:val="en-US"/>
        </w:rPr>
      </w:pPr>
      <w:r w:rsidRPr="007B140B">
        <w:rPr>
          <w:rFonts w:ascii="Times New Roman" w:hAnsi="Times New Roman" w:cs="Times New Roman"/>
          <w:sz w:val="24"/>
          <w:szCs w:val="24"/>
          <w:lang w:val="en-US"/>
        </w:rPr>
        <w:t>Hand-grip strength</w:t>
      </w:r>
      <w:r w:rsidR="00646A67">
        <w:rPr>
          <w:rFonts w:ascii="Times New Roman" w:hAnsi="Times New Roman" w:cs="Times New Roman"/>
          <w:sz w:val="24"/>
          <w:szCs w:val="24"/>
          <w:lang w:val="en-US"/>
        </w:rPr>
        <w:t>,</w:t>
      </w:r>
      <w:r>
        <w:rPr>
          <w:rFonts w:ascii="Times New Roman" w:hAnsi="Times New Roman" w:cs="Times New Roman"/>
          <w:sz w:val="24"/>
          <w:szCs w:val="24"/>
          <w:lang w:val="en-US"/>
        </w:rPr>
        <w:t xml:space="preserve"> attempt 2, kg</w:t>
      </w:r>
    </w:p>
    <w:p w14:paraId="328F5371" w14:textId="684A2E78" w:rsidR="0062011A" w:rsidRDefault="0062011A" w:rsidP="00B04D41">
      <w:pPr>
        <w:pStyle w:val="Liststycke"/>
        <w:numPr>
          <w:ilvl w:val="0"/>
          <w:numId w:val="15"/>
        </w:numPr>
        <w:rPr>
          <w:rFonts w:ascii="Times New Roman" w:hAnsi="Times New Roman" w:cs="Times New Roman"/>
          <w:sz w:val="24"/>
          <w:szCs w:val="24"/>
          <w:lang w:val="en-US"/>
        </w:rPr>
      </w:pPr>
      <w:r w:rsidRPr="007B140B">
        <w:rPr>
          <w:rFonts w:ascii="Times New Roman" w:hAnsi="Times New Roman" w:cs="Times New Roman"/>
          <w:sz w:val="24"/>
          <w:szCs w:val="24"/>
          <w:lang w:val="en-US"/>
        </w:rPr>
        <w:t>Hand-grip strength</w:t>
      </w:r>
      <w:r>
        <w:rPr>
          <w:rFonts w:ascii="Times New Roman" w:hAnsi="Times New Roman" w:cs="Times New Roman"/>
          <w:sz w:val="24"/>
          <w:szCs w:val="24"/>
          <w:lang w:val="en-US"/>
        </w:rPr>
        <w:t>, maximum of attempts 1 and 2, kg</w:t>
      </w:r>
    </w:p>
    <w:p w14:paraId="28892BBF" w14:textId="12F31375" w:rsidR="00EB796C" w:rsidRPr="007B140B" w:rsidRDefault="00EB796C" w:rsidP="001F534C">
      <w:pPr>
        <w:rPr>
          <w:rFonts w:ascii="Times New Roman" w:hAnsi="Times New Roman" w:cs="Times New Roman"/>
          <w:sz w:val="24"/>
          <w:szCs w:val="24"/>
          <w:lang w:val="en-US"/>
        </w:rPr>
      </w:pPr>
      <w:r w:rsidRPr="007B140B">
        <w:rPr>
          <w:rFonts w:ascii="Times New Roman" w:hAnsi="Times New Roman" w:cs="Times New Roman"/>
          <w:sz w:val="24"/>
          <w:szCs w:val="24"/>
          <w:lang w:val="en-US"/>
        </w:rPr>
        <w:t>Binary:</w:t>
      </w:r>
    </w:p>
    <w:p w14:paraId="1D57C809" w14:textId="7FF45EC0" w:rsidR="00101CDB" w:rsidRPr="007B140B" w:rsidRDefault="00FA38D5" w:rsidP="00101CDB">
      <w:pPr>
        <w:pStyle w:val="Liststycke"/>
        <w:numPr>
          <w:ilvl w:val="0"/>
          <w:numId w:val="16"/>
        </w:num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Sex (man, </w:t>
      </w:r>
      <w:r w:rsidR="00101CDB" w:rsidRPr="007B140B">
        <w:rPr>
          <w:rFonts w:ascii="Times New Roman" w:hAnsi="Times New Roman" w:cs="Times New Roman"/>
          <w:sz w:val="24"/>
          <w:szCs w:val="24"/>
          <w:lang w:val="en-US"/>
        </w:rPr>
        <w:t>woman)</w:t>
      </w:r>
    </w:p>
    <w:p w14:paraId="755128FB" w14:textId="1956772A" w:rsidR="002159DC" w:rsidRPr="007B140B" w:rsidRDefault="001C292E" w:rsidP="00363CEE">
      <w:pPr>
        <w:pStyle w:val="Liststycke"/>
        <w:numPr>
          <w:ilvl w:val="0"/>
          <w:numId w:val="16"/>
        </w:numPr>
        <w:rPr>
          <w:rFonts w:ascii="Times New Roman" w:hAnsi="Times New Roman" w:cs="Times New Roman"/>
          <w:sz w:val="24"/>
          <w:szCs w:val="24"/>
          <w:lang w:val="en-US"/>
        </w:rPr>
      </w:pPr>
      <w:r w:rsidRPr="007B140B">
        <w:rPr>
          <w:rFonts w:ascii="Times New Roman" w:hAnsi="Times New Roman" w:cs="Times New Roman"/>
          <w:sz w:val="24"/>
          <w:szCs w:val="24"/>
          <w:lang w:val="en-US"/>
        </w:rPr>
        <w:lastRenderedPageBreak/>
        <w:t xml:space="preserve">Ever undergone </w:t>
      </w:r>
      <w:r w:rsidR="002159DC" w:rsidRPr="007B140B">
        <w:rPr>
          <w:rFonts w:ascii="Times New Roman" w:hAnsi="Times New Roman" w:cs="Times New Roman"/>
          <w:sz w:val="24"/>
          <w:szCs w:val="24"/>
          <w:lang w:val="en-US"/>
        </w:rPr>
        <w:t xml:space="preserve">bone </w:t>
      </w:r>
      <w:r w:rsidR="00734EA0">
        <w:rPr>
          <w:rFonts w:ascii="Times New Roman" w:hAnsi="Times New Roman" w:cs="Times New Roman"/>
          <w:sz w:val="24"/>
          <w:szCs w:val="24"/>
          <w:lang w:val="en-US"/>
        </w:rPr>
        <w:t>densit</w:t>
      </w:r>
      <w:r w:rsidR="00AD7551">
        <w:rPr>
          <w:rFonts w:ascii="Times New Roman" w:hAnsi="Times New Roman" w:cs="Times New Roman"/>
          <w:sz w:val="24"/>
          <w:szCs w:val="24"/>
          <w:lang w:val="en-US"/>
        </w:rPr>
        <w:t xml:space="preserve">y scanning </w:t>
      </w:r>
      <w:r w:rsidR="00FA38D5" w:rsidRPr="007B140B">
        <w:rPr>
          <w:rFonts w:ascii="Times New Roman" w:hAnsi="Times New Roman" w:cs="Times New Roman"/>
          <w:sz w:val="24"/>
          <w:szCs w:val="24"/>
          <w:lang w:val="en-US"/>
        </w:rPr>
        <w:t xml:space="preserve">(yes, </w:t>
      </w:r>
      <w:r w:rsidR="002159DC" w:rsidRPr="007B140B">
        <w:rPr>
          <w:rFonts w:ascii="Times New Roman" w:hAnsi="Times New Roman" w:cs="Times New Roman"/>
          <w:sz w:val="24"/>
          <w:szCs w:val="24"/>
          <w:lang w:val="en-US"/>
        </w:rPr>
        <w:t>no)</w:t>
      </w:r>
    </w:p>
    <w:p w14:paraId="18621720" w14:textId="671F8278" w:rsidR="00EF3934" w:rsidRPr="007B140B" w:rsidRDefault="00EF3934" w:rsidP="00363CEE">
      <w:pPr>
        <w:pStyle w:val="Liststycke"/>
        <w:numPr>
          <w:ilvl w:val="0"/>
          <w:numId w:val="16"/>
        </w:numPr>
        <w:rPr>
          <w:rFonts w:ascii="Times New Roman" w:hAnsi="Times New Roman" w:cs="Times New Roman"/>
          <w:sz w:val="24"/>
          <w:szCs w:val="24"/>
          <w:lang w:val="en-US"/>
        </w:rPr>
      </w:pPr>
      <w:r w:rsidRPr="007B140B">
        <w:rPr>
          <w:rFonts w:ascii="Times New Roman" w:hAnsi="Times New Roman" w:cs="Times New Roman"/>
          <w:sz w:val="24"/>
          <w:szCs w:val="24"/>
          <w:lang w:val="en-US"/>
        </w:rPr>
        <w:t>Provide</w:t>
      </w:r>
      <w:r w:rsidR="00FA38D5" w:rsidRPr="007B140B">
        <w:rPr>
          <w:rFonts w:ascii="Times New Roman" w:hAnsi="Times New Roman" w:cs="Times New Roman"/>
          <w:sz w:val="24"/>
          <w:szCs w:val="24"/>
          <w:lang w:val="en-US"/>
        </w:rPr>
        <w:t xml:space="preserve">d written informed consent (yes, </w:t>
      </w:r>
      <w:r w:rsidRPr="007B140B">
        <w:rPr>
          <w:rFonts w:ascii="Times New Roman" w:hAnsi="Times New Roman" w:cs="Times New Roman"/>
          <w:sz w:val="24"/>
          <w:szCs w:val="24"/>
          <w:lang w:val="en-US"/>
        </w:rPr>
        <w:t>no)</w:t>
      </w:r>
    </w:p>
    <w:p w14:paraId="6A0F6435" w14:textId="05E50033" w:rsidR="00EF3934" w:rsidRPr="007B140B" w:rsidRDefault="00FA38D5" w:rsidP="00363CEE">
      <w:pPr>
        <w:pStyle w:val="Liststycke"/>
        <w:numPr>
          <w:ilvl w:val="0"/>
          <w:numId w:val="16"/>
        </w:num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Ambulatory (yes, </w:t>
      </w:r>
      <w:r w:rsidR="00EF3934" w:rsidRPr="007B140B">
        <w:rPr>
          <w:rFonts w:ascii="Times New Roman" w:hAnsi="Times New Roman" w:cs="Times New Roman"/>
          <w:sz w:val="24"/>
          <w:szCs w:val="24"/>
          <w:lang w:val="en-US"/>
        </w:rPr>
        <w:t>no)</w:t>
      </w:r>
    </w:p>
    <w:p w14:paraId="021BDA68" w14:textId="4B1F540F" w:rsidR="009602FF" w:rsidRDefault="009602FF" w:rsidP="00363CEE">
      <w:pPr>
        <w:pStyle w:val="Liststycke"/>
        <w:numPr>
          <w:ilvl w:val="0"/>
          <w:numId w:val="16"/>
        </w:num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Community dwelling </w:t>
      </w:r>
      <w:r w:rsidR="00FA38D5" w:rsidRPr="007B140B">
        <w:rPr>
          <w:rFonts w:ascii="Times New Roman" w:hAnsi="Times New Roman" w:cs="Times New Roman"/>
          <w:sz w:val="24"/>
          <w:szCs w:val="24"/>
          <w:lang w:val="en-US"/>
        </w:rPr>
        <w:t xml:space="preserve">(yes, </w:t>
      </w:r>
      <w:r w:rsidRPr="007B140B">
        <w:rPr>
          <w:rFonts w:ascii="Times New Roman" w:hAnsi="Times New Roman" w:cs="Times New Roman"/>
          <w:sz w:val="24"/>
          <w:szCs w:val="24"/>
          <w:lang w:val="en-US"/>
        </w:rPr>
        <w:t>no)</w:t>
      </w:r>
    </w:p>
    <w:p w14:paraId="0BE8A396" w14:textId="48C16FCF" w:rsidR="00E37498" w:rsidRDefault="00E37498" w:rsidP="00363CEE">
      <w:pPr>
        <w:pStyle w:val="Liststycke"/>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Sustained a n</w:t>
      </w:r>
      <w:r w:rsidRPr="007B140B">
        <w:rPr>
          <w:rFonts w:ascii="Times New Roman" w:hAnsi="Times New Roman" w:cs="Times New Roman"/>
          <w:sz w:val="24"/>
          <w:szCs w:val="24"/>
          <w:lang w:val="en-US"/>
        </w:rPr>
        <w:t>on-hip, non-vertebral fragility fracture</w:t>
      </w:r>
      <w:r>
        <w:rPr>
          <w:rFonts w:ascii="Times New Roman" w:hAnsi="Times New Roman" w:cs="Times New Roman"/>
          <w:sz w:val="24"/>
          <w:szCs w:val="24"/>
          <w:lang w:val="en-US"/>
        </w:rPr>
        <w:t xml:space="preserve"> in the past 2 years (yes, no)</w:t>
      </w:r>
    </w:p>
    <w:p w14:paraId="3FEB3F73" w14:textId="4B330E6B" w:rsidR="00984F11" w:rsidRDefault="00984F11" w:rsidP="00363CEE">
      <w:pPr>
        <w:pStyle w:val="Liststycke"/>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Age ≥65 years at the time of fracture</w:t>
      </w:r>
      <w:r w:rsidR="007A1B05">
        <w:rPr>
          <w:rFonts w:ascii="Times New Roman" w:hAnsi="Times New Roman" w:cs="Times New Roman"/>
          <w:sz w:val="24"/>
          <w:szCs w:val="24"/>
          <w:lang w:val="en-US"/>
        </w:rPr>
        <w:t xml:space="preserve"> (yes, no)</w:t>
      </w:r>
    </w:p>
    <w:p w14:paraId="4F213BE2" w14:textId="4CE457FA" w:rsidR="007A1B05" w:rsidRPr="00066B77" w:rsidRDefault="007A1B05" w:rsidP="00066B77">
      <w:pPr>
        <w:pStyle w:val="Liststycke"/>
        <w:numPr>
          <w:ilvl w:val="0"/>
          <w:numId w:val="16"/>
        </w:numPr>
        <w:autoSpaceDE w:val="0"/>
        <w:autoSpaceDN w:val="0"/>
        <w:adjustRightInd w:val="0"/>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Undergone bone density scanning since the </w:t>
      </w:r>
      <w:r w:rsidR="0062011A">
        <w:rPr>
          <w:rFonts w:ascii="Times New Roman" w:hAnsi="Times New Roman" w:cs="Times New Roman"/>
          <w:sz w:val="24"/>
          <w:szCs w:val="24"/>
          <w:lang w:val="en-US"/>
        </w:rPr>
        <w:t>baseline</w:t>
      </w:r>
      <w:r w:rsidRPr="007B140B">
        <w:rPr>
          <w:rFonts w:ascii="Times New Roman" w:hAnsi="Times New Roman" w:cs="Times New Roman"/>
          <w:sz w:val="24"/>
          <w:szCs w:val="24"/>
          <w:lang w:val="en-US"/>
        </w:rPr>
        <w:t xml:space="preserve"> fracture</w:t>
      </w:r>
      <w:r>
        <w:rPr>
          <w:rFonts w:ascii="Times New Roman" w:hAnsi="Times New Roman" w:cs="Times New Roman"/>
          <w:sz w:val="24"/>
          <w:szCs w:val="24"/>
          <w:lang w:val="en-US"/>
        </w:rPr>
        <w:t xml:space="preserve"> (yes, no)</w:t>
      </w:r>
    </w:p>
    <w:p w14:paraId="6E6164B1" w14:textId="0C426246" w:rsidR="00EF3934" w:rsidRPr="007B140B" w:rsidRDefault="00FA38D5" w:rsidP="00363CEE">
      <w:pPr>
        <w:pStyle w:val="Liststycke"/>
        <w:numPr>
          <w:ilvl w:val="0"/>
          <w:numId w:val="16"/>
        </w:num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History of hip fracture (yes, </w:t>
      </w:r>
      <w:r w:rsidR="00EF3934" w:rsidRPr="007B140B">
        <w:rPr>
          <w:rFonts w:ascii="Times New Roman" w:hAnsi="Times New Roman" w:cs="Times New Roman"/>
          <w:sz w:val="24"/>
          <w:szCs w:val="24"/>
          <w:lang w:val="en-US"/>
        </w:rPr>
        <w:t>no)</w:t>
      </w:r>
    </w:p>
    <w:p w14:paraId="17202AC1" w14:textId="689173D1" w:rsidR="00EF3934" w:rsidRPr="007B140B" w:rsidRDefault="00EF3934" w:rsidP="00363CEE">
      <w:pPr>
        <w:pStyle w:val="Liststycke"/>
        <w:numPr>
          <w:ilvl w:val="0"/>
          <w:numId w:val="16"/>
        </w:numPr>
        <w:rPr>
          <w:rFonts w:ascii="Times New Roman" w:hAnsi="Times New Roman" w:cs="Times New Roman"/>
          <w:sz w:val="24"/>
          <w:szCs w:val="24"/>
          <w:lang w:val="en-US"/>
        </w:rPr>
      </w:pPr>
      <w:r w:rsidRPr="007B140B">
        <w:rPr>
          <w:rFonts w:ascii="Times New Roman" w:hAnsi="Times New Roman" w:cs="Times New Roman"/>
          <w:sz w:val="24"/>
          <w:szCs w:val="24"/>
          <w:lang w:val="en-US"/>
        </w:rPr>
        <w:t>History of vert</w:t>
      </w:r>
      <w:r w:rsidR="00FA38D5" w:rsidRPr="007B140B">
        <w:rPr>
          <w:rFonts w:ascii="Times New Roman" w:hAnsi="Times New Roman" w:cs="Times New Roman"/>
          <w:sz w:val="24"/>
          <w:szCs w:val="24"/>
          <w:lang w:val="en-US"/>
        </w:rPr>
        <w:t xml:space="preserve">ebral compression fracture (yes, </w:t>
      </w:r>
      <w:r w:rsidRPr="007B140B">
        <w:rPr>
          <w:rFonts w:ascii="Times New Roman" w:hAnsi="Times New Roman" w:cs="Times New Roman"/>
          <w:sz w:val="24"/>
          <w:szCs w:val="24"/>
          <w:lang w:val="en-US"/>
        </w:rPr>
        <w:t>no)</w:t>
      </w:r>
    </w:p>
    <w:p w14:paraId="49A62283" w14:textId="2526486C" w:rsidR="009A637B" w:rsidRPr="007B140B" w:rsidRDefault="00F07CFD" w:rsidP="00363CEE">
      <w:pPr>
        <w:pStyle w:val="Liststycke"/>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Ever d</w:t>
      </w:r>
      <w:r w:rsidR="009A637B" w:rsidRPr="007B140B">
        <w:rPr>
          <w:rFonts w:ascii="Times New Roman" w:hAnsi="Times New Roman" w:cs="Times New Roman"/>
          <w:sz w:val="24"/>
          <w:szCs w:val="24"/>
          <w:lang w:val="en-US"/>
        </w:rPr>
        <w:t>iagnos</w:t>
      </w:r>
      <w:r w:rsidR="0071044A" w:rsidRPr="007B140B">
        <w:rPr>
          <w:rFonts w:ascii="Times New Roman" w:hAnsi="Times New Roman" w:cs="Times New Roman"/>
          <w:sz w:val="24"/>
          <w:szCs w:val="24"/>
          <w:lang w:val="en-US"/>
        </w:rPr>
        <w:t>is of</w:t>
      </w:r>
      <w:r w:rsidR="00FA38D5" w:rsidRPr="007B140B">
        <w:rPr>
          <w:rFonts w:ascii="Times New Roman" w:hAnsi="Times New Roman" w:cs="Times New Roman"/>
          <w:sz w:val="24"/>
          <w:szCs w:val="24"/>
          <w:lang w:val="en-US"/>
        </w:rPr>
        <w:t xml:space="preserve"> osteoporosis (yes, </w:t>
      </w:r>
      <w:r w:rsidR="009A637B" w:rsidRPr="007B140B">
        <w:rPr>
          <w:rFonts w:ascii="Times New Roman" w:hAnsi="Times New Roman" w:cs="Times New Roman"/>
          <w:sz w:val="24"/>
          <w:szCs w:val="24"/>
          <w:lang w:val="en-US"/>
        </w:rPr>
        <w:t>no)</w:t>
      </w:r>
    </w:p>
    <w:p w14:paraId="5DC933BD" w14:textId="4F217105" w:rsidR="002E4AF7" w:rsidRPr="007B140B" w:rsidRDefault="002E4AF7" w:rsidP="00363CEE">
      <w:pPr>
        <w:pStyle w:val="Liststycke"/>
        <w:numPr>
          <w:ilvl w:val="0"/>
          <w:numId w:val="16"/>
        </w:numPr>
        <w:rPr>
          <w:rFonts w:ascii="Times New Roman" w:hAnsi="Times New Roman" w:cs="Times New Roman"/>
          <w:sz w:val="24"/>
          <w:szCs w:val="24"/>
          <w:lang w:val="en-US"/>
        </w:rPr>
      </w:pPr>
      <w:r w:rsidRPr="007B140B">
        <w:rPr>
          <w:rFonts w:ascii="Times New Roman" w:hAnsi="Times New Roman" w:cs="Times New Roman"/>
          <w:sz w:val="24"/>
          <w:szCs w:val="24"/>
          <w:lang w:val="en-US"/>
        </w:rPr>
        <w:t>Remaini</w:t>
      </w:r>
      <w:r w:rsidR="00FA38D5" w:rsidRPr="007B140B">
        <w:rPr>
          <w:rFonts w:ascii="Times New Roman" w:hAnsi="Times New Roman" w:cs="Times New Roman"/>
          <w:sz w:val="24"/>
          <w:szCs w:val="24"/>
          <w:lang w:val="en-US"/>
        </w:rPr>
        <w:t xml:space="preserve">ng life expectancy &lt;1 year (yes, </w:t>
      </w:r>
      <w:r w:rsidRPr="007B140B">
        <w:rPr>
          <w:rFonts w:ascii="Times New Roman" w:hAnsi="Times New Roman" w:cs="Times New Roman"/>
          <w:sz w:val="24"/>
          <w:szCs w:val="24"/>
          <w:lang w:val="en-US"/>
        </w:rPr>
        <w:t>no)</w:t>
      </w:r>
    </w:p>
    <w:p w14:paraId="246A6EF9" w14:textId="02F3432C" w:rsidR="003555FC" w:rsidRPr="007B140B" w:rsidRDefault="00457B99" w:rsidP="00363CEE">
      <w:pPr>
        <w:pStyle w:val="Liststycke"/>
        <w:numPr>
          <w:ilvl w:val="0"/>
          <w:numId w:val="16"/>
        </w:numPr>
        <w:rPr>
          <w:rFonts w:ascii="Times New Roman" w:hAnsi="Times New Roman" w:cs="Times New Roman"/>
          <w:sz w:val="24"/>
          <w:szCs w:val="24"/>
          <w:lang w:val="en-US"/>
        </w:rPr>
      </w:pPr>
      <w:r w:rsidRPr="007B140B">
        <w:rPr>
          <w:rFonts w:ascii="Times New Roman" w:hAnsi="Times New Roman" w:cs="Times New Roman"/>
          <w:sz w:val="24"/>
          <w:szCs w:val="24"/>
          <w:lang w:val="en-US"/>
        </w:rPr>
        <w:t>Ever use</w:t>
      </w:r>
      <w:r w:rsidR="00107A04" w:rsidRPr="007B140B">
        <w:rPr>
          <w:rFonts w:ascii="Times New Roman" w:hAnsi="Times New Roman" w:cs="Times New Roman"/>
          <w:sz w:val="24"/>
          <w:szCs w:val="24"/>
          <w:lang w:val="en-US"/>
        </w:rPr>
        <w:t xml:space="preserve"> of</w:t>
      </w:r>
      <w:r w:rsidR="003555FC" w:rsidRPr="007B140B">
        <w:rPr>
          <w:rFonts w:ascii="Times New Roman" w:hAnsi="Times New Roman" w:cs="Times New Roman"/>
          <w:sz w:val="24"/>
          <w:szCs w:val="24"/>
          <w:lang w:val="en-US"/>
        </w:rPr>
        <w:t xml:space="preserve"> antidepressant</w:t>
      </w:r>
      <w:r w:rsidR="00FA38D5" w:rsidRPr="007B140B">
        <w:rPr>
          <w:rFonts w:ascii="Times New Roman" w:hAnsi="Times New Roman" w:cs="Times New Roman"/>
          <w:sz w:val="24"/>
          <w:szCs w:val="24"/>
          <w:lang w:val="en-US"/>
        </w:rPr>
        <w:t xml:space="preserve"> (yes, </w:t>
      </w:r>
      <w:r w:rsidR="00107A04" w:rsidRPr="007B140B">
        <w:rPr>
          <w:rFonts w:ascii="Times New Roman" w:hAnsi="Times New Roman" w:cs="Times New Roman"/>
          <w:sz w:val="24"/>
          <w:szCs w:val="24"/>
          <w:lang w:val="en-US"/>
        </w:rPr>
        <w:t>no)</w:t>
      </w:r>
    </w:p>
    <w:p w14:paraId="676C2E5D" w14:textId="19A87AEC" w:rsidR="003555FC" w:rsidRPr="007B140B" w:rsidRDefault="00FA38D5" w:rsidP="003555FC">
      <w:pPr>
        <w:pStyle w:val="Liststycke"/>
        <w:numPr>
          <w:ilvl w:val="0"/>
          <w:numId w:val="16"/>
        </w:num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History of stroke (yes, </w:t>
      </w:r>
      <w:r w:rsidR="00961494" w:rsidRPr="007B140B">
        <w:rPr>
          <w:rFonts w:ascii="Times New Roman" w:hAnsi="Times New Roman" w:cs="Times New Roman"/>
          <w:sz w:val="24"/>
          <w:szCs w:val="24"/>
          <w:lang w:val="en-US"/>
        </w:rPr>
        <w:t>no)</w:t>
      </w:r>
    </w:p>
    <w:p w14:paraId="7A3C9CF5" w14:textId="0DF0EBDF" w:rsidR="00961494" w:rsidRPr="007B140B" w:rsidRDefault="00961494" w:rsidP="00363CEE">
      <w:pPr>
        <w:pStyle w:val="Liststycke"/>
        <w:numPr>
          <w:ilvl w:val="0"/>
          <w:numId w:val="16"/>
        </w:numPr>
        <w:rPr>
          <w:rFonts w:ascii="Times New Roman" w:hAnsi="Times New Roman" w:cs="Times New Roman"/>
          <w:sz w:val="24"/>
          <w:szCs w:val="24"/>
          <w:lang w:val="en-US"/>
        </w:rPr>
      </w:pPr>
      <w:r w:rsidRPr="007B140B">
        <w:rPr>
          <w:rFonts w:ascii="Times New Roman" w:hAnsi="Times New Roman" w:cs="Times New Roman"/>
          <w:sz w:val="24"/>
          <w:szCs w:val="24"/>
          <w:lang w:val="en-US"/>
        </w:rPr>
        <w:t>Histor</w:t>
      </w:r>
      <w:r w:rsidR="00FA38D5" w:rsidRPr="007B140B">
        <w:rPr>
          <w:rFonts w:ascii="Times New Roman" w:hAnsi="Times New Roman" w:cs="Times New Roman"/>
          <w:sz w:val="24"/>
          <w:szCs w:val="24"/>
          <w:lang w:val="en-US"/>
        </w:rPr>
        <w:t xml:space="preserve">y of myocardial infarction (yes, </w:t>
      </w:r>
      <w:r w:rsidRPr="007B140B">
        <w:rPr>
          <w:rFonts w:ascii="Times New Roman" w:hAnsi="Times New Roman" w:cs="Times New Roman"/>
          <w:sz w:val="24"/>
          <w:szCs w:val="24"/>
          <w:lang w:val="en-US"/>
        </w:rPr>
        <w:t>no)</w:t>
      </w:r>
    </w:p>
    <w:p w14:paraId="1635AE62" w14:textId="6828C087" w:rsidR="004B61FB" w:rsidRPr="007B140B" w:rsidRDefault="004B61FB" w:rsidP="00363CEE">
      <w:pPr>
        <w:pStyle w:val="Liststycke"/>
        <w:numPr>
          <w:ilvl w:val="0"/>
          <w:numId w:val="16"/>
        </w:numPr>
        <w:autoSpaceDE w:val="0"/>
        <w:autoSpaceDN w:val="0"/>
        <w:adjustRightInd w:val="0"/>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Use of systemic glucocorticoids at a dose of ≥5 mg (prednisolone or equivalent) for ≥3 months in the past year</w:t>
      </w:r>
      <w:r w:rsidR="00FA38D5" w:rsidRPr="007B140B">
        <w:rPr>
          <w:rFonts w:ascii="Times New Roman" w:hAnsi="Times New Roman" w:cs="Times New Roman"/>
          <w:sz w:val="24"/>
          <w:szCs w:val="24"/>
          <w:lang w:val="en-US"/>
        </w:rPr>
        <w:t xml:space="preserve"> (yes, </w:t>
      </w:r>
      <w:r w:rsidR="00326A51" w:rsidRPr="007B140B">
        <w:rPr>
          <w:rFonts w:ascii="Times New Roman" w:hAnsi="Times New Roman" w:cs="Times New Roman"/>
          <w:sz w:val="24"/>
          <w:szCs w:val="24"/>
          <w:lang w:val="en-US"/>
        </w:rPr>
        <w:t>no)</w:t>
      </w:r>
    </w:p>
    <w:p w14:paraId="789598EB" w14:textId="4C466057" w:rsidR="00961494" w:rsidRDefault="0033561C" w:rsidP="00363CEE">
      <w:pPr>
        <w:pStyle w:val="Liststycke"/>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Previous</w:t>
      </w:r>
      <w:r w:rsidR="00961494" w:rsidRPr="007B140B">
        <w:rPr>
          <w:rFonts w:ascii="Times New Roman" w:hAnsi="Times New Roman" w:cs="Times New Roman"/>
          <w:sz w:val="24"/>
          <w:szCs w:val="24"/>
          <w:lang w:val="en-US"/>
        </w:rPr>
        <w:t xml:space="preserve"> use of </w:t>
      </w:r>
      <w:r>
        <w:rPr>
          <w:rFonts w:ascii="Times New Roman" w:hAnsi="Times New Roman" w:cs="Times New Roman"/>
          <w:sz w:val="24"/>
          <w:szCs w:val="24"/>
          <w:lang w:val="en-US"/>
        </w:rPr>
        <w:t>bone protective drug</w:t>
      </w:r>
      <w:r w:rsidR="00FA38D5" w:rsidRPr="007B140B">
        <w:rPr>
          <w:rFonts w:ascii="Times New Roman" w:hAnsi="Times New Roman" w:cs="Times New Roman"/>
          <w:sz w:val="24"/>
          <w:szCs w:val="24"/>
          <w:lang w:val="en-US"/>
        </w:rPr>
        <w:t xml:space="preserve"> (yes, </w:t>
      </w:r>
      <w:r w:rsidR="00961494" w:rsidRPr="007B140B">
        <w:rPr>
          <w:rFonts w:ascii="Times New Roman" w:hAnsi="Times New Roman" w:cs="Times New Roman"/>
          <w:sz w:val="24"/>
          <w:szCs w:val="24"/>
          <w:lang w:val="en-US"/>
        </w:rPr>
        <w:t>no)</w:t>
      </w:r>
    </w:p>
    <w:p w14:paraId="2DA4EC1B" w14:textId="74F258AA" w:rsidR="003D0759" w:rsidRPr="007B140B" w:rsidRDefault="003D0759" w:rsidP="00363CEE">
      <w:pPr>
        <w:pStyle w:val="Liststycke"/>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Malabsorption of calcium and/or vitamin D (yes, no)</w:t>
      </w:r>
    </w:p>
    <w:p w14:paraId="211B55B6" w14:textId="030E6346" w:rsidR="00A63841" w:rsidRPr="007B140B" w:rsidRDefault="00A63841" w:rsidP="00A63841">
      <w:pPr>
        <w:pStyle w:val="Liststycke"/>
        <w:numPr>
          <w:ilvl w:val="0"/>
          <w:numId w:val="16"/>
        </w:numPr>
        <w:rPr>
          <w:rFonts w:ascii="Times New Roman" w:hAnsi="Times New Roman" w:cs="Times New Roman"/>
          <w:sz w:val="24"/>
          <w:szCs w:val="24"/>
          <w:lang w:val="en-US"/>
        </w:rPr>
      </w:pPr>
      <w:r w:rsidRPr="007B140B">
        <w:rPr>
          <w:rFonts w:ascii="Times New Roman" w:hAnsi="Times New Roman" w:cs="Times New Roman"/>
          <w:sz w:val="24"/>
          <w:szCs w:val="24"/>
          <w:lang w:val="en-US"/>
        </w:rPr>
        <w:t>Other medication or medical condition for which bone-prote</w:t>
      </w:r>
      <w:r w:rsidR="00FA38D5" w:rsidRPr="007B140B">
        <w:rPr>
          <w:rFonts w:ascii="Times New Roman" w:hAnsi="Times New Roman" w:cs="Times New Roman"/>
          <w:sz w:val="24"/>
          <w:szCs w:val="24"/>
          <w:lang w:val="en-US"/>
        </w:rPr>
        <w:t xml:space="preserve">ctive therapy is indicated (yes, </w:t>
      </w:r>
      <w:r w:rsidRPr="007B140B">
        <w:rPr>
          <w:rFonts w:ascii="Times New Roman" w:hAnsi="Times New Roman" w:cs="Times New Roman"/>
          <w:sz w:val="24"/>
          <w:szCs w:val="24"/>
          <w:lang w:val="en-US"/>
        </w:rPr>
        <w:t>no)</w:t>
      </w:r>
    </w:p>
    <w:p w14:paraId="60D437DF" w14:textId="30335ECD" w:rsidR="008A04AF" w:rsidRPr="007B140B" w:rsidRDefault="008A04AF" w:rsidP="00363CEE">
      <w:pPr>
        <w:pStyle w:val="Liststycke"/>
        <w:numPr>
          <w:ilvl w:val="0"/>
          <w:numId w:val="16"/>
        </w:num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Place of </w:t>
      </w:r>
      <w:r w:rsidR="0071044A" w:rsidRPr="007B140B">
        <w:rPr>
          <w:rFonts w:ascii="Times New Roman" w:hAnsi="Times New Roman" w:cs="Times New Roman"/>
          <w:sz w:val="24"/>
          <w:szCs w:val="24"/>
          <w:lang w:val="en-US"/>
        </w:rPr>
        <w:t>the</w:t>
      </w:r>
      <w:r w:rsidR="004B4A62" w:rsidRPr="007B140B">
        <w:rPr>
          <w:rFonts w:ascii="Times New Roman" w:hAnsi="Times New Roman" w:cs="Times New Roman"/>
          <w:sz w:val="24"/>
          <w:szCs w:val="24"/>
          <w:lang w:val="en-US"/>
        </w:rPr>
        <w:t xml:space="preserve"> most recent non-hip, non-vertebral</w:t>
      </w:r>
      <w:r w:rsidR="0071044A" w:rsidRPr="007B140B">
        <w:rPr>
          <w:rFonts w:ascii="Times New Roman" w:hAnsi="Times New Roman" w:cs="Times New Roman"/>
          <w:sz w:val="24"/>
          <w:szCs w:val="24"/>
          <w:lang w:val="en-US"/>
        </w:rPr>
        <w:t xml:space="preserve"> </w:t>
      </w:r>
      <w:r w:rsidR="007C39C7" w:rsidRPr="007B140B">
        <w:rPr>
          <w:rFonts w:ascii="Times New Roman" w:hAnsi="Times New Roman" w:cs="Times New Roman"/>
          <w:sz w:val="24"/>
          <w:szCs w:val="24"/>
          <w:lang w:val="en-US"/>
        </w:rPr>
        <w:t xml:space="preserve">fragility </w:t>
      </w:r>
      <w:r w:rsidR="004B4A62" w:rsidRPr="007B140B">
        <w:rPr>
          <w:rFonts w:ascii="Times New Roman" w:hAnsi="Times New Roman" w:cs="Times New Roman"/>
          <w:sz w:val="24"/>
          <w:szCs w:val="24"/>
          <w:lang w:val="en-US"/>
        </w:rPr>
        <w:t>fracture</w:t>
      </w:r>
      <w:r w:rsidR="007C39C7" w:rsidRPr="007B140B">
        <w:rPr>
          <w:rFonts w:ascii="Times New Roman" w:hAnsi="Times New Roman" w:cs="Times New Roman"/>
          <w:sz w:val="24"/>
          <w:szCs w:val="24"/>
          <w:lang w:val="en-US"/>
        </w:rPr>
        <w:t xml:space="preserve"> </w:t>
      </w:r>
      <w:r w:rsidR="00FA38D5" w:rsidRPr="007B140B">
        <w:rPr>
          <w:rFonts w:ascii="Times New Roman" w:hAnsi="Times New Roman" w:cs="Times New Roman"/>
          <w:sz w:val="24"/>
          <w:szCs w:val="24"/>
          <w:lang w:val="en-US"/>
        </w:rPr>
        <w:t>(</w:t>
      </w:r>
      <w:r w:rsidR="00B93A4E">
        <w:rPr>
          <w:rFonts w:ascii="Times New Roman" w:hAnsi="Times New Roman" w:cs="Times New Roman"/>
          <w:sz w:val="24"/>
          <w:szCs w:val="24"/>
          <w:lang w:val="en-US"/>
        </w:rPr>
        <w:t>indoors</w:t>
      </w:r>
      <w:r w:rsidR="00FA38D5" w:rsidRPr="007B140B">
        <w:rPr>
          <w:rFonts w:ascii="Times New Roman" w:hAnsi="Times New Roman" w:cs="Times New Roman"/>
          <w:sz w:val="24"/>
          <w:szCs w:val="24"/>
          <w:lang w:val="en-US"/>
        </w:rPr>
        <w:t xml:space="preserve">, </w:t>
      </w:r>
      <w:r w:rsidRPr="007B140B">
        <w:rPr>
          <w:rFonts w:ascii="Times New Roman" w:hAnsi="Times New Roman" w:cs="Times New Roman"/>
          <w:sz w:val="24"/>
          <w:szCs w:val="24"/>
          <w:lang w:val="en-US"/>
        </w:rPr>
        <w:t>out</w:t>
      </w:r>
      <w:r w:rsidR="00B93A4E">
        <w:rPr>
          <w:rFonts w:ascii="Times New Roman" w:hAnsi="Times New Roman" w:cs="Times New Roman"/>
          <w:sz w:val="24"/>
          <w:szCs w:val="24"/>
          <w:lang w:val="en-US"/>
        </w:rPr>
        <w:t>doors</w:t>
      </w:r>
      <w:r w:rsidRPr="007B140B">
        <w:rPr>
          <w:rFonts w:ascii="Times New Roman" w:hAnsi="Times New Roman" w:cs="Times New Roman"/>
          <w:sz w:val="24"/>
          <w:szCs w:val="24"/>
          <w:lang w:val="en-US"/>
        </w:rPr>
        <w:t>)</w:t>
      </w:r>
    </w:p>
    <w:p w14:paraId="5232287B" w14:textId="268C93C1" w:rsidR="00063E30" w:rsidRPr="007B140B" w:rsidRDefault="001C0EAA" w:rsidP="00063E30">
      <w:pPr>
        <w:pStyle w:val="Liststycke"/>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Severe renal impairment</w:t>
      </w:r>
      <w:r w:rsidR="00063E30" w:rsidRPr="007B140B">
        <w:rPr>
          <w:rFonts w:ascii="Times New Roman" w:hAnsi="Times New Roman" w:cs="Times New Roman"/>
          <w:sz w:val="24"/>
          <w:szCs w:val="24"/>
          <w:vertAlign w:val="superscript"/>
          <w:lang w:val="en-US"/>
        </w:rPr>
        <w:t xml:space="preserve"> </w:t>
      </w:r>
      <w:r w:rsidR="00FA38D5" w:rsidRPr="007B140B">
        <w:rPr>
          <w:rFonts w:ascii="Times New Roman" w:hAnsi="Times New Roman" w:cs="Times New Roman"/>
          <w:sz w:val="24"/>
          <w:szCs w:val="24"/>
          <w:lang w:val="en-US"/>
        </w:rPr>
        <w:t xml:space="preserve">(yes, </w:t>
      </w:r>
      <w:r w:rsidR="00063E30" w:rsidRPr="007B140B">
        <w:rPr>
          <w:rFonts w:ascii="Times New Roman" w:hAnsi="Times New Roman" w:cs="Times New Roman"/>
          <w:sz w:val="24"/>
          <w:szCs w:val="24"/>
          <w:lang w:val="en-US"/>
        </w:rPr>
        <w:t>no)</w:t>
      </w:r>
    </w:p>
    <w:p w14:paraId="5668D81D" w14:textId="66939D89" w:rsidR="00063E30" w:rsidRDefault="001C0EAA" w:rsidP="00063E30">
      <w:pPr>
        <w:pStyle w:val="Liststycke"/>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Hypocalcemia</w:t>
      </w:r>
      <w:r w:rsidR="00A52247">
        <w:rPr>
          <w:rFonts w:ascii="Times New Roman" w:hAnsi="Times New Roman" w:cs="Times New Roman"/>
          <w:sz w:val="24"/>
          <w:szCs w:val="24"/>
          <w:lang w:val="en-US"/>
        </w:rPr>
        <w:t>/hypercalcemia</w:t>
      </w:r>
      <w:r>
        <w:rPr>
          <w:rFonts w:ascii="Times New Roman" w:hAnsi="Times New Roman" w:cs="Times New Roman"/>
          <w:sz w:val="24"/>
          <w:szCs w:val="24"/>
          <w:lang w:val="en-US"/>
        </w:rPr>
        <w:t xml:space="preserve"> </w:t>
      </w:r>
      <w:r w:rsidR="00FA38D5" w:rsidRPr="007B140B">
        <w:rPr>
          <w:rFonts w:ascii="Times New Roman" w:hAnsi="Times New Roman" w:cs="Times New Roman"/>
          <w:sz w:val="24"/>
          <w:szCs w:val="24"/>
          <w:lang w:val="en-US"/>
        </w:rPr>
        <w:t xml:space="preserve">(yes, </w:t>
      </w:r>
      <w:r w:rsidR="00063E30" w:rsidRPr="007B140B">
        <w:rPr>
          <w:rFonts w:ascii="Times New Roman" w:hAnsi="Times New Roman" w:cs="Times New Roman"/>
          <w:sz w:val="24"/>
          <w:szCs w:val="24"/>
          <w:lang w:val="en-US"/>
        </w:rPr>
        <w:t>no)</w:t>
      </w:r>
    </w:p>
    <w:p w14:paraId="6470FBFE" w14:textId="037654EF" w:rsidR="00B04D41" w:rsidRDefault="00742D17" w:rsidP="00063E30">
      <w:pPr>
        <w:pStyle w:val="Liststycke"/>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 xml:space="preserve">Ever smoker, </w:t>
      </w:r>
      <w:proofErr w:type="gramStart"/>
      <w:r>
        <w:rPr>
          <w:rFonts w:ascii="Times New Roman" w:hAnsi="Times New Roman" w:cs="Times New Roman"/>
          <w:sz w:val="24"/>
          <w:szCs w:val="24"/>
          <w:lang w:val="en-US"/>
        </w:rPr>
        <w:t>i.e.</w:t>
      </w:r>
      <w:proofErr w:type="gramEnd"/>
      <w:r>
        <w:rPr>
          <w:rFonts w:ascii="Times New Roman" w:hAnsi="Times New Roman" w:cs="Times New Roman"/>
          <w:sz w:val="24"/>
          <w:szCs w:val="24"/>
          <w:lang w:val="en-US"/>
        </w:rPr>
        <w:t xml:space="preserve"> s</w:t>
      </w:r>
      <w:r w:rsidR="00B04D41">
        <w:rPr>
          <w:rFonts w:ascii="Times New Roman" w:hAnsi="Times New Roman" w:cs="Times New Roman"/>
          <w:sz w:val="24"/>
          <w:szCs w:val="24"/>
          <w:lang w:val="en-US"/>
        </w:rPr>
        <w:t>moked ≥100 cigarettes in lifetime (yes, no)</w:t>
      </w:r>
    </w:p>
    <w:p w14:paraId="0B9E48C8" w14:textId="40589CD3" w:rsidR="00B04D41" w:rsidRDefault="00B04D41" w:rsidP="00063E30">
      <w:pPr>
        <w:pStyle w:val="Liststycke"/>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Current smoker (yes, no)</w:t>
      </w:r>
    </w:p>
    <w:p w14:paraId="22852791" w14:textId="3FDE02F5" w:rsidR="00B7465A" w:rsidRDefault="00B7465A" w:rsidP="00063E30">
      <w:pPr>
        <w:pStyle w:val="Liststycke"/>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Non-dominant hand (left, right)</w:t>
      </w:r>
    </w:p>
    <w:p w14:paraId="5EE5001F" w14:textId="77777777" w:rsidR="00B04D41" w:rsidRDefault="00B04D41" w:rsidP="006552EA">
      <w:pPr>
        <w:rPr>
          <w:rFonts w:ascii="Times New Roman" w:hAnsi="Times New Roman" w:cs="Times New Roman"/>
          <w:sz w:val="24"/>
          <w:szCs w:val="24"/>
          <w:lang w:val="en-US"/>
        </w:rPr>
      </w:pPr>
    </w:p>
    <w:p w14:paraId="5755BB7B" w14:textId="6D227B67" w:rsidR="00FF3045" w:rsidRPr="007B140B" w:rsidRDefault="00B124C1" w:rsidP="006552EA">
      <w:pPr>
        <w:rPr>
          <w:rFonts w:ascii="Times New Roman" w:hAnsi="Times New Roman" w:cs="Times New Roman"/>
          <w:sz w:val="24"/>
          <w:szCs w:val="24"/>
          <w:lang w:val="en-US"/>
        </w:rPr>
      </w:pPr>
      <w:r w:rsidRPr="007B140B">
        <w:rPr>
          <w:rFonts w:ascii="Times New Roman" w:hAnsi="Times New Roman" w:cs="Times New Roman"/>
          <w:sz w:val="24"/>
          <w:szCs w:val="24"/>
          <w:lang w:val="en-US"/>
        </w:rPr>
        <w:t>Multi-level c</w:t>
      </w:r>
      <w:r w:rsidR="00EB796C" w:rsidRPr="007B140B">
        <w:rPr>
          <w:rFonts w:ascii="Times New Roman" w:hAnsi="Times New Roman" w:cs="Times New Roman"/>
          <w:sz w:val="24"/>
          <w:szCs w:val="24"/>
          <w:lang w:val="en-US"/>
        </w:rPr>
        <w:t>ategorical:</w:t>
      </w:r>
    </w:p>
    <w:p w14:paraId="714BC5F7" w14:textId="7A5CD999" w:rsidR="00137BCA" w:rsidRPr="007B140B" w:rsidRDefault="00137BCA" w:rsidP="00405BD7">
      <w:pPr>
        <w:pStyle w:val="Liststycke"/>
        <w:numPr>
          <w:ilvl w:val="0"/>
          <w:numId w:val="19"/>
        </w:num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Type of fall that led to the </w:t>
      </w:r>
      <w:r w:rsidR="0062011A">
        <w:rPr>
          <w:rFonts w:ascii="Times New Roman" w:hAnsi="Times New Roman" w:cs="Times New Roman"/>
          <w:sz w:val="24"/>
          <w:szCs w:val="24"/>
          <w:lang w:val="en-US"/>
        </w:rPr>
        <w:t>baseline</w:t>
      </w:r>
      <w:r w:rsidRPr="007B140B">
        <w:rPr>
          <w:rFonts w:ascii="Times New Roman" w:hAnsi="Times New Roman" w:cs="Times New Roman"/>
          <w:sz w:val="24"/>
          <w:szCs w:val="24"/>
          <w:lang w:val="en-US"/>
        </w:rPr>
        <w:t xml:space="preserve"> fracture</w:t>
      </w:r>
      <w:r w:rsidR="005E6C9E" w:rsidRPr="007B140B">
        <w:rPr>
          <w:rFonts w:ascii="Times New Roman" w:hAnsi="Times New Roman" w:cs="Times New Roman"/>
          <w:sz w:val="24"/>
          <w:szCs w:val="24"/>
          <w:lang w:val="en-US"/>
        </w:rPr>
        <w:t xml:space="preserve"> (</w:t>
      </w:r>
      <w:r w:rsidR="001C4ACF">
        <w:rPr>
          <w:rFonts w:ascii="Times New Roman" w:hAnsi="Times New Roman" w:cs="Times New Roman"/>
          <w:sz w:val="24"/>
          <w:szCs w:val="24"/>
          <w:lang w:val="en-US"/>
        </w:rPr>
        <w:t>f</w:t>
      </w:r>
      <w:r w:rsidR="001C4ACF" w:rsidRPr="00A342D8">
        <w:rPr>
          <w:rFonts w:ascii="Times New Roman" w:hAnsi="Times New Roman" w:cs="Times New Roman"/>
          <w:sz w:val="24"/>
          <w:szCs w:val="24"/>
          <w:lang w:val="en-US"/>
        </w:rPr>
        <w:t>all on same level involving ice and snow</w:t>
      </w:r>
      <w:r w:rsidR="001C4ACF">
        <w:rPr>
          <w:rFonts w:ascii="Times New Roman" w:hAnsi="Times New Roman" w:cs="Times New Roman"/>
          <w:sz w:val="24"/>
          <w:szCs w:val="24"/>
          <w:lang w:val="en-US"/>
        </w:rPr>
        <w:t>; f</w:t>
      </w:r>
      <w:r w:rsidR="001C4ACF" w:rsidRPr="001A5F50">
        <w:rPr>
          <w:rFonts w:ascii="Times New Roman" w:hAnsi="Times New Roman" w:cs="Times New Roman"/>
          <w:sz w:val="24"/>
          <w:szCs w:val="24"/>
          <w:lang w:val="en-US"/>
        </w:rPr>
        <w:t>all on same level from slipping, tripping and stumbling</w:t>
      </w:r>
      <w:r w:rsidR="001C4ACF">
        <w:rPr>
          <w:rFonts w:ascii="Times New Roman" w:hAnsi="Times New Roman" w:cs="Times New Roman"/>
          <w:sz w:val="24"/>
          <w:szCs w:val="24"/>
          <w:lang w:val="en-US"/>
        </w:rPr>
        <w:t>;</w:t>
      </w:r>
      <w:r w:rsidR="001C4ACF" w:rsidDel="001C4ACF">
        <w:rPr>
          <w:rFonts w:ascii="Times New Roman" w:hAnsi="Times New Roman" w:cs="Times New Roman"/>
          <w:sz w:val="24"/>
          <w:szCs w:val="24"/>
          <w:lang w:val="en-US"/>
        </w:rPr>
        <w:t xml:space="preserve"> </w:t>
      </w:r>
      <w:r w:rsidR="001C4ACF">
        <w:rPr>
          <w:rFonts w:ascii="Times New Roman" w:hAnsi="Times New Roman" w:cs="Times New Roman"/>
          <w:sz w:val="24"/>
          <w:szCs w:val="24"/>
          <w:lang w:val="en-US"/>
        </w:rPr>
        <w:t>o</w:t>
      </w:r>
      <w:r w:rsidR="001C4ACF" w:rsidRPr="001A5F50">
        <w:rPr>
          <w:rFonts w:ascii="Times New Roman" w:hAnsi="Times New Roman" w:cs="Times New Roman"/>
          <w:sz w:val="24"/>
          <w:szCs w:val="24"/>
          <w:lang w:val="en-US"/>
        </w:rPr>
        <w:t>ther fall on same level due to collision with, or pushing by, another person</w:t>
      </w:r>
      <w:r w:rsidR="001C4ACF">
        <w:rPr>
          <w:rFonts w:ascii="Times New Roman" w:hAnsi="Times New Roman" w:cs="Times New Roman"/>
          <w:sz w:val="24"/>
          <w:szCs w:val="24"/>
          <w:lang w:val="en-US"/>
        </w:rPr>
        <w:t>; f</w:t>
      </w:r>
      <w:r w:rsidR="001C4ACF" w:rsidRPr="001A5F50">
        <w:rPr>
          <w:rFonts w:ascii="Times New Roman" w:hAnsi="Times New Roman" w:cs="Times New Roman"/>
          <w:sz w:val="24"/>
          <w:szCs w:val="24"/>
          <w:lang w:val="en-US"/>
        </w:rPr>
        <w:t>all while being carried or supported by other perso</w:t>
      </w:r>
      <w:r w:rsidR="001C4ACF">
        <w:rPr>
          <w:rFonts w:ascii="Times New Roman" w:hAnsi="Times New Roman" w:cs="Times New Roman"/>
          <w:sz w:val="24"/>
          <w:szCs w:val="24"/>
          <w:lang w:val="en-US"/>
        </w:rPr>
        <w:t>ns; o</w:t>
      </w:r>
      <w:r w:rsidR="001C4ACF" w:rsidRPr="001A5F50">
        <w:rPr>
          <w:rFonts w:ascii="Times New Roman" w:hAnsi="Times New Roman" w:cs="Times New Roman"/>
          <w:sz w:val="24"/>
          <w:szCs w:val="24"/>
          <w:lang w:val="en-US"/>
        </w:rPr>
        <w:t>ther fall on same level</w:t>
      </w:r>
      <w:r w:rsidR="005E6C9E" w:rsidRPr="007B140B">
        <w:rPr>
          <w:rFonts w:ascii="Times New Roman" w:hAnsi="Times New Roman" w:cs="Times New Roman"/>
          <w:sz w:val="24"/>
          <w:szCs w:val="24"/>
          <w:lang w:val="en-US"/>
        </w:rPr>
        <w:t>)</w:t>
      </w:r>
    </w:p>
    <w:p w14:paraId="1E0D7472" w14:textId="54CB6358" w:rsidR="003555FC" w:rsidRPr="007B140B" w:rsidRDefault="003555FC" w:rsidP="003555FC">
      <w:pPr>
        <w:pStyle w:val="Liststycke"/>
        <w:numPr>
          <w:ilvl w:val="0"/>
          <w:numId w:val="19"/>
        </w:num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Frequency of alcohol consumption (never, ≤1 time/month, </w:t>
      </w:r>
      <w:r w:rsidR="00B04D41">
        <w:rPr>
          <w:rFonts w:ascii="Times New Roman" w:hAnsi="Times New Roman" w:cs="Times New Roman"/>
          <w:sz w:val="24"/>
          <w:szCs w:val="24"/>
          <w:lang w:val="en-US"/>
        </w:rPr>
        <w:t>2-4</w:t>
      </w:r>
      <w:r w:rsidRPr="007B140B">
        <w:rPr>
          <w:rFonts w:ascii="Times New Roman" w:hAnsi="Times New Roman" w:cs="Times New Roman"/>
          <w:sz w:val="24"/>
          <w:szCs w:val="24"/>
          <w:lang w:val="en-US"/>
        </w:rPr>
        <w:t xml:space="preserve"> times/</w:t>
      </w:r>
      <w:r w:rsidR="00B04D41">
        <w:rPr>
          <w:rFonts w:ascii="Times New Roman" w:hAnsi="Times New Roman" w:cs="Times New Roman"/>
          <w:sz w:val="24"/>
          <w:szCs w:val="24"/>
          <w:lang w:val="en-US"/>
        </w:rPr>
        <w:t xml:space="preserve">month, </w:t>
      </w:r>
      <w:r w:rsidRPr="007B140B">
        <w:rPr>
          <w:rFonts w:ascii="Times New Roman" w:hAnsi="Times New Roman" w:cs="Times New Roman"/>
          <w:sz w:val="24"/>
          <w:szCs w:val="24"/>
          <w:lang w:val="en-US"/>
        </w:rPr>
        <w:t>2-3 times/week, ≥4 times/week)</w:t>
      </w:r>
    </w:p>
    <w:p w14:paraId="4A1601F6" w14:textId="53E407F1" w:rsidR="003555FC" w:rsidRPr="007B140B" w:rsidRDefault="003555FC" w:rsidP="003555FC">
      <w:pPr>
        <w:pStyle w:val="Liststycke"/>
        <w:numPr>
          <w:ilvl w:val="0"/>
          <w:numId w:val="19"/>
        </w:num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Number of glasses of alcohol on a </w:t>
      </w:r>
      <w:r w:rsidR="00BB57B7">
        <w:rPr>
          <w:rFonts w:ascii="Times New Roman" w:hAnsi="Times New Roman" w:cs="Times New Roman"/>
          <w:sz w:val="24"/>
          <w:szCs w:val="24"/>
          <w:lang w:val="en-US"/>
        </w:rPr>
        <w:t xml:space="preserve">typical </w:t>
      </w:r>
      <w:r w:rsidRPr="007B140B">
        <w:rPr>
          <w:rFonts w:ascii="Times New Roman" w:hAnsi="Times New Roman" w:cs="Times New Roman"/>
          <w:sz w:val="24"/>
          <w:szCs w:val="24"/>
          <w:lang w:val="en-US"/>
        </w:rPr>
        <w:t>day of drinking (1-2, 3-4, 5-6, 7-9, ≥10)</w:t>
      </w:r>
    </w:p>
    <w:p w14:paraId="3DB13AF7" w14:textId="703D699A" w:rsidR="006552EA" w:rsidRPr="007B140B" w:rsidRDefault="00961494" w:rsidP="00FF3045">
      <w:pPr>
        <w:pStyle w:val="Liststycke"/>
        <w:numPr>
          <w:ilvl w:val="0"/>
          <w:numId w:val="19"/>
        </w:numPr>
        <w:rPr>
          <w:rFonts w:ascii="Times New Roman" w:hAnsi="Times New Roman" w:cs="Times New Roman"/>
          <w:sz w:val="24"/>
          <w:szCs w:val="24"/>
          <w:lang w:val="en-US"/>
        </w:rPr>
      </w:pPr>
      <w:r w:rsidRPr="007B140B">
        <w:rPr>
          <w:rFonts w:ascii="Times New Roman" w:hAnsi="Times New Roman" w:cs="Times New Roman"/>
          <w:sz w:val="24"/>
          <w:szCs w:val="24"/>
          <w:lang w:val="en-US"/>
        </w:rPr>
        <w:t>Diabetes mellitus (type</w:t>
      </w:r>
      <w:r w:rsidR="008303BA" w:rsidRPr="007B140B">
        <w:rPr>
          <w:rFonts w:ascii="Times New Roman" w:hAnsi="Times New Roman" w:cs="Times New Roman"/>
          <w:sz w:val="24"/>
          <w:szCs w:val="24"/>
          <w:lang w:val="en-US"/>
        </w:rPr>
        <w:t xml:space="preserve"> 1</w:t>
      </w:r>
      <w:r w:rsidR="00AE6DAD">
        <w:rPr>
          <w:rFonts w:ascii="Times New Roman" w:hAnsi="Times New Roman" w:cs="Times New Roman"/>
          <w:sz w:val="24"/>
          <w:szCs w:val="24"/>
          <w:lang w:val="en-US"/>
        </w:rPr>
        <w:t>,</w:t>
      </w:r>
      <w:r w:rsidR="0006796D">
        <w:rPr>
          <w:rFonts w:ascii="Times New Roman" w:hAnsi="Times New Roman" w:cs="Times New Roman"/>
          <w:sz w:val="24"/>
          <w:szCs w:val="24"/>
          <w:lang w:val="en-US"/>
        </w:rPr>
        <w:t xml:space="preserve"> </w:t>
      </w:r>
      <w:r w:rsidR="008303BA" w:rsidRPr="007B140B">
        <w:rPr>
          <w:rFonts w:ascii="Times New Roman" w:hAnsi="Times New Roman" w:cs="Times New Roman"/>
          <w:sz w:val="24"/>
          <w:szCs w:val="24"/>
          <w:lang w:val="en-US"/>
        </w:rPr>
        <w:t>type 2</w:t>
      </w:r>
      <w:r w:rsidR="00AE6DAD">
        <w:rPr>
          <w:rFonts w:ascii="Times New Roman" w:hAnsi="Times New Roman" w:cs="Times New Roman"/>
          <w:sz w:val="24"/>
          <w:szCs w:val="24"/>
          <w:lang w:val="en-US"/>
        </w:rPr>
        <w:t>,</w:t>
      </w:r>
      <w:r w:rsidR="008303BA" w:rsidRPr="007B140B">
        <w:rPr>
          <w:rFonts w:ascii="Times New Roman" w:hAnsi="Times New Roman" w:cs="Times New Roman"/>
          <w:sz w:val="24"/>
          <w:szCs w:val="24"/>
          <w:lang w:val="en-US"/>
        </w:rPr>
        <w:t xml:space="preserve"> </w:t>
      </w:r>
      <w:r w:rsidRPr="007B140B">
        <w:rPr>
          <w:rFonts w:ascii="Times New Roman" w:hAnsi="Times New Roman" w:cs="Times New Roman"/>
          <w:sz w:val="24"/>
          <w:szCs w:val="24"/>
          <w:lang w:val="en-US"/>
        </w:rPr>
        <w:t>no)</w:t>
      </w:r>
    </w:p>
    <w:p w14:paraId="51E77ED4" w14:textId="7F093147" w:rsidR="00AB29CE" w:rsidRPr="00066B77" w:rsidRDefault="00961494" w:rsidP="003B34FA">
      <w:pPr>
        <w:pStyle w:val="Liststycke"/>
        <w:numPr>
          <w:ilvl w:val="0"/>
          <w:numId w:val="19"/>
        </w:numPr>
        <w:rPr>
          <w:rFonts w:ascii="Times New Roman" w:hAnsi="Times New Roman" w:cs="Times New Roman"/>
          <w:sz w:val="24"/>
          <w:szCs w:val="24"/>
          <w:lang w:val="en-US"/>
        </w:rPr>
      </w:pPr>
      <w:r w:rsidRPr="007B140B">
        <w:rPr>
          <w:rFonts w:ascii="Times New Roman" w:hAnsi="Times New Roman" w:cs="Times New Roman"/>
          <w:sz w:val="24"/>
          <w:szCs w:val="24"/>
          <w:lang w:val="en-US"/>
        </w:rPr>
        <w:t>Cancer (current, previous, no)</w:t>
      </w:r>
    </w:p>
    <w:p w14:paraId="0E66307E" w14:textId="265F9E8E" w:rsidR="001F1EA0" w:rsidRPr="007B140B" w:rsidRDefault="00471524" w:rsidP="00471524">
      <w:pPr>
        <w:pStyle w:val="Liststycke"/>
        <w:numPr>
          <w:ilvl w:val="0"/>
          <w:numId w:val="19"/>
        </w:numPr>
        <w:rPr>
          <w:rFonts w:ascii="Times New Roman" w:hAnsi="Times New Roman" w:cs="Times New Roman"/>
          <w:sz w:val="24"/>
          <w:szCs w:val="24"/>
          <w:lang w:val="en-US"/>
        </w:rPr>
      </w:pPr>
      <w:r w:rsidRPr="007B140B">
        <w:rPr>
          <w:rFonts w:ascii="Times New Roman" w:hAnsi="Times New Roman" w:cs="Times New Roman"/>
          <w:sz w:val="24"/>
          <w:szCs w:val="24"/>
          <w:lang w:val="en-US"/>
        </w:rPr>
        <w:t>Skeletal site</w:t>
      </w:r>
      <w:r w:rsidR="009E69B0">
        <w:rPr>
          <w:rFonts w:ascii="Times New Roman" w:hAnsi="Times New Roman" w:cs="Times New Roman"/>
          <w:sz w:val="24"/>
          <w:szCs w:val="24"/>
          <w:lang w:val="en-US"/>
        </w:rPr>
        <w:t>(s)</w:t>
      </w:r>
      <w:r w:rsidRPr="007B140B">
        <w:rPr>
          <w:rFonts w:ascii="Times New Roman" w:hAnsi="Times New Roman" w:cs="Times New Roman"/>
          <w:sz w:val="24"/>
          <w:szCs w:val="24"/>
          <w:lang w:val="en-US"/>
        </w:rPr>
        <w:t xml:space="preserve"> of </w:t>
      </w:r>
      <w:r w:rsidR="0062011A">
        <w:rPr>
          <w:rFonts w:ascii="Times New Roman" w:hAnsi="Times New Roman" w:cs="Times New Roman"/>
          <w:sz w:val="24"/>
          <w:szCs w:val="24"/>
          <w:lang w:val="en-US"/>
        </w:rPr>
        <w:t>baseline fracture</w:t>
      </w:r>
      <w:r w:rsidR="004B4A62" w:rsidRPr="007B140B">
        <w:rPr>
          <w:rFonts w:ascii="Times New Roman" w:hAnsi="Times New Roman" w:cs="Times New Roman"/>
          <w:sz w:val="24"/>
          <w:szCs w:val="24"/>
          <w:lang w:val="en-US"/>
        </w:rPr>
        <w:t xml:space="preserve"> </w:t>
      </w:r>
      <w:r w:rsidR="00E95132" w:rsidRPr="007B140B">
        <w:rPr>
          <w:rFonts w:ascii="Times New Roman" w:hAnsi="Times New Roman" w:cs="Times New Roman"/>
          <w:sz w:val="24"/>
          <w:szCs w:val="24"/>
          <w:lang w:val="en-US"/>
        </w:rPr>
        <w:t>(</w:t>
      </w:r>
      <w:r w:rsidR="00B9315A">
        <w:rPr>
          <w:rFonts w:ascii="Times New Roman" w:hAnsi="Times New Roman" w:cs="Times New Roman"/>
          <w:sz w:val="24"/>
          <w:szCs w:val="24"/>
          <w:lang w:val="en-US"/>
        </w:rPr>
        <w:t xml:space="preserve">femur excluding hip, shoulder/upper arm, pelvis, </w:t>
      </w:r>
      <w:r w:rsidR="0024372C">
        <w:rPr>
          <w:rFonts w:ascii="Times New Roman" w:hAnsi="Times New Roman" w:cs="Times New Roman"/>
          <w:sz w:val="24"/>
          <w:szCs w:val="24"/>
          <w:lang w:val="en-US"/>
        </w:rPr>
        <w:t>r</w:t>
      </w:r>
      <w:r w:rsidR="00760778">
        <w:rPr>
          <w:rFonts w:ascii="Times New Roman" w:hAnsi="Times New Roman" w:cs="Times New Roman"/>
          <w:sz w:val="24"/>
          <w:szCs w:val="24"/>
          <w:lang w:val="en-US"/>
        </w:rPr>
        <w:t>ibs/sternum/bony thorax,</w:t>
      </w:r>
      <w:r w:rsidR="00B9315A">
        <w:rPr>
          <w:rFonts w:ascii="Times New Roman" w:hAnsi="Times New Roman" w:cs="Times New Roman"/>
          <w:sz w:val="24"/>
          <w:szCs w:val="24"/>
          <w:lang w:val="en-US"/>
        </w:rPr>
        <w:t xml:space="preserve"> </w:t>
      </w:r>
      <w:r w:rsidR="00760778">
        <w:rPr>
          <w:rFonts w:ascii="Times New Roman" w:hAnsi="Times New Roman" w:cs="Times New Roman"/>
          <w:sz w:val="24"/>
          <w:szCs w:val="24"/>
          <w:lang w:val="en-US"/>
        </w:rPr>
        <w:t>lower leg</w:t>
      </w:r>
      <w:r w:rsidR="00B9315A">
        <w:rPr>
          <w:rFonts w:ascii="Times New Roman" w:hAnsi="Times New Roman" w:cs="Times New Roman"/>
          <w:sz w:val="24"/>
          <w:szCs w:val="24"/>
          <w:lang w:val="en-US"/>
        </w:rPr>
        <w:t>,</w:t>
      </w:r>
      <w:r w:rsidR="00B9315A" w:rsidRPr="00B9315A">
        <w:rPr>
          <w:rFonts w:ascii="Times New Roman" w:hAnsi="Times New Roman" w:cs="Times New Roman"/>
          <w:sz w:val="24"/>
          <w:szCs w:val="24"/>
          <w:lang w:val="en-US"/>
        </w:rPr>
        <w:t xml:space="preserve"> </w:t>
      </w:r>
      <w:r w:rsidR="00B9315A">
        <w:rPr>
          <w:rFonts w:ascii="Times New Roman" w:hAnsi="Times New Roman" w:cs="Times New Roman"/>
          <w:sz w:val="24"/>
          <w:szCs w:val="24"/>
          <w:lang w:val="en-US"/>
        </w:rPr>
        <w:t>forearm</w:t>
      </w:r>
      <w:r w:rsidR="00760778">
        <w:rPr>
          <w:rFonts w:ascii="Times New Roman" w:hAnsi="Times New Roman" w:cs="Times New Roman"/>
          <w:sz w:val="24"/>
          <w:szCs w:val="24"/>
          <w:lang w:val="en-US"/>
        </w:rPr>
        <w:t>)</w:t>
      </w:r>
    </w:p>
    <w:p w14:paraId="181154BF" w14:textId="38D4F457" w:rsidR="00912384" w:rsidRPr="007B140B" w:rsidRDefault="00912384" w:rsidP="00FF3045">
      <w:pPr>
        <w:pStyle w:val="Liststycke"/>
        <w:numPr>
          <w:ilvl w:val="0"/>
          <w:numId w:val="19"/>
        </w:numPr>
        <w:rPr>
          <w:rFonts w:ascii="Times New Roman" w:hAnsi="Times New Roman" w:cs="Times New Roman"/>
          <w:sz w:val="24"/>
          <w:szCs w:val="24"/>
          <w:lang w:val="en-US"/>
        </w:rPr>
      </w:pPr>
      <w:r w:rsidRPr="007B140B">
        <w:rPr>
          <w:rFonts w:ascii="Times New Roman" w:hAnsi="Times New Roman" w:cs="Times New Roman"/>
          <w:sz w:val="24"/>
          <w:szCs w:val="24"/>
          <w:lang w:val="en-US"/>
        </w:rPr>
        <w:lastRenderedPageBreak/>
        <w:t>Method of recruitment</w:t>
      </w:r>
      <w:r w:rsidR="00E35926" w:rsidRPr="007B140B">
        <w:rPr>
          <w:rFonts w:ascii="Times New Roman" w:hAnsi="Times New Roman" w:cs="Times New Roman"/>
          <w:sz w:val="24"/>
          <w:szCs w:val="24"/>
          <w:lang w:val="en-US"/>
        </w:rPr>
        <w:t xml:space="preserve"> (Swedish Fracture Registry, local hospital registry,</w:t>
      </w:r>
      <w:r w:rsidR="00E8001E">
        <w:rPr>
          <w:rFonts w:ascii="Times New Roman" w:hAnsi="Times New Roman" w:cs="Times New Roman"/>
          <w:sz w:val="24"/>
          <w:szCs w:val="24"/>
          <w:lang w:val="en-US"/>
        </w:rPr>
        <w:t xml:space="preserve"> </w:t>
      </w:r>
      <w:r w:rsidR="000A03C9">
        <w:rPr>
          <w:rFonts w:ascii="Times New Roman" w:hAnsi="Times New Roman" w:cs="Times New Roman"/>
          <w:sz w:val="24"/>
          <w:szCs w:val="24"/>
          <w:lang w:val="en-US"/>
        </w:rPr>
        <w:t>participant</w:t>
      </w:r>
      <w:r w:rsidR="00E8001E">
        <w:rPr>
          <w:rFonts w:ascii="Times New Roman" w:hAnsi="Times New Roman" w:cs="Times New Roman"/>
          <w:sz w:val="24"/>
          <w:szCs w:val="24"/>
          <w:lang w:val="en-US"/>
        </w:rPr>
        <w:t xml:space="preserve"> initiative,</w:t>
      </w:r>
      <w:r w:rsidR="00E35926" w:rsidRPr="007B140B">
        <w:rPr>
          <w:rFonts w:ascii="Times New Roman" w:hAnsi="Times New Roman" w:cs="Times New Roman"/>
          <w:sz w:val="24"/>
          <w:szCs w:val="24"/>
          <w:lang w:val="en-US"/>
        </w:rPr>
        <w:t xml:space="preserve"> other)</w:t>
      </w:r>
    </w:p>
    <w:p w14:paraId="179DFD70" w14:textId="1457FA61" w:rsidR="007A2F1C" w:rsidRPr="007B140B" w:rsidRDefault="007A2F1C" w:rsidP="00FF3045">
      <w:pPr>
        <w:pStyle w:val="Liststycke"/>
        <w:numPr>
          <w:ilvl w:val="0"/>
          <w:numId w:val="19"/>
        </w:numPr>
        <w:rPr>
          <w:rFonts w:ascii="Times New Roman" w:hAnsi="Times New Roman" w:cs="Times New Roman"/>
          <w:sz w:val="24"/>
          <w:szCs w:val="24"/>
          <w:lang w:val="en-US"/>
        </w:rPr>
      </w:pPr>
      <w:r w:rsidRPr="007B140B">
        <w:rPr>
          <w:rFonts w:ascii="Times New Roman" w:hAnsi="Times New Roman" w:cs="Times New Roman"/>
          <w:sz w:val="24"/>
          <w:szCs w:val="24"/>
          <w:lang w:val="en-US"/>
        </w:rPr>
        <w:t>Study center</w:t>
      </w:r>
    </w:p>
    <w:p w14:paraId="7C149E05" w14:textId="2C907919" w:rsidR="00B04D41" w:rsidRDefault="00B04D41" w:rsidP="001F534C">
      <w:pPr>
        <w:rPr>
          <w:rFonts w:ascii="Times New Roman" w:hAnsi="Times New Roman" w:cs="Times New Roman"/>
          <w:sz w:val="24"/>
          <w:szCs w:val="24"/>
          <w:lang w:val="en-US"/>
        </w:rPr>
      </w:pPr>
      <w:r>
        <w:rPr>
          <w:rFonts w:ascii="Times New Roman" w:hAnsi="Times New Roman" w:cs="Times New Roman"/>
          <w:sz w:val="24"/>
          <w:szCs w:val="24"/>
          <w:lang w:val="en-US"/>
        </w:rPr>
        <w:t>The variables on alcohol consumption are derived from the Alcohol Use Disorders Identification Test. A glass</w:t>
      </w:r>
      <w:r w:rsidR="00B349D5">
        <w:rPr>
          <w:rFonts w:ascii="Times New Roman" w:hAnsi="Times New Roman" w:cs="Times New Roman"/>
          <w:sz w:val="24"/>
          <w:szCs w:val="24"/>
          <w:lang w:val="en-US"/>
        </w:rPr>
        <w:t xml:space="preserve"> of alcohol</w:t>
      </w:r>
      <w:r>
        <w:rPr>
          <w:rFonts w:ascii="Times New Roman" w:hAnsi="Times New Roman" w:cs="Times New Roman"/>
          <w:sz w:val="24"/>
          <w:szCs w:val="24"/>
          <w:lang w:val="en-US"/>
        </w:rPr>
        <w:t xml:space="preserve"> corresponds to approximately 12 grams of pure alcohol.</w:t>
      </w:r>
      <w:r>
        <w:rPr>
          <w:rFonts w:ascii="Times New Roman" w:hAnsi="Times New Roman" w:cs="Times New Roman"/>
          <w:sz w:val="24"/>
          <w:szCs w:val="24"/>
          <w:lang w:val="en-US"/>
        </w:rPr>
        <w:fldChar w:fldCharType="begin" w:fldLock="1"/>
      </w:r>
      <w:r w:rsidR="00272560">
        <w:rPr>
          <w:rFonts w:ascii="Times New Roman" w:hAnsi="Times New Roman" w:cs="Times New Roman"/>
          <w:sz w:val="24"/>
          <w:szCs w:val="24"/>
          <w:lang w:val="en-US"/>
        </w:rPr>
        <w:instrText>ADDIN CSL_CITATION {"citationItems":[{"id":"ITEM-1","itemData":{"author":[{"dropping-particle":"","family":"Berman","given":"A H","non-dropping-particle":"","parse-names":false,"suffix":""},{"dropping-particle":"","family":"Wennberg","given":"P","non-dropping-particle":"","parse-names":false,"suffix":""},{"dropping-particle":"","family":"Källmén","given":"H","non-dropping-particle":"","parse-names":false,"suffix":""}],"id":"ITEM-1","issued":{"date-parts":[["2017"]]},"number-of-pages":"1-80","publisher":"GOTHIA Fortbildning","publisher-place":"Stockholm [SE]","title":"AUDIT &amp; DUDIT - identifiera problem med alhohol och droger","type":"book"},"uris":["http://www.mendeley.com/documents/?uuid=ed986e95-85dc-49ea-aa1c-932671aa00a6"]}],"mendeley":{"formattedCitation":"&lt;sup&gt;&lt;sup&gt;55&lt;/sup&gt;&lt;/sup&gt;","plainTextFormattedCitation":"55","previouslyFormattedCitation":"&lt;sup&gt;&lt;sup&gt;55&lt;/sup&gt;&lt;/sup&gt;"},"properties":{"noteIndex":0},"schema":"https://github.com/citation-style-language/schema/raw/master/csl-citation.json"}</w:instrText>
      </w:r>
      <w:r>
        <w:rPr>
          <w:rFonts w:ascii="Times New Roman" w:hAnsi="Times New Roman" w:cs="Times New Roman"/>
          <w:sz w:val="24"/>
          <w:szCs w:val="24"/>
          <w:lang w:val="en-US"/>
        </w:rPr>
        <w:fldChar w:fldCharType="separate"/>
      </w:r>
      <w:r w:rsidR="0081127D" w:rsidRPr="0081127D">
        <w:rPr>
          <w:rFonts w:ascii="Times New Roman" w:hAnsi="Times New Roman" w:cs="Times New Roman"/>
          <w:noProof/>
          <w:sz w:val="24"/>
          <w:szCs w:val="24"/>
          <w:vertAlign w:val="superscript"/>
          <w:lang w:val="en-US"/>
        </w:rPr>
        <w:t>55</w:t>
      </w:r>
      <w:r>
        <w:rPr>
          <w:rFonts w:ascii="Times New Roman" w:hAnsi="Times New Roman" w:cs="Times New Roman"/>
          <w:sz w:val="24"/>
          <w:szCs w:val="24"/>
          <w:lang w:val="en-US"/>
        </w:rPr>
        <w:fldChar w:fldCharType="end"/>
      </w:r>
      <w:r w:rsidR="00F335A0">
        <w:rPr>
          <w:rFonts w:ascii="Times New Roman" w:hAnsi="Times New Roman" w:cs="Times New Roman"/>
          <w:sz w:val="24"/>
          <w:szCs w:val="24"/>
          <w:lang w:val="en-US"/>
        </w:rPr>
        <w:t xml:space="preserve"> The variables on cigarette smoking </w:t>
      </w:r>
      <w:r w:rsidR="00DA5EA3">
        <w:rPr>
          <w:rFonts w:ascii="Times New Roman" w:hAnsi="Times New Roman" w:cs="Times New Roman"/>
          <w:sz w:val="24"/>
          <w:szCs w:val="24"/>
          <w:lang w:val="en-US"/>
        </w:rPr>
        <w:t>are</w:t>
      </w:r>
      <w:r w:rsidR="00F335A0">
        <w:rPr>
          <w:rFonts w:ascii="Times New Roman" w:hAnsi="Times New Roman" w:cs="Times New Roman"/>
          <w:sz w:val="24"/>
          <w:szCs w:val="24"/>
          <w:lang w:val="en-US"/>
        </w:rPr>
        <w:t xml:space="preserve"> based on </w:t>
      </w:r>
      <w:r w:rsidR="000C3D5B">
        <w:rPr>
          <w:rFonts w:ascii="Times New Roman" w:hAnsi="Times New Roman" w:cs="Times New Roman"/>
          <w:sz w:val="24"/>
          <w:szCs w:val="24"/>
          <w:lang w:val="en-US"/>
        </w:rPr>
        <w:t>definitions</w:t>
      </w:r>
      <w:r w:rsidR="00371B8E">
        <w:rPr>
          <w:rFonts w:ascii="Times New Roman" w:hAnsi="Times New Roman" w:cs="Times New Roman"/>
          <w:sz w:val="24"/>
          <w:szCs w:val="24"/>
          <w:lang w:val="en-US"/>
        </w:rPr>
        <w:t xml:space="preserve"> used in </w:t>
      </w:r>
      <w:r w:rsidR="00F335A0">
        <w:rPr>
          <w:rFonts w:ascii="Times New Roman" w:hAnsi="Times New Roman" w:cs="Times New Roman"/>
          <w:sz w:val="24"/>
          <w:szCs w:val="24"/>
          <w:lang w:val="en-US"/>
        </w:rPr>
        <w:t>previous studies.</w:t>
      </w:r>
      <w:r w:rsidR="00F335A0">
        <w:rPr>
          <w:rFonts w:ascii="Times New Roman" w:hAnsi="Times New Roman" w:cs="Times New Roman"/>
          <w:sz w:val="24"/>
          <w:szCs w:val="24"/>
          <w:lang w:val="en-US"/>
        </w:rPr>
        <w:fldChar w:fldCharType="begin" w:fldLock="1"/>
      </w:r>
      <w:r w:rsidR="00272560">
        <w:rPr>
          <w:rFonts w:ascii="Times New Roman" w:hAnsi="Times New Roman" w:cs="Times New Roman"/>
          <w:sz w:val="24"/>
          <w:szCs w:val="24"/>
          <w:lang w:val="en-US"/>
        </w:rPr>
        <w:instrText>ADDIN CSL_CITATION {"citationItems":[{"id":"ITEM-1","itemData":{"DOI":"10.1056/nejmsa1407211","ISSN":"0028-4793","PMID":"25671255","abstract":"Background Mortality among current smokers is 2 to 3 times as high as that among persons who never smoked. Most of this excess mortality is believed to be explained by 21 common diseases that have been formally established as caused by cigarette smoking and are included in official estimates of smoking-attributable mortality in the United States. However, if smoking causes additional diseases, these official estimates may significantly underestimate the number of deaths attributable to smoking. Methods We pooled data from five contemporary U.S. cohort studies including 421,378 men and 532,651 women 55 years of age or older. Participants were followed from 2000 through 2011, and relative risks and 95% confidence intervals were estimated with the use of Cox proportional-hazards models adjusted for age, race, educational level, daily alcohol consumption, and cohort. Results During the follow-up period, there were 181,377 deaths, including 16,475 among current smokers. Overall, approximately 17% of the excess mortality among current smokers was due to associations with causes that are not currently established as attributable to smoking. These included associations between current smoking and deaths from renal failure (relative risk, 2.0; 95% confidence interval [CI], 1.7 to 2.3), intestinal ischemia (relative risk, 6.0; 95% CI, 4.5 to 8.1), hypertensive heart disease (relative risk, 2.4; 95% CI, 1.9 to 3.0), infections (relative risk, 2.3; 95% CI, 2.0 to 2.7), various respiratory diseases (relative risk, 2.0; 95% CI, 1.6 to 2.4), breast cancer (relative risk, 1.3; 95% CI, 1.2 to 1.5), and prostate cancer (relative risk, 1.4; 95% CI, 1.2 to 1.7). Among former smokers, the relative risk for each of these outcomes declined as the number of years since quitting increased. Conclusions A substantial portion of the excess mortality among current smokers between 2000 and 2011 was due to associations with diseases that have not been formally established as caused by smoking. These associations should be investigated further and, when appropriate, taken into account when the mortality burden of smoking is investigated. (Funded by the American Cancer Society.).","author":[{"dropping-particle":"","family":"Carter","given":"Brian D.","non-dropping-particle":"","parse-names":false,"suffix":""},{"dropping-particle":"","family":"Abnet","given":"Christian C.","non-dropping-particle":"","parse-names":false,"suffix":""},{"dropping-particle":"","family":"Feskanich","given":"Diane","non-dropping-particle":"","parse-names":false,"suffix":""},{"dropping-particle":"","family":"Freedman","given":"Neal D.","non-dropping-particle":"","parse-names":false,"suffix":""},{"dropping-particle":"","family":"Hartge","given":"Patricia","non-dropping-particle":"","parse-names":false,"suffix":""},{"dropping-particle":"","family":"Lewis","given":"Cora E.","non-dropping-particle":"","parse-names":false,"suffix":""},{"dropping-particle":"","family":"Ockene","given":"Judith K.","non-dropping-particle":"","parse-names":false,"suffix":""},{"dropping-particle":"","family":"Prentice","given":"Ross L.","non-dropping-particle":"","parse-names":false,"suffix":""},{"dropping-particle":"","family":"Speizer","given":"Frank E.","non-dropping-particle":"","parse-names":false,"suffix":""},{"dropping-particle":"","family":"Thun","given":"Michael J.","non-dropping-particle":"","parse-names":false,"suffix":""},{"dropping-particle":"","family":"Jacobs","given":"Eric J.","non-dropping-particle":"","parse-names":false,"suffix":""}],"container-title":"New England Journal of Medicine","id":"ITEM-1","issue":"7","issued":{"date-parts":[["2015"]]},"page":"631-640","title":"Smoking and nortality — beyond established causes","type":"article-journal","volume":"372"},"uris":["http://www.mendeley.com/documents/?uuid=1ff598be-def8-40c2-9b6a-8b1a5dde513f"]},{"id":"ITEM-2","itemData":{"DOI":"10.1136/bmj.310.6979.555","ISSN":"14685833","PMID":"7888928","abstract":"Objective: To examine the association between smoking, alcohol consumption, and the incidence of non-insulin dependent diabetes mellitus in men of middle years and older. Design: Cohort questionnaire study of men followed up for six years from 1986. Setting: The health professionals' follow up study being conducted across the United States. Subjects: 41810 male health professionals aged 40-75 years and free of diabetes, cardiovascular disease, and cancer in 1986 and followed up for six years. Main outcome measure: Incidence of non-insulin dependent diabetes mellitus diagnosed in the six years. Results: During 230 769 person years of follow up 509 men were newly diagnosed with diabetes. After controlling for known risk factors men who smoked 25 or more cigarettes daily had a relative risk of diabetes of 1.94 (95% confidence interval 1.25 to 3.03) compared with non-smokers. Men who consumed higher amounts of alcohol had a reduced risk of diabetes (P for trend &lt;0.001). Compared with abstainers men who drank 30.0-49.9 g of alcohol daily had a relative risk of diabetes of 0.61 (95% confidence interval 0.44 to 0.91). Conclusions: Cigarette smoking may be an independent, modifiable risk factor for non-insulin dependent diabetes mellitus. Moderate alcohol consumption among healthy people may be associated with increased insulin sensitivity and a reduced risk of diabetes. Key messages Epidemiological studies have not adequately examined the independent associations between smoking, alcohol, and the risk of diabetes after accounting for obesity This paper shows that current smoking roughly doubles the risk of diabetes among a healthy population of men Moderate alcohol consumption, however, significantly decreases the risk of diabetes Smoking and alcohol may alter the risk of diabetes through long term effects on insulin secretion and insulin resistance. © 1995, BMJ Publishing Group Ltd. All rights reserved.","author":[{"dropping-particle":"","family":"Rimm","given":"Eric B.","non-dropping-particle":"","parse-names":false,"suffix":""},{"dropping-particle":"","family":"Chan","given":"June","non-dropping-particle":"","parse-names":false,"suffix":""},{"dropping-particle":"","family":"Stampfer","given":"Meir J.","non-dropping-particle":"","parse-names":false,"suffix":""},{"dropping-particle":"","family":"Colditz","given":"Graham A.","non-dropping-particle":"","parse-names":false,"suffix":""},{"dropping-particle":"","family":"Willett","given":"Walter C.","non-dropping-particle":"","parse-names":false,"suffix":""}],"container-title":"Bmj","id":"ITEM-2","issue":"6979","issued":{"date-parts":[["1995"]]},"page":"555-559","title":"Prospective study of cigarette smoking, alcohol use, and the risk of diabetes in men","type":"article-journal","volume":"310"},"uris":["http://www.mendeley.com/documents/?uuid=5d63d22e-6f93-48c3-90c0-a3ef1f1d96b6"]}],"mendeley":{"formattedCitation":"&lt;sup&gt;&lt;sup&gt;56&lt;/sup&gt;,&lt;sup&gt;57&lt;/sup&gt;&lt;/sup&gt;","plainTextFormattedCitation":"56,57","previouslyFormattedCitation":"&lt;sup&gt;&lt;sup&gt;56&lt;/sup&gt;,&lt;sup&gt;57&lt;/sup&gt;&lt;/sup&gt;"},"properties":{"noteIndex":0},"schema":"https://github.com/citation-style-language/schema/raw/master/csl-citation.json"}</w:instrText>
      </w:r>
      <w:r w:rsidR="00F335A0">
        <w:rPr>
          <w:rFonts w:ascii="Times New Roman" w:hAnsi="Times New Roman" w:cs="Times New Roman"/>
          <w:sz w:val="24"/>
          <w:szCs w:val="24"/>
          <w:lang w:val="en-US"/>
        </w:rPr>
        <w:fldChar w:fldCharType="separate"/>
      </w:r>
      <w:r w:rsidR="0081127D" w:rsidRPr="0081127D">
        <w:rPr>
          <w:rFonts w:ascii="Times New Roman" w:hAnsi="Times New Roman" w:cs="Times New Roman"/>
          <w:noProof/>
          <w:sz w:val="24"/>
          <w:szCs w:val="24"/>
          <w:vertAlign w:val="superscript"/>
          <w:lang w:val="en-US"/>
        </w:rPr>
        <w:t>56,57</w:t>
      </w:r>
      <w:r w:rsidR="00F335A0">
        <w:rPr>
          <w:rFonts w:ascii="Times New Roman" w:hAnsi="Times New Roman" w:cs="Times New Roman"/>
          <w:sz w:val="24"/>
          <w:szCs w:val="24"/>
          <w:lang w:val="en-US"/>
        </w:rPr>
        <w:fldChar w:fldCharType="end"/>
      </w:r>
    </w:p>
    <w:p w14:paraId="62DCA113" w14:textId="7AB0D188" w:rsidR="007A2F1C" w:rsidRPr="007B140B" w:rsidRDefault="006552EA" w:rsidP="001F534C">
      <w:pPr>
        <w:rPr>
          <w:rFonts w:ascii="Times New Roman" w:hAnsi="Times New Roman" w:cs="Times New Roman"/>
          <w:sz w:val="24"/>
          <w:szCs w:val="24"/>
          <w:lang w:val="en-US"/>
        </w:rPr>
      </w:pPr>
      <w:r w:rsidRPr="007B140B">
        <w:rPr>
          <w:rFonts w:ascii="Times New Roman" w:hAnsi="Times New Roman" w:cs="Times New Roman"/>
          <w:sz w:val="24"/>
          <w:szCs w:val="24"/>
          <w:lang w:val="en-US"/>
        </w:rPr>
        <w:t>Numeric variables will be summarized using means, medians, standard deviations, 25</w:t>
      </w:r>
      <w:r w:rsidRPr="007B140B">
        <w:rPr>
          <w:rFonts w:ascii="Times New Roman" w:hAnsi="Times New Roman" w:cs="Times New Roman"/>
          <w:sz w:val="24"/>
          <w:szCs w:val="24"/>
          <w:vertAlign w:val="superscript"/>
          <w:lang w:val="en-US"/>
        </w:rPr>
        <w:t>th</w:t>
      </w:r>
      <w:r w:rsidRPr="007B140B">
        <w:rPr>
          <w:rFonts w:ascii="Times New Roman" w:hAnsi="Times New Roman" w:cs="Times New Roman"/>
          <w:sz w:val="24"/>
          <w:szCs w:val="24"/>
          <w:lang w:val="en-US"/>
        </w:rPr>
        <w:t xml:space="preserve"> percentiles, 75</w:t>
      </w:r>
      <w:r w:rsidRPr="007B140B">
        <w:rPr>
          <w:rFonts w:ascii="Times New Roman" w:hAnsi="Times New Roman" w:cs="Times New Roman"/>
          <w:sz w:val="24"/>
          <w:szCs w:val="24"/>
          <w:vertAlign w:val="superscript"/>
          <w:lang w:val="en-US"/>
        </w:rPr>
        <w:t>th</w:t>
      </w:r>
      <w:r w:rsidRPr="007B140B">
        <w:rPr>
          <w:rFonts w:ascii="Times New Roman" w:hAnsi="Times New Roman" w:cs="Times New Roman"/>
          <w:sz w:val="24"/>
          <w:szCs w:val="24"/>
          <w:lang w:val="en-US"/>
        </w:rPr>
        <w:t xml:space="preserve"> percentiles, minimums, maximums, and number missing. Binary variables will be summarized </w:t>
      </w:r>
      <w:r w:rsidR="00141F58" w:rsidRPr="007B140B">
        <w:rPr>
          <w:rFonts w:ascii="Times New Roman" w:hAnsi="Times New Roman" w:cs="Times New Roman"/>
          <w:sz w:val="24"/>
          <w:szCs w:val="24"/>
          <w:lang w:val="en-US"/>
        </w:rPr>
        <w:t>as</w:t>
      </w:r>
      <w:r w:rsidRPr="007B140B">
        <w:rPr>
          <w:rFonts w:ascii="Times New Roman" w:hAnsi="Times New Roman" w:cs="Times New Roman"/>
          <w:sz w:val="24"/>
          <w:szCs w:val="24"/>
          <w:lang w:val="en-US"/>
        </w:rPr>
        <w:t xml:space="preserve"> number and percent “yes” and number missing. Categorical variables will be summarized as number and percent in each category and number missing. </w:t>
      </w:r>
      <w:r w:rsidR="007A2F1C" w:rsidRPr="007B140B">
        <w:rPr>
          <w:rFonts w:ascii="Times New Roman" w:hAnsi="Times New Roman" w:cs="Times New Roman"/>
          <w:sz w:val="24"/>
          <w:szCs w:val="24"/>
          <w:lang w:val="en-US"/>
        </w:rPr>
        <w:t>Numeric values and percentages will be rounded to 1 decimal place</w:t>
      </w:r>
      <w:r w:rsidR="00C23E7E">
        <w:rPr>
          <w:rFonts w:ascii="Times New Roman" w:hAnsi="Times New Roman" w:cs="Times New Roman"/>
          <w:sz w:val="24"/>
          <w:szCs w:val="24"/>
          <w:lang w:val="en-US"/>
        </w:rPr>
        <w:t xml:space="preserve"> (2 decimal places for plasma calcium).</w:t>
      </w:r>
      <w:r w:rsidR="007A2F1C" w:rsidRPr="007B140B">
        <w:rPr>
          <w:rFonts w:ascii="Times New Roman" w:hAnsi="Times New Roman" w:cs="Times New Roman"/>
          <w:sz w:val="24"/>
          <w:szCs w:val="24"/>
          <w:lang w:val="en-US"/>
        </w:rPr>
        <w:t xml:space="preserve"> </w:t>
      </w:r>
      <w:r w:rsidR="009A637B" w:rsidRPr="007B140B">
        <w:rPr>
          <w:rFonts w:ascii="Times New Roman" w:hAnsi="Times New Roman" w:cs="Times New Roman"/>
          <w:sz w:val="24"/>
          <w:szCs w:val="24"/>
          <w:lang w:val="en-US"/>
        </w:rPr>
        <w:t>A</w:t>
      </w:r>
      <w:r w:rsidRPr="007B140B">
        <w:rPr>
          <w:rFonts w:ascii="Times New Roman" w:hAnsi="Times New Roman" w:cs="Times New Roman"/>
          <w:sz w:val="24"/>
          <w:szCs w:val="24"/>
          <w:lang w:val="en-US"/>
        </w:rPr>
        <w:t xml:space="preserve">ll variables will be summarized using number and percent of values out-of-range and, </w:t>
      </w:r>
      <w:r w:rsidR="000867B3" w:rsidRPr="007B140B">
        <w:rPr>
          <w:rFonts w:ascii="Times New Roman" w:hAnsi="Times New Roman" w:cs="Times New Roman"/>
          <w:sz w:val="24"/>
          <w:szCs w:val="24"/>
          <w:lang w:val="en-US"/>
        </w:rPr>
        <w:t>for laboratory values</w:t>
      </w:r>
      <w:r w:rsidRPr="007B140B">
        <w:rPr>
          <w:rFonts w:ascii="Times New Roman" w:hAnsi="Times New Roman" w:cs="Times New Roman"/>
          <w:sz w:val="24"/>
          <w:szCs w:val="24"/>
          <w:lang w:val="en-US"/>
        </w:rPr>
        <w:t xml:space="preserve">, </w:t>
      </w:r>
      <w:r w:rsidR="000867B3" w:rsidRPr="007B140B">
        <w:rPr>
          <w:rFonts w:ascii="Times New Roman" w:hAnsi="Times New Roman" w:cs="Times New Roman"/>
          <w:sz w:val="24"/>
          <w:szCs w:val="24"/>
          <w:lang w:val="en-US"/>
        </w:rPr>
        <w:t xml:space="preserve">number and percent </w:t>
      </w:r>
      <w:r w:rsidRPr="007B140B">
        <w:rPr>
          <w:rFonts w:ascii="Times New Roman" w:hAnsi="Times New Roman" w:cs="Times New Roman"/>
          <w:sz w:val="24"/>
          <w:szCs w:val="24"/>
          <w:lang w:val="en-US"/>
        </w:rPr>
        <w:t>outside reference v</w:t>
      </w:r>
      <w:r w:rsidR="000F549E" w:rsidRPr="007B140B">
        <w:rPr>
          <w:rFonts w:ascii="Times New Roman" w:hAnsi="Times New Roman" w:cs="Times New Roman"/>
          <w:sz w:val="24"/>
          <w:szCs w:val="24"/>
          <w:lang w:val="en-US"/>
        </w:rPr>
        <w:t>alues</w:t>
      </w:r>
      <w:r w:rsidR="0030438C" w:rsidRPr="007B140B">
        <w:rPr>
          <w:rFonts w:ascii="Times New Roman" w:hAnsi="Times New Roman" w:cs="Times New Roman"/>
          <w:sz w:val="24"/>
          <w:szCs w:val="24"/>
          <w:lang w:val="en-US"/>
        </w:rPr>
        <w:t xml:space="preserve"> (see Section 13</w:t>
      </w:r>
      <w:r w:rsidR="004F01FE" w:rsidRPr="007B140B">
        <w:rPr>
          <w:rFonts w:ascii="Times New Roman" w:hAnsi="Times New Roman" w:cs="Times New Roman"/>
          <w:sz w:val="24"/>
          <w:szCs w:val="24"/>
          <w:lang w:val="en-US"/>
        </w:rPr>
        <w:t>.7)</w:t>
      </w:r>
      <w:r w:rsidRPr="007B140B">
        <w:rPr>
          <w:rFonts w:ascii="Times New Roman" w:hAnsi="Times New Roman" w:cs="Times New Roman"/>
          <w:sz w:val="24"/>
          <w:szCs w:val="24"/>
          <w:lang w:val="en-US"/>
        </w:rPr>
        <w:t>.</w:t>
      </w:r>
    </w:p>
    <w:p w14:paraId="2F5FD841" w14:textId="77777777" w:rsidR="001E0825" w:rsidRPr="007B140B" w:rsidRDefault="001E0825" w:rsidP="001F534C">
      <w:pPr>
        <w:rPr>
          <w:rFonts w:ascii="Times New Roman" w:hAnsi="Times New Roman" w:cs="Times New Roman"/>
          <w:sz w:val="24"/>
          <w:szCs w:val="24"/>
          <w:lang w:val="en-US"/>
        </w:rPr>
      </w:pPr>
    </w:p>
    <w:p w14:paraId="573AE34B" w14:textId="73E7E8C4" w:rsidR="004B61FB" w:rsidRPr="007B140B" w:rsidRDefault="003A7E50" w:rsidP="00D36611">
      <w:pPr>
        <w:pStyle w:val="Formatmall3"/>
        <w:rPr>
          <w:rFonts w:cs="Times New Roman"/>
          <w:lang w:val="en-US"/>
        </w:rPr>
      </w:pPr>
      <w:bookmarkStart w:id="90" w:name="_Toc99001429"/>
      <w:r w:rsidRPr="007B140B">
        <w:rPr>
          <w:rFonts w:cs="Times New Roman"/>
          <w:lang w:val="en-US"/>
        </w:rPr>
        <w:t>Analysis of i</w:t>
      </w:r>
      <w:r w:rsidR="00822354" w:rsidRPr="007B140B">
        <w:rPr>
          <w:rFonts w:cs="Times New Roman"/>
          <w:lang w:val="en-US"/>
        </w:rPr>
        <w:t>nvestigational product</w:t>
      </w:r>
      <w:r w:rsidR="000E4F71" w:rsidRPr="007B140B">
        <w:rPr>
          <w:rFonts w:cs="Times New Roman"/>
          <w:lang w:val="en-US"/>
        </w:rPr>
        <w:t>s</w:t>
      </w:r>
      <w:bookmarkEnd w:id="90"/>
    </w:p>
    <w:p w14:paraId="66AF2831" w14:textId="611101A1" w:rsidR="004B61FB" w:rsidRPr="007B140B" w:rsidRDefault="003A7E50" w:rsidP="001F534C">
      <w:pPr>
        <w:rPr>
          <w:rFonts w:ascii="Times New Roman" w:hAnsi="Times New Roman" w:cs="Times New Roman"/>
          <w:sz w:val="24"/>
          <w:szCs w:val="24"/>
          <w:lang w:val="en-US"/>
        </w:rPr>
      </w:pPr>
      <w:r w:rsidRPr="007B140B">
        <w:rPr>
          <w:rFonts w:ascii="Times New Roman" w:hAnsi="Times New Roman" w:cs="Times New Roman"/>
          <w:sz w:val="24"/>
          <w:szCs w:val="24"/>
          <w:lang w:val="en-US"/>
        </w:rPr>
        <w:t>For each infusion, the following information will be reported by study group</w:t>
      </w:r>
      <w:r w:rsidR="00971385" w:rsidRPr="007B140B">
        <w:rPr>
          <w:rFonts w:ascii="Times New Roman" w:hAnsi="Times New Roman" w:cs="Times New Roman"/>
          <w:sz w:val="24"/>
          <w:szCs w:val="24"/>
          <w:lang w:val="en-US"/>
        </w:rPr>
        <w:t xml:space="preserve"> for all randomized patients</w:t>
      </w:r>
      <w:r w:rsidRPr="007B140B">
        <w:rPr>
          <w:rFonts w:ascii="Times New Roman" w:hAnsi="Times New Roman" w:cs="Times New Roman"/>
          <w:sz w:val="24"/>
          <w:szCs w:val="24"/>
          <w:lang w:val="en-US"/>
        </w:rPr>
        <w:t>:</w:t>
      </w:r>
    </w:p>
    <w:p w14:paraId="60CF351D" w14:textId="4B1892B8" w:rsidR="003A7E50" w:rsidRPr="007B140B" w:rsidRDefault="006C1B92" w:rsidP="00363CEE">
      <w:pPr>
        <w:pStyle w:val="Liststycke"/>
        <w:numPr>
          <w:ilvl w:val="0"/>
          <w:numId w:val="17"/>
        </w:numPr>
        <w:rPr>
          <w:rFonts w:ascii="Times New Roman" w:hAnsi="Times New Roman" w:cs="Times New Roman"/>
          <w:sz w:val="24"/>
          <w:szCs w:val="24"/>
          <w:lang w:val="en-US"/>
        </w:rPr>
      </w:pPr>
      <w:r w:rsidRPr="007B140B">
        <w:rPr>
          <w:rFonts w:ascii="Times New Roman" w:hAnsi="Times New Roman" w:cs="Times New Roman"/>
          <w:sz w:val="24"/>
          <w:szCs w:val="24"/>
          <w:lang w:val="en-US"/>
        </w:rPr>
        <w:t>Receipt of</w:t>
      </w:r>
      <w:r w:rsidR="003A7E50" w:rsidRPr="007B140B">
        <w:rPr>
          <w:rFonts w:ascii="Times New Roman" w:hAnsi="Times New Roman" w:cs="Times New Roman"/>
          <w:sz w:val="24"/>
          <w:szCs w:val="24"/>
          <w:vertAlign w:val="superscript"/>
          <w:lang w:val="en-US"/>
        </w:rPr>
        <w:t xml:space="preserve"> </w:t>
      </w:r>
      <w:r w:rsidR="003A7E50" w:rsidRPr="007B140B">
        <w:rPr>
          <w:rFonts w:ascii="Times New Roman" w:hAnsi="Times New Roman" w:cs="Times New Roman"/>
          <w:sz w:val="24"/>
          <w:szCs w:val="24"/>
          <w:lang w:val="en-US"/>
        </w:rPr>
        <w:t>infusion, number (%)</w:t>
      </w:r>
    </w:p>
    <w:p w14:paraId="5BCE53AB" w14:textId="290CC684" w:rsidR="0078253A" w:rsidRPr="007B140B" w:rsidRDefault="0078253A" w:rsidP="0078253A">
      <w:pPr>
        <w:pStyle w:val="Liststycke"/>
        <w:numPr>
          <w:ilvl w:val="0"/>
          <w:numId w:val="17"/>
        </w:numPr>
        <w:rPr>
          <w:rFonts w:ascii="Times New Roman" w:hAnsi="Times New Roman" w:cs="Times New Roman"/>
          <w:sz w:val="24"/>
          <w:szCs w:val="24"/>
          <w:lang w:val="en-US"/>
        </w:rPr>
      </w:pPr>
      <w:r>
        <w:rPr>
          <w:rFonts w:ascii="Times New Roman" w:hAnsi="Times New Roman" w:cs="Times New Roman"/>
          <w:sz w:val="24"/>
          <w:szCs w:val="24"/>
          <w:lang w:val="en-US"/>
        </w:rPr>
        <w:t xml:space="preserve">Date </w:t>
      </w:r>
      <w:r w:rsidRPr="007B140B">
        <w:rPr>
          <w:rFonts w:ascii="Times New Roman" w:hAnsi="Times New Roman" w:cs="Times New Roman"/>
          <w:sz w:val="24"/>
          <w:szCs w:val="24"/>
          <w:lang w:val="en-US"/>
        </w:rPr>
        <w:t>of</w:t>
      </w:r>
      <w:r w:rsidRPr="007B140B">
        <w:rPr>
          <w:rFonts w:ascii="Times New Roman" w:hAnsi="Times New Roman" w:cs="Times New Roman"/>
          <w:sz w:val="24"/>
          <w:szCs w:val="24"/>
          <w:vertAlign w:val="superscript"/>
          <w:lang w:val="en-US"/>
        </w:rPr>
        <w:t xml:space="preserve"> </w:t>
      </w:r>
      <w:r w:rsidR="00B67330">
        <w:rPr>
          <w:rFonts w:ascii="Times New Roman" w:hAnsi="Times New Roman" w:cs="Times New Roman"/>
          <w:sz w:val="24"/>
          <w:szCs w:val="24"/>
          <w:lang w:val="en-US"/>
        </w:rPr>
        <w:t>infusion</w:t>
      </w:r>
    </w:p>
    <w:p w14:paraId="0D0C6383" w14:textId="6B90859E" w:rsidR="0019353C" w:rsidRPr="0019353C" w:rsidRDefault="0019353C">
      <w:pPr>
        <w:pStyle w:val="Liststycke"/>
        <w:numPr>
          <w:ilvl w:val="0"/>
          <w:numId w:val="17"/>
        </w:numPr>
        <w:rPr>
          <w:lang w:val="en-US"/>
        </w:rPr>
      </w:pPr>
      <w:r w:rsidRPr="007B140B">
        <w:rPr>
          <w:rFonts w:ascii="Times New Roman" w:hAnsi="Times New Roman" w:cs="Times New Roman"/>
          <w:sz w:val="24"/>
          <w:szCs w:val="24"/>
          <w:lang w:val="en-US"/>
        </w:rPr>
        <w:t>Time from randomization to infusion, days</w:t>
      </w:r>
      <w:r w:rsidR="00964904">
        <w:rPr>
          <w:rFonts w:ascii="Times New Roman" w:hAnsi="Times New Roman" w:cs="Times New Roman"/>
          <w:sz w:val="24"/>
          <w:szCs w:val="24"/>
          <w:lang w:val="en-US"/>
        </w:rPr>
        <w:t>/months</w:t>
      </w:r>
    </w:p>
    <w:p w14:paraId="400A7E6F" w14:textId="22630054" w:rsidR="00D44AF2" w:rsidRPr="007B140B" w:rsidRDefault="00D44AF2" w:rsidP="00D44AF2">
      <w:pPr>
        <w:pStyle w:val="Liststycke"/>
        <w:numPr>
          <w:ilvl w:val="0"/>
          <w:numId w:val="17"/>
        </w:numPr>
        <w:rPr>
          <w:rFonts w:ascii="Times New Roman" w:hAnsi="Times New Roman" w:cs="Times New Roman"/>
          <w:sz w:val="24"/>
          <w:szCs w:val="24"/>
          <w:lang w:val="en-US"/>
        </w:rPr>
      </w:pPr>
      <w:r w:rsidRPr="007B140B">
        <w:rPr>
          <w:rFonts w:ascii="Times New Roman" w:hAnsi="Times New Roman" w:cs="Times New Roman"/>
          <w:sz w:val="24"/>
          <w:szCs w:val="24"/>
          <w:lang w:val="en-US"/>
        </w:rPr>
        <w:t>Receipt of</w:t>
      </w:r>
      <w:r w:rsidRPr="007B140B">
        <w:rPr>
          <w:rFonts w:ascii="Times New Roman" w:hAnsi="Times New Roman" w:cs="Times New Roman"/>
          <w:sz w:val="24"/>
          <w:szCs w:val="24"/>
          <w:vertAlign w:val="superscript"/>
          <w:lang w:val="en-US"/>
        </w:rPr>
        <w:t xml:space="preserve"> </w:t>
      </w:r>
      <w:r w:rsidRPr="007B140B">
        <w:rPr>
          <w:rFonts w:ascii="Times New Roman" w:hAnsi="Times New Roman" w:cs="Times New Roman"/>
          <w:sz w:val="24"/>
          <w:szCs w:val="24"/>
          <w:lang w:val="en-US"/>
        </w:rPr>
        <w:t xml:space="preserve">infusion within time window </w:t>
      </w:r>
      <w:r w:rsidR="00426FA1" w:rsidRPr="007B140B">
        <w:rPr>
          <w:rFonts w:ascii="Times New Roman" w:hAnsi="Times New Roman" w:cs="Times New Roman"/>
          <w:sz w:val="24"/>
          <w:szCs w:val="24"/>
          <w:lang w:val="en-US"/>
        </w:rPr>
        <w:t>(see Section 9</w:t>
      </w:r>
      <w:r w:rsidRPr="007B140B">
        <w:rPr>
          <w:rFonts w:ascii="Times New Roman" w:hAnsi="Times New Roman" w:cs="Times New Roman"/>
          <w:sz w:val="24"/>
          <w:szCs w:val="24"/>
          <w:lang w:val="en-US"/>
        </w:rPr>
        <w:t>), number (%)</w:t>
      </w:r>
    </w:p>
    <w:p w14:paraId="39970678" w14:textId="43C81B0A" w:rsidR="005367BD" w:rsidRPr="007B140B" w:rsidRDefault="0078253A" w:rsidP="005367BD">
      <w:pPr>
        <w:pStyle w:val="Liststycke"/>
        <w:numPr>
          <w:ilvl w:val="0"/>
          <w:numId w:val="17"/>
        </w:numPr>
        <w:rPr>
          <w:rFonts w:ascii="Times New Roman" w:hAnsi="Times New Roman" w:cs="Times New Roman"/>
          <w:sz w:val="24"/>
          <w:szCs w:val="24"/>
          <w:lang w:val="en-US"/>
        </w:rPr>
      </w:pPr>
      <w:r>
        <w:rPr>
          <w:rFonts w:ascii="Times New Roman" w:hAnsi="Times New Roman" w:cs="Times New Roman"/>
          <w:sz w:val="24"/>
          <w:szCs w:val="24"/>
          <w:lang w:val="en-US"/>
        </w:rPr>
        <w:t>Main r</w:t>
      </w:r>
      <w:r w:rsidR="005367BD" w:rsidRPr="007B140B">
        <w:rPr>
          <w:rFonts w:ascii="Times New Roman" w:hAnsi="Times New Roman" w:cs="Times New Roman"/>
          <w:sz w:val="24"/>
          <w:szCs w:val="24"/>
          <w:lang w:val="en-US"/>
        </w:rPr>
        <w:t>eason for not receiving infusion</w:t>
      </w:r>
      <w:r w:rsidR="001E01CA">
        <w:rPr>
          <w:rFonts w:ascii="Times New Roman" w:hAnsi="Times New Roman" w:cs="Times New Roman"/>
          <w:sz w:val="24"/>
          <w:szCs w:val="24"/>
          <w:lang w:val="en-US"/>
        </w:rPr>
        <w:t xml:space="preserve"> (</w:t>
      </w:r>
      <w:r w:rsidR="000D1815">
        <w:rPr>
          <w:rFonts w:ascii="Times New Roman" w:hAnsi="Times New Roman" w:cs="Times New Roman"/>
          <w:sz w:val="24"/>
          <w:szCs w:val="24"/>
          <w:lang w:val="en-US"/>
        </w:rPr>
        <w:t>wish of participant, participant discontinuation, death, exclusion due to adverse event, severe renal impairment [</w:t>
      </w:r>
      <w:r w:rsidR="000D1815" w:rsidRPr="007B140B">
        <w:rPr>
          <w:rFonts w:ascii="Times New Roman" w:hAnsi="Times New Roman" w:cs="Times New Roman"/>
          <w:sz w:val="24"/>
          <w:szCs w:val="24"/>
          <w:lang w:val="en-US"/>
        </w:rPr>
        <w:t>&lt;35 ml/min/1.73m</w:t>
      </w:r>
      <w:r w:rsidR="000D1815" w:rsidRPr="007B140B">
        <w:rPr>
          <w:rFonts w:ascii="Times New Roman" w:hAnsi="Times New Roman" w:cs="Times New Roman"/>
          <w:sz w:val="24"/>
          <w:szCs w:val="24"/>
          <w:vertAlign w:val="superscript"/>
          <w:lang w:val="en-US"/>
        </w:rPr>
        <w:t>2</w:t>
      </w:r>
      <w:r w:rsidR="000D1815">
        <w:rPr>
          <w:rFonts w:ascii="Times New Roman" w:hAnsi="Times New Roman" w:cs="Times New Roman"/>
          <w:sz w:val="24"/>
          <w:szCs w:val="24"/>
          <w:lang w:val="en-US"/>
        </w:rPr>
        <w:t>], hypocalcemia/hypercalcemia [</w:t>
      </w:r>
      <w:r w:rsidR="005B592B">
        <w:rPr>
          <w:rFonts w:ascii="Times New Roman" w:hAnsi="Times New Roman" w:cs="Times New Roman"/>
          <w:sz w:val="24"/>
          <w:szCs w:val="24"/>
          <w:lang w:val="en-US"/>
        </w:rPr>
        <w:t>plasma</w:t>
      </w:r>
      <w:r w:rsidR="000D1815">
        <w:rPr>
          <w:rFonts w:ascii="Times New Roman" w:hAnsi="Times New Roman" w:cs="Times New Roman"/>
          <w:sz w:val="24"/>
          <w:szCs w:val="24"/>
          <w:lang w:val="en-US"/>
        </w:rPr>
        <w:t xml:space="preserve"> calcium &lt;2.</w:t>
      </w:r>
      <w:r w:rsidR="005B592B">
        <w:rPr>
          <w:rFonts w:ascii="Times New Roman" w:hAnsi="Times New Roman" w:cs="Times New Roman"/>
          <w:sz w:val="24"/>
          <w:szCs w:val="24"/>
          <w:lang w:val="en-US"/>
        </w:rPr>
        <w:t>15</w:t>
      </w:r>
      <w:r w:rsidR="000D1815">
        <w:rPr>
          <w:rFonts w:ascii="Times New Roman" w:hAnsi="Times New Roman" w:cs="Times New Roman"/>
          <w:sz w:val="24"/>
          <w:szCs w:val="24"/>
          <w:lang w:val="en-US"/>
        </w:rPr>
        <w:t xml:space="preserve"> or &gt;2.</w:t>
      </w:r>
      <w:r w:rsidR="005B592B">
        <w:rPr>
          <w:rFonts w:ascii="Times New Roman" w:hAnsi="Times New Roman" w:cs="Times New Roman"/>
          <w:sz w:val="24"/>
          <w:szCs w:val="24"/>
          <w:lang w:val="en-US"/>
        </w:rPr>
        <w:t>50</w:t>
      </w:r>
      <w:r w:rsidR="000D1815">
        <w:rPr>
          <w:rFonts w:ascii="Times New Roman" w:hAnsi="Times New Roman" w:cs="Times New Roman"/>
          <w:sz w:val="24"/>
          <w:szCs w:val="24"/>
          <w:lang w:val="en-US"/>
        </w:rPr>
        <w:t xml:space="preserve"> mmol/L], use of other bone-protective therapy, </w:t>
      </w:r>
      <w:r w:rsidR="00F01070">
        <w:rPr>
          <w:rFonts w:ascii="Times New Roman" w:hAnsi="Times New Roman" w:cs="Times New Roman"/>
          <w:sz w:val="24"/>
          <w:szCs w:val="24"/>
          <w:lang w:val="en-US"/>
        </w:rPr>
        <w:t>decision</w:t>
      </w:r>
      <w:r w:rsidR="000D1815">
        <w:rPr>
          <w:rFonts w:ascii="Times New Roman" w:hAnsi="Times New Roman" w:cs="Times New Roman"/>
          <w:sz w:val="24"/>
          <w:szCs w:val="24"/>
          <w:lang w:val="en-US"/>
        </w:rPr>
        <w:t xml:space="preserve"> of sponsor/principal investigator</w:t>
      </w:r>
      <w:r w:rsidR="004B5D7A">
        <w:rPr>
          <w:rFonts w:ascii="Times New Roman" w:hAnsi="Times New Roman" w:cs="Times New Roman"/>
          <w:sz w:val="24"/>
          <w:szCs w:val="24"/>
          <w:lang w:val="en-US"/>
        </w:rPr>
        <w:t xml:space="preserve"> for </w:t>
      </w:r>
      <w:r w:rsidR="000D1815">
        <w:rPr>
          <w:rFonts w:ascii="Times New Roman" w:hAnsi="Times New Roman" w:cs="Times New Roman"/>
          <w:sz w:val="24"/>
          <w:szCs w:val="24"/>
          <w:lang w:val="en-US"/>
        </w:rPr>
        <w:t>none of the above reasons</w:t>
      </w:r>
      <w:r w:rsidR="001E01CA">
        <w:rPr>
          <w:rFonts w:ascii="Times New Roman" w:hAnsi="Times New Roman" w:cs="Times New Roman"/>
          <w:sz w:val="24"/>
          <w:szCs w:val="24"/>
          <w:lang w:val="en-US"/>
        </w:rPr>
        <w:t>)</w:t>
      </w:r>
    </w:p>
    <w:p w14:paraId="238E56EF" w14:textId="00F4FB7F" w:rsidR="00926BE1" w:rsidRPr="007B140B" w:rsidRDefault="003D3B96" w:rsidP="003D3B96">
      <w:pPr>
        <w:pStyle w:val="Liststycke"/>
        <w:numPr>
          <w:ilvl w:val="0"/>
          <w:numId w:val="17"/>
        </w:numPr>
        <w:rPr>
          <w:rFonts w:ascii="Times New Roman" w:hAnsi="Times New Roman" w:cs="Times New Roman"/>
          <w:sz w:val="24"/>
          <w:szCs w:val="24"/>
          <w:lang w:val="en-US"/>
        </w:rPr>
      </w:pPr>
      <w:r w:rsidRPr="007B140B">
        <w:rPr>
          <w:rFonts w:ascii="Times New Roman" w:hAnsi="Times New Roman" w:cs="Times New Roman"/>
          <w:sz w:val="24"/>
          <w:szCs w:val="24"/>
          <w:lang w:val="en-US"/>
        </w:rPr>
        <w:t>Receipt of vitamin D loading dose prior to infusion, number (%)</w:t>
      </w:r>
    </w:p>
    <w:p w14:paraId="5C6E6392" w14:textId="0FAC8BAF" w:rsidR="0019353C" w:rsidRPr="005B592B" w:rsidRDefault="00926BE1" w:rsidP="00066B77">
      <w:pPr>
        <w:pStyle w:val="Liststycke"/>
        <w:numPr>
          <w:ilvl w:val="0"/>
          <w:numId w:val="17"/>
        </w:numPr>
        <w:rPr>
          <w:rFonts w:ascii="Times New Roman" w:hAnsi="Times New Roman" w:cs="Times New Roman"/>
          <w:sz w:val="24"/>
          <w:szCs w:val="24"/>
          <w:lang w:val="en-US"/>
        </w:rPr>
      </w:pPr>
      <w:r>
        <w:rPr>
          <w:rFonts w:ascii="Times New Roman" w:hAnsi="Times New Roman" w:cs="Times New Roman"/>
          <w:sz w:val="24"/>
          <w:szCs w:val="24"/>
          <w:lang w:val="en-US"/>
        </w:rPr>
        <w:t xml:space="preserve">Reason for not </w:t>
      </w:r>
      <w:r w:rsidR="00233974">
        <w:rPr>
          <w:rFonts w:ascii="Times New Roman" w:hAnsi="Times New Roman" w:cs="Times New Roman"/>
          <w:sz w:val="24"/>
          <w:szCs w:val="24"/>
          <w:lang w:val="en-US"/>
        </w:rPr>
        <w:t>receiving</w:t>
      </w:r>
      <w:r>
        <w:rPr>
          <w:rFonts w:ascii="Times New Roman" w:hAnsi="Times New Roman" w:cs="Times New Roman"/>
          <w:sz w:val="24"/>
          <w:szCs w:val="24"/>
          <w:lang w:val="en-US"/>
        </w:rPr>
        <w:t xml:space="preserve"> vitamin D loading dose, free text</w:t>
      </w:r>
    </w:p>
    <w:p w14:paraId="6977750A" w14:textId="2119CBDB" w:rsidR="00EA6760" w:rsidRDefault="00EA6760" w:rsidP="00066B77">
      <w:pPr>
        <w:pStyle w:val="Liststycke"/>
        <w:numPr>
          <w:ilvl w:val="0"/>
          <w:numId w:val="17"/>
        </w:numPr>
        <w:rPr>
          <w:lang w:val="en-US"/>
        </w:rPr>
      </w:pPr>
      <w:r>
        <w:rPr>
          <w:rFonts w:ascii="Times New Roman" w:hAnsi="Times New Roman" w:cs="Times New Roman"/>
          <w:sz w:val="24"/>
          <w:szCs w:val="24"/>
          <w:lang w:val="en-US"/>
        </w:rPr>
        <w:t>Batch number of zoledronic acid (if applicable)</w:t>
      </w:r>
    </w:p>
    <w:p w14:paraId="5CC7A63A" w14:textId="7E173B48" w:rsidR="003A7E50" w:rsidRPr="007B140B" w:rsidRDefault="0007215D" w:rsidP="001F534C">
      <w:pPr>
        <w:rPr>
          <w:rFonts w:ascii="Times New Roman" w:hAnsi="Times New Roman" w:cs="Times New Roman"/>
          <w:sz w:val="24"/>
          <w:szCs w:val="24"/>
          <w:lang w:val="en-US"/>
        </w:rPr>
      </w:pPr>
      <w:r w:rsidRPr="007B140B">
        <w:rPr>
          <w:rFonts w:ascii="Times New Roman" w:hAnsi="Times New Roman" w:cs="Times New Roman"/>
          <w:sz w:val="24"/>
          <w:szCs w:val="24"/>
          <w:lang w:val="en-US"/>
        </w:rPr>
        <w:t>The numeric variables will be summarized using means, medians, standard deviations, 25</w:t>
      </w:r>
      <w:r w:rsidRPr="007B140B">
        <w:rPr>
          <w:rFonts w:ascii="Times New Roman" w:hAnsi="Times New Roman" w:cs="Times New Roman"/>
          <w:sz w:val="24"/>
          <w:szCs w:val="24"/>
          <w:vertAlign w:val="superscript"/>
          <w:lang w:val="en-US"/>
        </w:rPr>
        <w:t>th</w:t>
      </w:r>
      <w:r w:rsidRPr="007B140B">
        <w:rPr>
          <w:rFonts w:ascii="Times New Roman" w:hAnsi="Times New Roman" w:cs="Times New Roman"/>
          <w:sz w:val="24"/>
          <w:szCs w:val="24"/>
          <w:lang w:val="en-US"/>
        </w:rPr>
        <w:t xml:space="preserve"> percentiles, 75</w:t>
      </w:r>
      <w:r w:rsidRPr="007B140B">
        <w:rPr>
          <w:rFonts w:ascii="Times New Roman" w:hAnsi="Times New Roman" w:cs="Times New Roman"/>
          <w:sz w:val="24"/>
          <w:szCs w:val="24"/>
          <w:vertAlign w:val="superscript"/>
          <w:lang w:val="en-US"/>
        </w:rPr>
        <w:t>th</w:t>
      </w:r>
      <w:r w:rsidRPr="007B140B">
        <w:rPr>
          <w:rFonts w:ascii="Times New Roman" w:hAnsi="Times New Roman" w:cs="Times New Roman"/>
          <w:sz w:val="24"/>
          <w:szCs w:val="24"/>
          <w:lang w:val="en-US"/>
        </w:rPr>
        <w:t xml:space="preserve"> percentiles, minimums, </w:t>
      </w:r>
      <w:r w:rsidR="00904766" w:rsidRPr="007B140B">
        <w:rPr>
          <w:rFonts w:ascii="Times New Roman" w:hAnsi="Times New Roman" w:cs="Times New Roman"/>
          <w:sz w:val="24"/>
          <w:szCs w:val="24"/>
          <w:lang w:val="en-US"/>
        </w:rPr>
        <w:t xml:space="preserve">and </w:t>
      </w:r>
      <w:r w:rsidRPr="007B140B">
        <w:rPr>
          <w:rFonts w:ascii="Times New Roman" w:hAnsi="Times New Roman" w:cs="Times New Roman"/>
          <w:sz w:val="24"/>
          <w:szCs w:val="24"/>
          <w:lang w:val="en-US"/>
        </w:rPr>
        <w:t>maximums.</w:t>
      </w:r>
      <w:r w:rsidR="005367BD" w:rsidRPr="007B140B">
        <w:rPr>
          <w:rFonts w:ascii="Times New Roman" w:hAnsi="Times New Roman" w:cs="Times New Roman"/>
          <w:sz w:val="24"/>
          <w:szCs w:val="24"/>
          <w:lang w:val="en-US"/>
        </w:rPr>
        <w:t xml:space="preserve"> The categorical variables will be summarized as number and percent</w:t>
      </w:r>
      <w:r w:rsidR="00333CAF" w:rsidRPr="007B140B">
        <w:rPr>
          <w:rFonts w:ascii="Times New Roman" w:hAnsi="Times New Roman" w:cs="Times New Roman"/>
          <w:sz w:val="24"/>
          <w:szCs w:val="24"/>
          <w:lang w:val="en-US"/>
        </w:rPr>
        <w:t xml:space="preserve"> in each level</w:t>
      </w:r>
      <w:r w:rsidR="005367BD" w:rsidRPr="007B140B">
        <w:rPr>
          <w:rFonts w:ascii="Times New Roman" w:hAnsi="Times New Roman" w:cs="Times New Roman"/>
          <w:sz w:val="24"/>
          <w:szCs w:val="24"/>
          <w:lang w:val="en-US"/>
        </w:rPr>
        <w:t>.</w:t>
      </w:r>
      <w:r w:rsidRPr="007B140B">
        <w:rPr>
          <w:rFonts w:ascii="Times New Roman" w:hAnsi="Times New Roman" w:cs="Times New Roman"/>
          <w:sz w:val="24"/>
          <w:szCs w:val="24"/>
          <w:lang w:val="en-US"/>
        </w:rPr>
        <w:t xml:space="preserve"> </w:t>
      </w:r>
      <w:r w:rsidR="00F23C60" w:rsidRPr="007B140B">
        <w:rPr>
          <w:rFonts w:ascii="Times New Roman" w:hAnsi="Times New Roman" w:cs="Times New Roman"/>
          <w:sz w:val="24"/>
          <w:szCs w:val="24"/>
          <w:lang w:val="en-US"/>
        </w:rPr>
        <w:t xml:space="preserve">The </w:t>
      </w:r>
      <w:r w:rsidR="00BC0946" w:rsidRPr="007B140B">
        <w:rPr>
          <w:rFonts w:ascii="Times New Roman" w:hAnsi="Times New Roman" w:cs="Times New Roman"/>
          <w:sz w:val="24"/>
          <w:szCs w:val="24"/>
          <w:lang w:val="en-US"/>
        </w:rPr>
        <w:t xml:space="preserve">number </w:t>
      </w:r>
      <w:r w:rsidR="001F6484" w:rsidRPr="007B140B">
        <w:rPr>
          <w:rFonts w:ascii="Times New Roman" w:hAnsi="Times New Roman" w:cs="Times New Roman"/>
          <w:sz w:val="24"/>
          <w:szCs w:val="24"/>
          <w:lang w:val="en-US"/>
        </w:rPr>
        <w:t xml:space="preserve">with </w:t>
      </w:r>
      <w:r w:rsidR="00BC0946" w:rsidRPr="007B140B">
        <w:rPr>
          <w:rFonts w:ascii="Times New Roman" w:hAnsi="Times New Roman" w:cs="Times New Roman"/>
          <w:sz w:val="24"/>
          <w:szCs w:val="24"/>
          <w:lang w:val="en-US"/>
        </w:rPr>
        <w:t xml:space="preserve">missing </w:t>
      </w:r>
      <w:r w:rsidR="001F6484" w:rsidRPr="007B140B">
        <w:rPr>
          <w:rFonts w:ascii="Times New Roman" w:hAnsi="Times New Roman" w:cs="Times New Roman"/>
          <w:sz w:val="24"/>
          <w:szCs w:val="24"/>
          <w:lang w:val="en-US"/>
        </w:rPr>
        <w:t xml:space="preserve">values </w:t>
      </w:r>
      <w:r w:rsidR="00BC0946" w:rsidRPr="007B140B">
        <w:rPr>
          <w:rFonts w:ascii="Times New Roman" w:hAnsi="Times New Roman" w:cs="Times New Roman"/>
          <w:sz w:val="24"/>
          <w:szCs w:val="24"/>
          <w:lang w:val="en-US"/>
        </w:rPr>
        <w:t>will be calculated</w:t>
      </w:r>
      <w:r w:rsidR="00F23C60" w:rsidRPr="007B140B">
        <w:rPr>
          <w:rFonts w:ascii="Times New Roman" w:hAnsi="Times New Roman" w:cs="Times New Roman"/>
          <w:sz w:val="24"/>
          <w:szCs w:val="24"/>
          <w:lang w:val="en-US"/>
        </w:rPr>
        <w:t xml:space="preserve"> for </w:t>
      </w:r>
      <w:r w:rsidR="00426FA1" w:rsidRPr="007B140B">
        <w:rPr>
          <w:rFonts w:ascii="Times New Roman" w:hAnsi="Times New Roman" w:cs="Times New Roman"/>
          <w:sz w:val="24"/>
          <w:szCs w:val="24"/>
          <w:lang w:val="en-US"/>
        </w:rPr>
        <w:t>all</w:t>
      </w:r>
      <w:r w:rsidR="00F23C60" w:rsidRPr="007B140B">
        <w:rPr>
          <w:rFonts w:ascii="Times New Roman" w:hAnsi="Times New Roman" w:cs="Times New Roman"/>
          <w:sz w:val="24"/>
          <w:szCs w:val="24"/>
          <w:lang w:val="en-US"/>
        </w:rPr>
        <w:t xml:space="preserve"> variable</w:t>
      </w:r>
      <w:r w:rsidR="00426FA1" w:rsidRPr="007B140B">
        <w:rPr>
          <w:rFonts w:ascii="Times New Roman" w:hAnsi="Times New Roman" w:cs="Times New Roman"/>
          <w:sz w:val="24"/>
          <w:szCs w:val="24"/>
          <w:lang w:val="en-US"/>
        </w:rPr>
        <w:t>s</w:t>
      </w:r>
      <w:r w:rsidR="00D44AF2" w:rsidRPr="007B140B">
        <w:rPr>
          <w:rFonts w:ascii="Times New Roman" w:hAnsi="Times New Roman" w:cs="Times New Roman"/>
          <w:sz w:val="24"/>
          <w:szCs w:val="24"/>
          <w:lang w:val="en-US"/>
        </w:rPr>
        <w:t>.</w:t>
      </w:r>
    </w:p>
    <w:p w14:paraId="63CA9728" w14:textId="77777777" w:rsidR="00D33779" w:rsidRPr="007B140B" w:rsidRDefault="00D33779" w:rsidP="001F534C">
      <w:pPr>
        <w:rPr>
          <w:rFonts w:ascii="Times New Roman" w:hAnsi="Times New Roman" w:cs="Times New Roman"/>
          <w:sz w:val="24"/>
          <w:szCs w:val="24"/>
          <w:lang w:val="en-US"/>
        </w:rPr>
      </w:pPr>
    </w:p>
    <w:p w14:paraId="244F467B" w14:textId="4E6C109A" w:rsidR="00BC0946" w:rsidRPr="007B140B" w:rsidRDefault="00B56F55" w:rsidP="00D36611">
      <w:pPr>
        <w:pStyle w:val="Formatmall3"/>
        <w:rPr>
          <w:rFonts w:cs="Times New Roman"/>
          <w:lang w:val="en-US"/>
        </w:rPr>
      </w:pPr>
      <w:bookmarkStart w:id="91" w:name="_Toc99001430"/>
      <w:r w:rsidRPr="007B140B">
        <w:rPr>
          <w:rFonts w:cs="Times New Roman"/>
          <w:lang w:val="en-US"/>
        </w:rPr>
        <w:lastRenderedPageBreak/>
        <w:t>Analysis of follow-up</w:t>
      </w:r>
      <w:bookmarkEnd w:id="91"/>
    </w:p>
    <w:p w14:paraId="22C5BA7D" w14:textId="4B96CB7A" w:rsidR="00B56F55" w:rsidRPr="007B140B" w:rsidRDefault="00692798" w:rsidP="00B56F55">
      <w:pPr>
        <w:rPr>
          <w:rFonts w:ascii="Times New Roman" w:hAnsi="Times New Roman" w:cs="Times New Roman"/>
          <w:sz w:val="24"/>
          <w:szCs w:val="24"/>
          <w:lang w:val="en-US"/>
        </w:rPr>
      </w:pPr>
      <w:r w:rsidRPr="007B140B">
        <w:rPr>
          <w:rFonts w:ascii="Times New Roman" w:hAnsi="Times New Roman" w:cs="Times New Roman"/>
          <w:sz w:val="24"/>
          <w:szCs w:val="24"/>
          <w:lang w:val="en-US"/>
        </w:rPr>
        <w:t>The n</w:t>
      </w:r>
      <w:r w:rsidR="00C92D0C" w:rsidRPr="007B140B">
        <w:rPr>
          <w:rFonts w:ascii="Times New Roman" w:hAnsi="Times New Roman" w:cs="Times New Roman"/>
          <w:sz w:val="24"/>
          <w:szCs w:val="24"/>
          <w:lang w:val="en-US"/>
        </w:rPr>
        <w:t xml:space="preserve">umber and percent </w:t>
      </w:r>
      <w:r w:rsidR="00971385" w:rsidRPr="007B140B">
        <w:rPr>
          <w:rFonts w:ascii="Times New Roman" w:hAnsi="Times New Roman" w:cs="Times New Roman"/>
          <w:sz w:val="24"/>
          <w:szCs w:val="24"/>
          <w:lang w:val="en-US"/>
        </w:rPr>
        <w:t xml:space="preserve">of randomized patients </w:t>
      </w:r>
      <w:r w:rsidR="008D569F">
        <w:rPr>
          <w:rFonts w:ascii="Times New Roman" w:hAnsi="Times New Roman" w:cs="Times New Roman"/>
          <w:sz w:val="24"/>
          <w:szCs w:val="24"/>
          <w:lang w:val="en-US"/>
        </w:rPr>
        <w:t xml:space="preserve">participating in </w:t>
      </w:r>
      <w:r w:rsidR="00C92D0C" w:rsidRPr="007B140B">
        <w:rPr>
          <w:rFonts w:ascii="Times New Roman" w:hAnsi="Times New Roman" w:cs="Times New Roman"/>
          <w:sz w:val="24"/>
          <w:szCs w:val="24"/>
          <w:lang w:val="en-US"/>
        </w:rPr>
        <w:t>study contact</w:t>
      </w:r>
      <w:r w:rsidR="008D569F">
        <w:rPr>
          <w:rFonts w:ascii="Times New Roman" w:hAnsi="Times New Roman" w:cs="Times New Roman"/>
          <w:sz w:val="24"/>
          <w:szCs w:val="24"/>
          <w:lang w:val="en-US"/>
        </w:rPr>
        <w:t xml:space="preserve">s </w:t>
      </w:r>
      <w:r w:rsidR="00C92D0C" w:rsidRPr="007B140B">
        <w:rPr>
          <w:rFonts w:ascii="Times New Roman" w:hAnsi="Times New Roman" w:cs="Times New Roman"/>
          <w:sz w:val="24"/>
          <w:szCs w:val="24"/>
          <w:lang w:val="en-US"/>
        </w:rPr>
        <w:t>will be reported</w:t>
      </w:r>
      <w:r w:rsidR="00A444E0" w:rsidRPr="007B140B">
        <w:rPr>
          <w:rFonts w:ascii="Times New Roman" w:hAnsi="Times New Roman" w:cs="Times New Roman"/>
          <w:sz w:val="24"/>
          <w:szCs w:val="24"/>
          <w:lang w:val="en-US"/>
        </w:rPr>
        <w:t xml:space="preserve"> for the zoledronic acid and placebo groups</w:t>
      </w:r>
      <w:r w:rsidR="008D569F">
        <w:rPr>
          <w:rFonts w:ascii="Times New Roman" w:hAnsi="Times New Roman" w:cs="Times New Roman"/>
          <w:sz w:val="24"/>
          <w:szCs w:val="24"/>
          <w:lang w:val="en-US"/>
        </w:rPr>
        <w:t xml:space="preserve"> at each study contact</w:t>
      </w:r>
      <w:r w:rsidR="00C92D0C" w:rsidRPr="007B140B">
        <w:rPr>
          <w:rFonts w:ascii="Times New Roman" w:hAnsi="Times New Roman" w:cs="Times New Roman"/>
          <w:sz w:val="24"/>
          <w:szCs w:val="24"/>
          <w:lang w:val="en-US"/>
        </w:rPr>
        <w:t xml:space="preserve">. </w:t>
      </w:r>
      <w:r w:rsidR="00E16A10">
        <w:rPr>
          <w:rFonts w:ascii="Times New Roman" w:hAnsi="Times New Roman" w:cs="Times New Roman"/>
          <w:sz w:val="24"/>
          <w:szCs w:val="24"/>
          <w:lang w:val="en-US"/>
        </w:rPr>
        <w:t>The n</w:t>
      </w:r>
      <w:r w:rsidR="00986AB8" w:rsidRPr="007B140B">
        <w:rPr>
          <w:rFonts w:ascii="Times New Roman" w:hAnsi="Times New Roman" w:cs="Times New Roman"/>
          <w:sz w:val="24"/>
          <w:szCs w:val="24"/>
          <w:lang w:val="en-US"/>
        </w:rPr>
        <w:t xml:space="preserve">umber and percent not completing </w:t>
      </w:r>
      <w:r w:rsidR="00B16D51">
        <w:rPr>
          <w:rFonts w:ascii="Times New Roman" w:hAnsi="Times New Roman" w:cs="Times New Roman"/>
          <w:sz w:val="24"/>
          <w:szCs w:val="24"/>
          <w:lang w:val="en-US"/>
        </w:rPr>
        <w:t>study contacts</w:t>
      </w:r>
      <w:r w:rsidR="00986AB8" w:rsidRPr="007B140B">
        <w:rPr>
          <w:rFonts w:ascii="Times New Roman" w:hAnsi="Times New Roman" w:cs="Times New Roman"/>
          <w:sz w:val="24"/>
          <w:szCs w:val="24"/>
          <w:lang w:val="en-US"/>
        </w:rPr>
        <w:t xml:space="preserve"> will be presented by cause</w:t>
      </w:r>
      <w:r w:rsidR="00C92D0C" w:rsidRPr="007B140B">
        <w:rPr>
          <w:rFonts w:ascii="Times New Roman" w:hAnsi="Times New Roman" w:cs="Times New Roman"/>
          <w:sz w:val="24"/>
          <w:szCs w:val="24"/>
          <w:lang w:val="en-US"/>
        </w:rPr>
        <w:t xml:space="preserve"> (</w:t>
      </w:r>
      <w:r w:rsidR="00193E64" w:rsidRPr="007B140B">
        <w:rPr>
          <w:rFonts w:ascii="Times New Roman" w:hAnsi="Times New Roman" w:cs="Times New Roman"/>
          <w:sz w:val="24"/>
          <w:szCs w:val="24"/>
          <w:lang w:val="en-US"/>
        </w:rPr>
        <w:t xml:space="preserve">death, </w:t>
      </w:r>
      <w:r w:rsidR="00C92D0C" w:rsidRPr="007B140B">
        <w:rPr>
          <w:rFonts w:ascii="Times New Roman" w:hAnsi="Times New Roman" w:cs="Times New Roman"/>
          <w:sz w:val="24"/>
          <w:szCs w:val="24"/>
          <w:lang w:val="en-US"/>
        </w:rPr>
        <w:t xml:space="preserve">adverse event, loss to follow-up, </w:t>
      </w:r>
      <w:r w:rsidR="00995DA7">
        <w:rPr>
          <w:rFonts w:ascii="Times New Roman" w:hAnsi="Times New Roman" w:cs="Times New Roman"/>
          <w:sz w:val="24"/>
          <w:szCs w:val="24"/>
          <w:lang w:val="en-US"/>
        </w:rPr>
        <w:t xml:space="preserve">termination of study center, </w:t>
      </w:r>
      <w:r w:rsidR="00C92D0C" w:rsidRPr="007B140B">
        <w:rPr>
          <w:rFonts w:ascii="Times New Roman" w:hAnsi="Times New Roman" w:cs="Times New Roman"/>
          <w:sz w:val="24"/>
          <w:szCs w:val="24"/>
          <w:lang w:val="en-US"/>
        </w:rPr>
        <w:t xml:space="preserve">withdrawal, </w:t>
      </w:r>
      <w:r w:rsidR="00995DA7">
        <w:rPr>
          <w:rFonts w:ascii="Times New Roman" w:hAnsi="Times New Roman" w:cs="Times New Roman"/>
          <w:sz w:val="24"/>
          <w:szCs w:val="24"/>
          <w:lang w:val="en-US"/>
        </w:rPr>
        <w:t>other</w:t>
      </w:r>
      <w:r w:rsidR="00C92D0C" w:rsidRPr="007B140B">
        <w:rPr>
          <w:rFonts w:ascii="Times New Roman" w:hAnsi="Times New Roman" w:cs="Times New Roman"/>
          <w:sz w:val="24"/>
          <w:szCs w:val="24"/>
          <w:lang w:val="en-US"/>
        </w:rPr>
        <w:t>)</w:t>
      </w:r>
      <w:r w:rsidR="00986AB8" w:rsidRPr="007B140B">
        <w:rPr>
          <w:rFonts w:ascii="Times New Roman" w:hAnsi="Times New Roman" w:cs="Times New Roman"/>
          <w:sz w:val="24"/>
          <w:szCs w:val="24"/>
          <w:lang w:val="en-US"/>
        </w:rPr>
        <w:t>.</w:t>
      </w:r>
      <w:r w:rsidR="00B16D51" w:rsidRPr="00B16D51">
        <w:rPr>
          <w:rFonts w:ascii="Times New Roman" w:hAnsi="Times New Roman" w:cs="Times New Roman"/>
          <w:sz w:val="24"/>
          <w:szCs w:val="24"/>
          <w:lang w:val="en-US"/>
        </w:rPr>
        <w:t xml:space="preserve"> </w:t>
      </w:r>
      <w:r w:rsidR="00B16D51">
        <w:rPr>
          <w:rFonts w:ascii="Times New Roman" w:hAnsi="Times New Roman" w:cs="Times New Roman"/>
          <w:sz w:val="24"/>
          <w:szCs w:val="24"/>
          <w:lang w:val="en-US"/>
        </w:rPr>
        <w:t>The n</w:t>
      </w:r>
      <w:r w:rsidR="00B16D51" w:rsidRPr="007B140B">
        <w:rPr>
          <w:rFonts w:ascii="Times New Roman" w:hAnsi="Times New Roman" w:cs="Times New Roman"/>
          <w:sz w:val="24"/>
          <w:szCs w:val="24"/>
          <w:lang w:val="en-US"/>
        </w:rPr>
        <w:t xml:space="preserve">umber and percent not completing </w:t>
      </w:r>
      <w:r w:rsidR="00B16D51">
        <w:rPr>
          <w:rFonts w:ascii="Times New Roman" w:hAnsi="Times New Roman" w:cs="Times New Roman"/>
          <w:sz w:val="24"/>
          <w:szCs w:val="24"/>
          <w:lang w:val="en-US"/>
        </w:rPr>
        <w:t xml:space="preserve">registry and medical-record </w:t>
      </w:r>
      <w:r w:rsidR="00B16D51" w:rsidRPr="007B140B">
        <w:rPr>
          <w:rFonts w:ascii="Times New Roman" w:hAnsi="Times New Roman" w:cs="Times New Roman"/>
          <w:sz w:val="24"/>
          <w:szCs w:val="24"/>
          <w:lang w:val="en-US"/>
        </w:rPr>
        <w:t>follow-up</w:t>
      </w:r>
      <w:r w:rsidR="00B16D51">
        <w:rPr>
          <w:rFonts w:ascii="Times New Roman" w:hAnsi="Times New Roman" w:cs="Times New Roman"/>
          <w:sz w:val="24"/>
          <w:szCs w:val="24"/>
          <w:lang w:val="en-US"/>
        </w:rPr>
        <w:t xml:space="preserve"> will also be presented by cause (death or withdrawal). </w:t>
      </w:r>
      <w:r w:rsidR="007C7163" w:rsidRPr="007B140B">
        <w:rPr>
          <w:rFonts w:ascii="Times New Roman" w:hAnsi="Times New Roman" w:cs="Times New Roman"/>
          <w:sz w:val="24"/>
          <w:szCs w:val="24"/>
          <w:lang w:val="en-US"/>
        </w:rPr>
        <w:t>Differential follow-up duration between the zoledronic acid and control group</w:t>
      </w:r>
      <w:r w:rsidR="00262E12">
        <w:rPr>
          <w:rFonts w:ascii="Times New Roman" w:hAnsi="Times New Roman" w:cs="Times New Roman"/>
          <w:sz w:val="24"/>
          <w:szCs w:val="24"/>
          <w:lang w:val="en-US"/>
        </w:rPr>
        <w:t>s</w:t>
      </w:r>
      <w:r w:rsidR="007C7163" w:rsidRPr="007B140B">
        <w:rPr>
          <w:rFonts w:ascii="Times New Roman" w:hAnsi="Times New Roman" w:cs="Times New Roman"/>
          <w:sz w:val="24"/>
          <w:szCs w:val="24"/>
          <w:lang w:val="en-US"/>
        </w:rPr>
        <w:t xml:space="preserve"> will be examined by plotting Kaplan-Meier curves and testing for </w:t>
      </w:r>
      <w:r w:rsidR="00F625F0" w:rsidRPr="007B140B">
        <w:rPr>
          <w:rFonts w:ascii="Times New Roman" w:hAnsi="Times New Roman" w:cs="Times New Roman"/>
          <w:sz w:val="24"/>
          <w:szCs w:val="24"/>
          <w:lang w:val="en-US"/>
        </w:rPr>
        <w:t>a difference</w:t>
      </w:r>
      <w:r w:rsidR="007C7163" w:rsidRPr="007B140B">
        <w:rPr>
          <w:rFonts w:ascii="Times New Roman" w:hAnsi="Times New Roman" w:cs="Times New Roman"/>
          <w:sz w:val="24"/>
          <w:szCs w:val="24"/>
          <w:lang w:val="en-US"/>
        </w:rPr>
        <w:t xml:space="preserve"> using the log-rank test. Differences in </w:t>
      </w:r>
      <w:r w:rsidR="00521C7D" w:rsidRPr="007B140B">
        <w:rPr>
          <w:rFonts w:ascii="Times New Roman" w:hAnsi="Times New Roman" w:cs="Times New Roman"/>
          <w:sz w:val="24"/>
          <w:szCs w:val="24"/>
          <w:lang w:val="en-US"/>
        </w:rPr>
        <w:t xml:space="preserve">the </w:t>
      </w:r>
      <w:r w:rsidR="007C7163" w:rsidRPr="007B140B">
        <w:rPr>
          <w:rFonts w:ascii="Times New Roman" w:hAnsi="Times New Roman" w:cs="Times New Roman"/>
          <w:sz w:val="24"/>
          <w:szCs w:val="24"/>
          <w:lang w:val="en-US"/>
        </w:rPr>
        <w:t xml:space="preserve">number and </w:t>
      </w:r>
      <w:r w:rsidR="00521C7D" w:rsidRPr="007B140B">
        <w:rPr>
          <w:rFonts w:ascii="Times New Roman" w:hAnsi="Times New Roman" w:cs="Times New Roman"/>
          <w:sz w:val="24"/>
          <w:szCs w:val="24"/>
          <w:lang w:val="en-US"/>
        </w:rPr>
        <w:t>percent</w:t>
      </w:r>
      <w:r w:rsidR="004906BE" w:rsidRPr="007B140B">
        <w:rPr>
          <w:rFonts w:ascii="Times New Roman" w:hAnsi="Times New Roman" w:cs="Times New Roman"/>
          <w:sz w:val="24"/>
          <w:szCs w:val="24"/>
          <w:lang w:val="en-US"/>
        </w:rPr>
        <w:t xml:space="preserve"> prematurely</w:t>
      </w:r>
      <w:r w:rsidR="007C7163" w:rsidRPr="007B140B">
        <w:rPr>
          <w:rFonts w:ascii="Times New Roman" w:hAnsi="Times New Roman" w:cs="Times New Roman"/>
          <w:sz w:val="24"/>
          <w:szCs w:val="24"/>
          <w:lang w:val="en-US"/>
        </w:rPr>
        <w:t xml:space="preserve"> unblinded will be examined using Fisher’s exact test. Number and percent </w:t>
      </w:r>
      <w:r w:rsidR="008147AC" w:rsidRPr="007B140B">
        <w:rPr>
          <w:rFonts w:ascii="Times New Roman" w:hAnsi="Times New Roman" w:cs="Times New Roman"/>
          <w:sz w:val="24"/>
          <w:szCs w:val="24"/>
          <w:lang w:val="en-US"/>
        </w:rPr>
        <w:t xml:space="preserve">prematurely </w:t>
      </w:r>
      <w:r w:rsidR="00986AB8" w:rsidRPr="007B140B">
        <w:rPr>
          <w:rFonts w:ascii="Times New Roman" w:hAnsi="Times New Roman" w:cs="Times New Roman"/>
          <w:sz w:val="24"/>
          <w:szCs w:val="24"/>
          <w:lang w:val="en-US"/>
        </w:rPr>
        <w:t>unbl</w:t>
      </w:r>
      <w:r w:rsidR="00D2385E" w:rsidRPr="007B140B">
        <w:rPr>
          <w:rFonts w:ascii="Times New Roman" w:hAnsi="Times New Roman" w:cs="Times New Roman"/>
          <w:sz w:val="24"/>
          <w:szCs w:val="24"/>
          <w:lang w:val="en-US"/>
        </w:rPr>
        <w:t>i</w:t>
      </w:r>
      <w:r w:rsidR="00986AB8" w:rsidRPr="007B140B">
        <w:rPr>
          <w:rFonts w:ascii="Times New Roman" w:hAnsi="Times New Roman" w:cs="Times New Roman"/>
          <w:sz w:val="24"/>
          <w:szCs w:val="24"/>
          <w:lang w:val="en-US"/>
        </w:rPr>
        <w:t>nded</w:t>
      </w:r>
      <w:r w:rsidR="007C7163" w:rsidRPr="007B140B">
        <w:rPr>
          <w:rFonts w:ascii="Times New Roman" w:hAnsi="Times New Roman" w:cs="Times New Roman"/>
          <w:sz w:val="24"/>
          <w:szCs w:val="24"/>
          <w:lang w:val="en-US"/>
        </w:rPr>
        <w:t xml:space="preserve"> by ca</w:t>
      </w:r>
      <w:r w:rsidR="004F1E2D" w:rsidRPr="007B140B">
        <w:rPr>
          <w:rFonts w:ascii="Times New Roman" w:hAnsi="Times New Roman" w:cs="Times New Roman"/>
          <w:sz w:val="24"/>
          <w:szCs w:val="24"/>
          <w:lang w:val="en-US"/>
        </w:rPr>
        <w:t>use (</w:t>
      </w:r>
      <w:r w:rsidR="00846599">
        <w:rPr>
          <w:rFonts w:ascii="Times New Roman" w:hAnsi="Times New Roman" w:cs="Times New Roman"/>
          <w:sz w:val="24"/>
          <w:szCs w:val="24"/>
          <w:lang w:val="en-US"/>
        </w:rPr>
        <w:t>mistake</w:t>
      </w:r>
      <w:r w:rsidR="00986AB8" w:rsidRPr="007B140B">
        <w:rPr>
          <w:rFonts w:ascii="Times New Roman" w:hAnsi="Times New Roman" w:cs="Times New Roman"/>
          <w:sz w:val="24"/>
          <w:szCs w:val="24"/>
          <w:lang w:val="en-US"/>
        </w:rPr>
        <w:t>, adverse event</w:t>
      </w:r>
      <w:r w:rsidR="007C7163" w:rsidRPr="007B140B">
        <w:rPr>
          <w:rFonts w:ascii="Times New Roman" w:hAnsi="Times New Roman" w:cs="Times New Roman"/>
          <w:sz w:val="24"/>
          <w:szCs w:val="24"/>
          <w:lang w:val="en-US"/>
        </w:rPr>
        <w:t xml:space="preserve">, </w:t>
      </w:r>
      <w:r w:rsidR="004055DA" w:rsidRPr="007B140B">
        <w:rPr>
          <w:rFonts w:ascii="Times New Roman" w:hAnsi="Times New Roman" w:cs="Times New Roman"/>
          <w:sz w:val="24"/>
          <w:szCs w:val="24"/>
          <w:lang w:val="en-US"/>
        </w:rPr>
        <w:t xml:space="preserve">or </w:t>
      </w:r>
      <w:r w:rsidR="007C7163" w:rsidRPr="007B140B">
        <w:rPr>
          <w:rFonts w:ascii="Times New Roman" w:hAnsi="Times New Roman" w:cs="Times New Roman"/>
          <w:sz w:val="24"/>
          <w:szCs w:val="24"/>
          <w:lang w:val="en-US"/>
        </w:rPr>
        <w:t>other) will be presented.</w:t>
      </w:r>
    </w:p>
    <w:p w14:paraId="3961E154" w14:textId="77777777" w:rsidR="00A01AB1" w:rsidRPr="007B140B" w:rsidRDefault="00A01AB1" w:rsidP="00B56F55">
      <w:pPr>
        <w:rPr>
          <w:rFonts w:ascii="Times New Roman" w:hAnsi="Times New Roman" w:cs="Times New Roman"/>
          <w:sz w:val="24"/>
          <w:szCs w:val="24"/>
          <w:lang w:val="en-US"/>
        </w:rPr>
      </w:pPr>
    </w:p>
    <w:p w14:paraId="4A03DDF0" w14:textId="4A26C5E3" w:rsidR="00A01AB1" w:rsidRPr="007B140B" w:rsidRDefault="00A01AB1" w:rsidP="00D36611">
      <w:pPr>
        <w:pStyle w:val="Formatmall3"/>
        <w:rPr>
          <w:rFonts w:cs="Times New Roman"/>
          <w:lang w:val="en-US"/>
        </w:rPr>
      </w:pPr>
      <w:bookmarkStart w:id="92" w:name="_Toc99001431"/>
      <w:r w:rsidRPr="007B140B">
        <w:rPr>
          <w:rFonts w:cs="Times New Roman"/>
          <w:lang w:val="en-US"/>
        </w:rPr>
        <w:t>Analysis of concomitant medications</w:t>
      </w:r>
      <w:bookmarkEnd w:id="92"/>
    </w:p>
    <w:p w14:paraId="666415A2" w14:textId="3DFB679C" w:rsidR="007C7163" w:rsidRPr="007B140B" w:rsidRDefault="00A01AB1" w:rsidP="00B56F55">
      <w:p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The number and percent of participants receiving </w:t>
      </w:r>
      <w:r w:rsidR="00354E36">
        <w:rPr>
          <w:rFonts w:ascii="Times New Roman" w:hAnsi="Times New Roman" w:cs="Times New Roman"/>
          <w:sz w:val="24"/>
          <w:szCs w:val="24"/>
          <w:lang w:val="en-US"/>
        </w:rPr>
        <w:t>bone-protective therapy</w:t>
      </w:r>
      <w:r w:rsidRPr="007B140B">
        <w:rPr>
          <w:rFonts w:ascii="Times New Roman" w:hAnsi="Times New Roman" w:cs="Times New Roman"/>
          <w:sz w:val="24"/>
          <w:szCs w:val="24"/>
          <w:lang w:val="en-US"/>
        </w:rPr>
        <w:t xml:space="preserve"> (other t</w:t>
      </w:r>
      <w:r w:rsidR="00B02CC1" w:rsidRPr="007B140B">
        <w:rPr>
          <w:rFonts w:ascii="Times New Roman" w:hAnsi="Times New Roman" w:cs="Times New Roman"/>
          <w:sz w:val="24"/>
          <w:szCs w:val="24"/>
          <w:lang w:val="en-US"/>
        </w:rPr>
        <w:t xml:space="preserve">han the </w:t>
      </w:r>
      <w:r w:rsidR="00354E36">
        <w:rPr>
          <w:rFonts w:ascii="Times New Roman" w:hAnsi="Times New Roman" w:cs="Times New Roman"/>
          <w:sz w:val="24"/>
          <w:szCs w:val="24"/>
          <w:lang w:val="en-US"/>
        </w:rPr>
        <w:t>investigational</w:t>
      </w:r>
      <w:r w:rsidR="00354E36" w:rsidRPr="007B140B">
        <w:rPr>
          <w:rFonts w:ascii="Times New Roman" w:hAnsi="Times New Roman" w:cs="Times New Roman"/>
          <w:sz w:val="24"/>
          <w:szCs w:val="24"/>
          <w:lang w:val="en-US"/>
        </w:rPr>
        <w:t xml:space="preserve"> </w:t>
      </w:r>
      <w:r w:rsidR="00B02CC1" w:rsidRPr="007B140B">
        <w:rPr>
          <w:rFonts w:ascii="Times New Roman" w:hAnsi="Times New Roman" w:cs="Times New Roman"/>
          <w:sz w:val="24"/>
          <w:szCs w:val="24"/>
          <w:lang w:val="en-US"/>
        </w:rPr>
        <w:t>zoledronic acid</w:t>
      </w:r>
      <w:r w:rsidRPr="007B140B">
        <w:rPr>
          <w:rFonts w:ascii="Times New Roman" w:hAnsi="Times New Roman" w:cs="Times New Roman"/>
          <w:sz w:val="24"/>
          <w:szCs w:val="24"/>
          <w:lang w:val="en-US"/>
        </w:rPr>
        <w:t>) during follow-up will be reported</w:t>
      </w:r>
      <w:r w:rsidR="00BC2453" w:rsidRPr="007B140B">
        <w:rPr>
          <w:rFonts w:ascii="Times New Roman" w:hAnsi="Times New Roman" w:cs="Times New Roman"/>
          <w:sz w:val="24"/>
          <w:szCs w:val="24"/>
          <w:lang w:val="en-US"/>
        </w:rPr>
        <w:t>. The study groups will be compared using Fisher’s exact test.</w:t>
      </w:r>
    </w:p>
    <w:p w14:paraId="7A7C6132" w14:textId="77777777" w:rsidR="00A01AB1" w:rsidRPr="007B140B" w:rsidRDefault="00A01AB1" w:rsidP="00B56F55">
      <w:pPr>
        <w:rPr>
          <w:rFonts w:ascii="Times New Roman" w:hAnsi="Times New Roman" w:cs="Times New Roman"/>
          <w:sz w:val="24"/>
          <w:szCs w:val="24"/>
          <w:lang w:val="en-US"/>
        </w:rPr>
      </w:pPr>
    </w:p>
    <w:p w14:paraId="679A20C2" w14:textId="210D3636" w:rsidR="00822354" w:rsidRPr="007B140B" w:rsidRDefault="003A7E50" w:rsidP="00D36611">
      <w:pPr>
        <w:pStyle w:val="Formatmall3"/>
        <w:rPr>
          <w:rFonts w:cs="Times New Roman"/>
          <w:lang w:val="en-US"/>
        </w:rPr>
      </w:pPr>
      <w:bookmarkStart w:id="93" w:name="_Toc99001432"/>
      <w:r w:rsidRPr="007B140B">
        <w:rPr>
          <w:rFonts w:cs="Times New Roman"/>
          <w:lang w:val="en-US"/>
        </w:rPr>
        <w:t>Efficacy</w:t>
      </w:r>
      <w:r w:rsidR="00822354" w:rsidRPr="007B140B">
        <w:rPr>
          <w:rFonts w:cs="Times New Roman"/>
          <w:lang w:val="en-US"/>
        </w:rPr>
        <w:t xml:space="preserve"> analysis</w:t>
      </w:r>
      <w:bookmarkEnd w:id="93"/>
    </w:p>
    <w:p w14:paraId="7A43D4F0" w14:textId="5316017B" w:rsidR="00DC4124" w:rsidRPr="007B140B" w:rsidRDefault="004818DC" w:rsidP="004F40F0">
      <w:pPr>
        <w:spacing w:after="0" w:line="259"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All randomized patients</w:t>
      </w:r>
      <w:r w:rsidR="009F2A01" w:rsidRPr="007B140B">
        <w:rPr>
          <w:rFonts w:ascii="Times New Roman" w:hAnsi="Times New Roman" w:cs="Times New Roman"/>
          <w:sz w:val="24"/>
          <w:szCs w:val="24"/>
          <w:lang w:val="en-US"/>
        </w:rPr>
        <w:t xml:space="preserve"> </w:t>
      </w:r>
      <w:r w:rsidR="00386CD9" w:rsidRPr="007B140B">
        <w:rPr>
          <w:rFonts w:ascii="Times New Roman" w:hAnsi="Times New Roman" w:cs="Times New Roman"/>
          <w:sz w:val="24"/>
          <w:szCs w:val="24"/>
          <w:lang w:val="en-US"/>
        </w:rPr>
        <w:t xml:space="preserve">with non-missing outcome data </w:t>
      </w:r>
      <w:r w:rsidR="004E42C7" w:rsidRPr="007B140B">
        <w:rPr>
          <w:rFonts w:ascii="Times New Roman" w:hAnsi="Times New Roman" w:cs="Times New Roman"/>
          <w:sz w:val="24"/>
          <w:szCs w:val="24"/>
          <w:lang w:val="en-US"/>
        </w:rPr>
        <w:t>w</w:t>
      </w:r>
      <w:r w:rsidRPr="007B140B">
        <w:rPr>
          <w:rFonts w:ascii="Times New Roman" w:hAnsi="Times New Roman" w:cs="Times New Roman"/>
          <w:sz w:val="24"/>
          <w:szCs w:val="24"/>
          <w:lang w:val="en-US"/>
        </w:rPr>
        <w:t xml:space="preserve">ill be included in </w:t>
      </w:r>
      <w:r w:rsidR="000C140C" w:rsidRPr="007B140B">
        <w:rPr>
          <w:rFonts w:ascii="Times New Roman" w:hAnsi="Times New Roman" w:cs="Times New Roman"/>
          <w:sz w:val="24"/>
          <w:szCs w:val="24"/>
          <w:lang w:val="en-US"/>
        </w:rPr>
        <w:t>an</w:t>
      </w:r>
      <w:r w:rsidRPr="007B140B">
        <w:rPr>
          <w:rFonts w:ascii="Times New Roman" w:hAnsi="Times New Roman" w:cs="Times New Roman"/>
          <w:sz w:val="24"/>
          <w:szCs w:val="24"/>
          <w:lang w:val="en-US"/>
        </w:rPr>
        <w:t xml:space="preserve"> efficacy analysis.</w:t>
      </w:r>
      <w:r w:rsidR="00971385" w:rsidRPr="007B140B">
        <w:rPr>
          <w:rFonts w:ascii="Times New Roman" w:hAnsi="Times New Roman" w:cs="Times New Roman"/>
          <w:sz w:val="24"/>
          <w:szCs w:val="24"/>
          <w:lang w:val="en-US"/>
        </w:rPr>
        <w:t xml:space="preserve"> </w:t>
      </w:r>
      <w:r w:rsidR="00294C96" w:rsidRPr="007B140B">
        <w:rPr>
          <w:rFonts w:ascii="Times New Roman" w:hAnsi="Times New Roman" w:cs="Times New Roman"/>
          <w:sz w:val="24"/>
          <w:szCs w:val="24"/>
          <w:lang w:val="en-US"/>
        </w:rPr>
        <w:t>For t</w:t>
      </w:r>
      <w:r w:rsidR="00F05424" w:rsidRPr="007B140B">
        <w:rPr>
          <w:rFonts w:ascii="Times New Roman" w:hAnsi="Times New Roman" w:cs="Times New Roman"/>
          <w:sz w:val="24"/>
          <w:szCs w:val="24"/>
          <w:lang w:val="en-US"/>
        </w:rPr>
        <w:t>ime-to-event outcome</w:t>
      </w:r>
      <w:r w:rsidR="00FC2543" w:rsidRPr="007B140B">
        <w:rPr>
          <w:rFonts w:ascii="Times New Roman" w:hAnsi="Times New Roman" w:cs="Times New Roman"/>
          <w:sz w:val="24"/>
          <w:szCs w:val="24"/>
          <w:lang w:val="en-US"/>
        </w:rPr>
        <w:t>s</w:t>
      </w:r>
      <w:r w:rsidR="00294C96" w:rsidRPr="007B140B">
        <w:rPr>
          <w:rFonts w:ascii="Times New Roman" w:hAnsi="Times New Roman" w:cs="Times New Roman"/>
          <w:sz w:val="24"/>
          <w:szCs w:val="24"/>
          <w:lang w:val="en-US"/>
        </w:rPr>
        <w:t xml:space="preserve">, </w:t>
      </w:r>
      <w:r w:rsidR="00FC2543" w:rsidRPr="007B140B">
        <w:rPr>
          <w:rFonts w:ascii="Times New Roman" w:hAnsi="Times New Roman" w:cs="Times New Roman"/>
          <w:sz w:val="24"/>
          <w:szCs w:val="24"/>
          <w:lang w:val="en-US"/>
        </w:rPr>
        <w:t xml:space="preserve">survival </w:t>
      </w:r>
      <w:r w:rsidR="00294C96" w:rsidRPr="007B140B">
        <w:rPr>
          <w:rFonts w:ascii="Times New Roman" w:hAnsi="Times New Roman" w:cs="Times New Roman"/>
          <w:sz w:val="24"/>
          <w:szCs w:val="24"/>
          <w:lang w:val="en-US"/>
        </w:rPr>
        <w:t>time will be calculated as date of event minus date of randomization plus 1 day (t</w:t>
      </w:r>
      <w:r w:rsidR="0095150D" w:rsidRPr="007B140B">
        <w:rPr>
          <w:rFonts w:ascii="Times New Roman" w:hAnsi="Times New Roman" w:cs="Times New Roman"/>
          <w:sz w:val="24"/>
          <w:szCs w:val="24"/>
          <w:lang w:val="en-US"/>
        </w:rPr>
        <w:t xml:space="preserve">o account for </w:t>
      </w:r>
      <w:r w:rsidR="003B34D1" w:rsidRPr="007B140B">
        <w:rPr>
          <w:rFonts w:ascii="Times New Roman" w:hAnsi="Times New Roman" w:cs="Times New Roman"/>
          <w:sz w:val="24"/>
          <w:szCs w:val="24"/>
          <w:lang w:val="en-US"/>
        </w:rPr>
        <w:t xml:space="preserve">the </w:t>
      </w:r>
      <w:r w:rsidR="0095150D" w:rsidRPr="007B140B">
        <w:rPr>
          <w:rFonts w:ascii="Times New Roman" w:hAnsi="Times New Roman" w:cs="Times New Roman"/>
          <w:sz w:val="24"/>
          <w:szCs w:val="24"/>
          <w:lang w:val="en-US"/>
        </w:rPr>
        <w:t xml:space="preserve">possibility of </w:t>
      </w:r>
      <w:r w:rsidR="003B34D1" w:rsidRPr="007B140B">
        <w:rPr>
          <w:rFonts w:ascii="Times New Roman" w:hAnsi="Times New Roman" w:cs="Times New Roman"/>
          <w:sz w:val="24"/>
          <w:szCs w:val="24"/>
          <w:lang w:val="en-US"/>
        </w:rPr>
        <w:t xml:space="preserve">an </w:t>
      </w:r>
      <w:r w:rsidR="00294C96" w:rsidRPr="007B140B">
        <w:rPr>
          <w:rFonts w:ascii="Times New Roman" w:hAnsi="Times New Roman" w:cs="Times New Roman"/>
          <w:sz w:val="24"/>
          <w:szCs w:val="24"/>
          <w:lang w:val="en-US"/>
        </w:rPr>
        <w:t>event</w:t>
      </w:r>
      <w:r w:rsidR="0095150D" w:rsidRPr="007B140B">
        <w:rPr>
          <w:rFonts w:ascii="Times New Roman" w:hAnsi="Times New Roman" w:cs="Times New Roman"/>
          <w:sz w:val="24"/>
          <w:szCs w:val="24"/>
          <w:lang w:val="en-US"/>
        </w:rPr>
        <w:t xml:space="preserve"> </w:t>
      </w:r>
      <w:r w:rsidR="003B34D1" w:rsidRPr="007B140B">
        <w:rPr>
          <w:rFonts w:ascii="Times New Roman" w:hAnsi="Times New Roman" w:cs="Times New Roman"/>
          <w:sz w:val="24"/>
          <w:szCs w:val="24"/>
          <w:lang w:val="en-US"/>
        </w:rPr>
        <w:t xml:space="preserve">occurring </w:t>
      </w:r>
      <w:r w:rsidR="0095150D" w:rsidRPr="007B140B">
        <w:rPr>
          <w:rFonts w:ascii="Times New Roman" w:hAnsi="Times New Roman" w:cs="Times New Roman"/>
          <w:sz w:val="24"/>
          <w:szCs w:val="24"/>
          <w:lang w:val="en-US"/>
        </w:rPr>
        <w:t>later in the day of randomization).</w:t>
      </w:r>
      <w:r w:rsidR="00294C96" w:rsidRPr="007B140B">
        <w:rPr>
          <w:rFonts w:ascii="Times New Roman" w:hAnsi="Times New Roman" w:cs="Times New Roman"/>
          <w:sz w:val="24"/>
          <w:szCs w:val="24"/>
          <w:lang w:val="en-US"/>
        </w:rPr>
        <w:t xml:space="preserve"> For participants not experiencing </w:t>
      </w:r>
      <w:r w:rsidR="00F05424" w:rsidRPr="007B140B">
        <w:rPr>
          <w:rFonts w:ascii="Times New Roman" w:hAnsi="Times New Roman" w:cs="Times New Roman"/>
          <w:sz w:val="24"/>
          <w:szCs w:val="24"/>
          <w:lang w:val="en-US"/>
        </w:rPr>
        <w:t>the</w:t>
      </w:r>
      <w:r w:rsidR="00294C96" w:rsidRPr="007B140B">
        <w:rPr>
          <w:rFonts w:ascii="Times New Roman" w:hAnsi="Times New Roman" w:cs="Times New Roman"/>
          <w:sz w:val="24"/>
          <w:szCs w:val="24"/>
          <w:lang w:val="en-US"/>
        </w:rPr>
        <w:t xml:space="preserve"> event, </w:t>
      </w:r>
      <w:r w:rsidR="008B47DC" w:rsidRPr="007B140B">
        <w:rPr>
          <w:rFonts w:ascii="Times New Roman" w:hAnsi="Times New Roman" w:cs="Times New Roman"/>
          <w:sz w:val="24"/>
          <w:szCs w:val="24"/>
          <w:lang w:val="en-US"/>
        </w:rPr>
        <w:t>time</w:t>
      </w:r>
      <w:r w:rsidR="007B6EDF" w:rsidRPr="007B140B">
        <w:rPr>
          <w:rFonts w:ascii="Times New Roman" w:hAnsi="Times New Roman" w:cs="Times New Roman"/>
          <w:sz w:val="24"/>
          <w:szCs w:val="24"/>
          <w:lang w:val="en-US"/>
        </w:rPr>
        <w:t>-to-event</w:t>
      </w:r>
      <w:r w:rsidR="008B47DC" w:rsidRPr="007B140B">
        <w:rPr>
          <w:rFonts w:ascii="Times New Roman" w:hAnsi="Times New Roman" w:cs="Times New Roman"/>
          <w:sz w:val="24"/>
          <w:szCs w:val="24"/>
          <w:lang w:val="en-US"/>
        </w:rPr>
        <w:t xml:space="preserve"> </w:t>
      </w:r>
      <w:r w:rsidR="00F05424" w:rsidRPr="007B140B">
        <w:rPr>
          <w:rFonts w:ascii="Times New Roman" w:hAnsi="Times New Roman" w:cs="Times New Roman"/>
          <w:sz w:val="24"/>
          <w:szCs w:val="24"/>
          <w:lang w:val="en-US"/>
        </w:rPr>
        <w:t>will</w:t>
      </w:r>
      <w:r w:rsidR="00621876" w:rsidRPr="007B140B">
        <w:rPr>
          <w:rFonts w:ascii="Times New Roman" w:hAnsi="Times New Roman" w:cs="Times New Roman"/>
          <w:sz w:val="24"/>
          <w:szCs w:val="24"/>
          <w:lang w:val="en-US"/>
        </w:rPr>
        <w:t xml:space="preserve"> be set </w:t>
      </w:r>
      <w:r w:rsidR="007B6EDF" w:rsidRPr="007B140B">
        <w:rPr>
          <w:rFonts w:ascii="Times New Roman" w:hAnsi="Times New Roman" w:cs="Times New Roman"/>
          <w:sz w:val="24"/>
          <w:szCs w:val="24"/>
          <w:lang w:val="en-US"/>
        </w:rPr>
        <w:t>as</w:t>
      </w:r>
      <w:r w:rsidR="00F05424" w:rsidRPr="007B140B">
        <w:rPr>
          <w:rFonts w:ascii="Times New Roman" w:hAnsi="Times New Roman" w:cs="Times New Roman"/>
          <w:sz w:val="24"/>
          <w:szCs w:val="24"/>
          <w:lang w:val="en-US"/>
        </w:rPr>
        <w:t xml:space="preserve"> </w:t>
      </w:r>
      <w:r w:rsidR="0039044C" w:rsidRPr="007B140B">
        <w:rPr>
          <w:rFonts w:ascii="Times New Roman" w:hAnsi="Times New Roman" w:cs="Times New Roman"/>
          <w:sz w:val="24"/>
          <w:szCs w:val="24"/>
          <w:lang w:val="en-US"/>
        </w:rPr>
        <w:t xml:space="preserve">the </w:t>
      </w:r>
      <w:r w:rsidR="00F05424" w:rsidRPr="007B140B">
        <w:rPr>
          <w:rFonts w:ascii="Times New Roman" w:hAnsi="Times New Roman" w:cs="Times New Roman"/>
          <w:sz w:val="24"/>
          <w:szCs w:val="24"/>
          <w:lang w:val="en-US"/>
        </w:rPr>
        <w:t>follow-up time (see</w:t>
      </w:r>
      <w:r w:rsidR="00E141ED" w:rsidRPr="007B140B">
        <w:rPr>
          <w:rFonts w:ascii="Times New Roman" w:hAnsi="Times New Roman" w:cs="Times New Roman"/>
          <w:sz w:val="24"/>
          <w:szCs w:val="24"/>
          <w:lang w:val="en-US"/>
        </w:rPr>
        <w:t xml:space="preserve"> definition</w:t>
      </w:r>
      <w:r w:rsidR="00F05424" w:rsidRPr="007B140B">
        <w:rPr>
          <w:rFonts w:ascii="Times New Roman" w:hAnsi="Times New Roman" w:cs="Times New Roman"/>
          <w:sz w:val="24"/>
          <w:szCs w:val="24"/>
          <w:lang w:val="en-US"/>
        </w:rPr>
        <w:t xml:space="preserve"> above).</w:t>
      </w:r>
      <w:r w:rsidR="004F40F0" w:rsidRPr="007B140B">
        <w:rPr>
          <w:rFonts w:ascii="Times New Roman" w:hAnsi="Times New Roman" w:cs="Times New Roman"/>
          <w:color w:val="333333"/>
          <w:sz w:val="24"/>
          <w:szCs w:val="24"/>
          <w:shd w:val="clear" w:color="auto" w:fill="FFFFFF"/>
          <w:lang w:val="en-US"/>
        </w:rPr>
        <w:t xml:space="preserve"> If the date of a participant</w:t>
      </w:r>
      <w:r w:rsidR="00001F9E" w:rsidRPr="007B140B">
        <w:rPr>
          <w:rFonts w:ascii="Times New Roman" w:hAnsi="Times New Roman" w:cs="Times New Roman"/>
          <w:color w:val="333333"/>
          <w:sz w:val="24"/>
          <w:szCs w:val="24"/>
          <w:shd w:val="clear" w:color="auto" w:fill="FFFFFF"/>
          <w:lang w:val="en-US"/>
        </w:rPr>
        <w:t>’</w:t>
      </w:r>
      <w:r w:rsidR="004F40F0" w:rsidRPr="007B140B">
        <w:rPr>
          <w:rFonts w:ascii="Times New Roman" w:hAnsi="Times New Roman" w:cs="Times New Roman"/>
          <w:color w:val="333333"/>
          <w:sz w:val="24"/>
          <w:szCs w:val="24"/>
          <w:shd w:val="clear" w:color="auto" w:fill="FFFFFF"/>
          <w:lang w:val="en-US"/>
        </w:rPr>
        <w:t>s time-to-event outcome is incomplete, the date will be imputed as was done in a previous trial.</w:t>
      </w:r>
      <w:r w:rsidR="004F40F0" w:rsidRPr="007B140B">
        <w:rPr>
          <w:rFonts w:ascii="Times New Roman" w:hAnsi="Times New Roman" w:cs="Times New Roman"/>
          <w:color w:val="333333"/>
          <w:sz w:val="24"/>
          <w:szCs w:val="24"/>
          <w:shd w:val="clear" w:color="auto" w:fill="FFFFFF"/>
          <w:lang w:val="en-US"/>
        </w:rPr>
        <w:fldChar w:fldCharType="begin" w:fldLock="1"/>
      </w:r>
      <w:r w:rsidR="00D2485C">
        <w:rPr>
          <w:rFonts w:ascii="Times New Roman" w:hAnsi="Times New Roman" w:cs="Times New Roman"/>
          <w:color w:val="333333"/>
          <w:sz w:val="24"/>
          <w:szCs w:val="24"/>
          <w:shd w:val="clear" w:color="auto" w:fill="FFFFFF"/>
          <w:lang w:val="en-US"/>
        </w:rPr>
        <w:instrText>ADDIN CSL_CITATION {"citationItems":[{"id":"ITEM-1","itemData":{"DOI":"10.1056/NEJMoa074941","author":[{"dropping-particle":"","family":"Lyles","given":"Kenneth W.","non-dropping-particle":"","parse-names":false,"suffix":""},{"dropping-particle":"","family":"Colón-Emeric","given":"Cathleen S.","non-dropping-particle":"","parse-names":false,"suffix":""},{"dropping-particle":"","family":"Magaziner","given":"Jay S.","non-dropping-particle":"","parse-names":false,"suffix":""},{"dropping-particle":"","family":"Adachi","given":"Jonathan D.","non-dropping-particle":"","parse-names":false,"suffix":""},{"dropping-particle":"","family":"Pieper","given":"Carl F.","non-dropping-particle":"","parse-names":false,"suffix":""},{"dropping-particle":"","family":"Mautalen","given":"Carlos","non-dropping-particle":"","parse-names":false,"suffix":""},{"dropping-particle":"","family":"Hyldstrup","given":"Lars","non-dropping-particle":"","parse-names":false,"suffix":""},{"dropping-particle":"","family":"Recknor","given":"Chris","non-dropping-particle":"","parse-names":false,"suffix":""},{"dropping-particle":"","family":"Nordsletten","given":"Lars","non-dropping-particle":"","parse-names":false,"suffix":""},{"dropping-particle":"","family":"Moore","given":"Kathy A.","non-dropping-particle":"","parse-names":false,"suffix":""},{"dropping-particle":"","family":"Lavecchia","given":"Catherine","non-dropping-particle":"","parse-names":false,"suffix":""},{"dropping-particle":"","family":"Zhang","given":"Jie","non-dropping-particle":"","parse-names":false,"suffix":""},{"dropping-particle":"","family":"Mesenbrink","given":"Peter","non-dropping-particle":"","parse-names":false,"suffix":""},{"dropping-particle":"","family":"Hodgson","given":"Patricia K.","non-dropping-particle":"","parse-names":false,"suffix":""},{"dropping-particle":"","family":"Abrams","given":"Ken","non-dropping-particle":"","parse-names":false,"suffix":""},{"dropping-particle":"","family":"Orloff","given":"John J.","non-dropping-particle":"","parse-names":false,"suffix":""},{"dropping-particle":"","family":"Horowitz","given":"Zebulun","non-dropping-particle":"","parse-names":false,"suffix":""},{"dropping-particle":"","family":"Eriksen","given":"Erik Fink","non-dropping-particle":"","parse-names":false,"suffix":""},{"dropping-particle":"","family":"Boonen","given":"Steven","non-dropping-particle":"","parse-names":false,"suffix":""}],"container-title":"New England Journal of Medicine","id":"ITEM-1","issue":"18","issued":{"date-parts":[["2007"]]},"page":"1799-1809","title":"Zoledronic acid and clinical fractures and mortality after hip fracture","type":"article-journal","volume":"357"},"uris":["http://www.mendeley.com/documents/?uuid=fdc4eb3b-a387-4743-a233-680ae590c2cf"]}],"mendeley":{"formattedCitation":"&lt;sup&gt;&lt;sup&gt;20&lt;/sup&gt;&lt;/sup&gt;","plainTextFormattedCitation":"20","previouslyFormattedCitation":"&lt;sup&gt;&lt;sup&gt;20&lt;/sup&gt;&lt;/sup&gt;"},"properties":{"noteIndex":0},"schema":"https://github.com/citation-style-language/schema/raw/master/csl-citation.json"}</w:instrText>
      </w:r>
      <w:r w:rsidR="004F40F0" w:rsidRPr="007B140B">
        <w:rPr>
          <w:rFonts w:ascii="Times New Roman" w:hAnsi="Times New Roman" w:cs="Times New Roman"/>
          <w:color w:val="333333"/>
          <w:sz w:val="24"/>
          <w:szCs w:val="24"/>
          <w:shd w:val="clear" w:color="auto" w:fill="FFFFFF"/>
          <w:lang w:val="en-US"/>
        </w:rPr>
        <w:fldChar w:fldCharType="separate"/>
      </w:r>
      <w:r w:rsidR="00D2485C" w:rsidRPr="00D2485C">
        <w:rPr>
          <w:rFonts w:ascii="Times New Roman" w:hAnsi="Times New Roman" w:cs="Times New Roman"/>
          <w:noProof/>
          <w:color w:val="333333"/>
          <w:sz w:val="24"/>
          <w:szCs w:val="24"/>
          <w:shd w:val="clear" w:color="auto" w:fill="FFFFFF"/>
          <w:vertAlign w:val="superscript"/>
          <w:lang w:val="en-US"/>
        </w:rPr>
        <w:t>20</w:t>
      </w:r>
      <w:r w:rsidR="004F40F0" w:rsidRPr="007B140B">
        <w:rPr>
          <w:rFonts w:ascii="Times New Roman" w:hAnsi="Times New Roman" w:cs="Times New Roman"/>
          <w:color w:val="333333"/>
          <w:sz w:val="24"/>
          <w:szCs w:val="24"/>
          <w:shd w:val="clear" w:color="auto" w:fill="FFFFFF"/>
          <w:lang w:val="en-US"/>
        </w:rPr>
        <w:fldChar w:fldCharType="end"/>
      </w:r>
      <w:r w:rsidR="00E35685">
        <w:rPr>
          <w:rFonts w:ascii="Times New Roman" w:hAnsi="Times New Roman" w:cs="Times New Roman"/>
          <w:color w:val="333333"/>
          <w:sz w:val="24"/>
          <w:szCs w:val="24"/>
          <w:shd w:val="clear" w:color="auto" w:fill="FFFFFF"/>
          <w:lang w:val="en-US"/>
        </w:rPr>
        <w:t xml:space="preserve"> </w:t>
      </w:r>
      <w:r w:rsidR="000F0365">
        <w:rPr>
          <w:rFonts w:ascii="Times New Roman" w:hAnsi="Times New Roman" w:cs="Times New Roman"/>
          <w:color w:val="333333"/>
          <w:sz w:val="24"/>
          <w:szCs w:val="24"/>
          <w:shd w:val="clear" w:color="auto" w:fill="FFFFFF"/>
          <w:lang w:val="en-US"/>
        </w:rPr>
        <w:t>Thus</w:t>
      </w:r>
      <w:r w:rsidR="004F40F0" w:rsidRPr="007B140B">
        <w:rPr>
          <w:rFonts w:ascii="Times New Roman" w:hAnsi="Times New Roman" w:cs="Times New Roman"/>
          <w:color w:val="333333"/>
          <w:sz w:val="24"/>
          <w:szCs w:val="24"/>
          <w:shd w:val="clear" w:color="auto" w:fill="FFFFFF"/>
          <w:lang w:val="en-US"/>
        </w:rPr>
        <w:t>, if the day of the month is missing, it will be imputed as the 15</w:t>
      </w:r>
      <w:r w:rsidR="004F40F0" w:rsidRPr="007B140B">
        <w:rPr>
          <w:rFonts w:ascii="Times New Roman" w:hAnsi="Times New Roman" w:cs="Times New Roman"/>
          <w:color w:val="333333"/>
          <w:sz w:val="24"/>
          <w:szCs w:val="24"/>
          <w:shd w:val="clear" w:color="auto" w:fill="FFFFFF"/>
          <w:vertAlign w:val="superscript"/>
          <w:lang w:val="en-US"/>
        </w:rPr>
        <w:t>th</w:t>
      </w:r>
      <w:r w:rsidR="004F40F0" w:rsidRPr="007B140B">
        <w:rPr>
          <w:rFonts w:ascii="Times New Roman" w:hAnsi="Times New Roman" w:cs="Times New Roman"/>
          <w:color w:val="333333"/>
          <w:sz w:val="24"/>
          <w:szCs w:val="24"/>
          <w:shd w:val="clear" w:color="auto" w:fill="FFFFFF"/>
          <w:lang w:val="en-US"/>
        </w:rPr>
        <w:t>. If both the day and the month are missing, these will be imputed as July 1. If the entire date is missing, the time-to-event will be set to 1 day.</w:t>
      </w:r>
    </w:p>
    <w:p w14:paraId="23C54255" w14:textId="77777777" w:rsidR="004F40F0" w:rsidRPr="007B140B" w:rsidRDefault="004F40F0" w:rsidP="004F40F0">
      <w:pPr>
        <w:spacing w:after="0" w:line="259" w:lineRule="auto"/>
        <w:rPr>
          <w:rFonts w:ascii="Times New Roman" w:hAnsi="Times New Roman" w:cs="Times New Roman"/>
          <w:color w:val="333333"/>
          <w:sz w:val="24"/>
          <w:szCs w:val="24"/>
          <w:shd w:val="clear" w:color="auto" w:fill="FFFFFF"/>
          <w:lang w:val="en-US"/>
        </w:rPr>
      </w:pPr>
    </w:p>
    <w:p w14:paraId="0A21B722" w14:textId="3527CDDA" w:rsidR="000335E2" w:rsidRDefault="00F05424" w:rsidP="00DC4124">
      <w:p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For time-to-event outcomes, 4-year </w:t>
      </w:r>
      <w:r w:rsidR="00AE696A" w:rsidRPr="007B140B">
        <w:rPr>
          <w:rFonts w:ascii="Times New Roman" w:hAnsi="Times New Roman" w:cs="Times New Roman"/>
          <w:sz w:val="24"/>
          <w:szCs w:val="24"/>
          <w:lang w:val="en-US"/>
        </w:rPr>
        <w:t xml:space="preserve">cumulative incidence </w:t>
      </w:r>
      <w:r w:rsidRPr="007B140B">
        <w:rPr>
          <w:rFonts w:ascii="Times New Roman" w:hAnsi="Times New Roman" w:cs="Times New Roman"/>
          <w:sz w:val="24"/>
          <w:szCs w:val="24"/>
          <w:lang w:val="en-US"/>
        </w:rPr>
        <w:t>c</w:t>
      </w:r>
      <w:r w:rsidR="005D68ED" w:rsidRPr="007B140B">
        <w:rPr>
          <w:rFonts w:ascii="Times New Roman" w:hAnsi="Times New Roman" w:cs="Times New Roman"/>
          <w:sz w:val="24"/>
          <w:szCs w:val="24"/>
          <w:lang w:val="en-US"/>
        </w:rPr>
        <w:t xml:space="preserve">urves will be estimated </w:t>
      </w:r>
      <w:r w:rsidRPr="007B140B">
        <w:rPr>
          <w:rFonts w:ascii="Times New Roman" w:hAnsi="Times New Roman" w:cs="Times New Roman"/>
          <w:sz w:val="24"/>
          <w:szCs w:val="24"/>
          <w:lang w:val="en-US"/>
        </w:rPr>
        <w:t xml:space="preserve">using the Kaplan-Meier method. </w:t>
      </w:r>
      <w:r w:rsidR="00A4785E">
        <w:rPr>
          <w:rFonts w:ascii="Times New Roman" w:hAnsi="Times New Roman" w:cs="Times New Roman"/>
          <w:sz w:val="24"/>
          <w:szCs w:val="24"/>
          <w:lang w:val="en-US"/>
        </w:rPr>
        <w:t>The n</w:t>
      </w:r>
      <w:r w:rsidR="00265986" w:rsidRPr="007B140B">
        <w:rPr>
          <w:rFonts w:ascii="Times New Roman" w:hAnsi="Times New Roman" w:cs="Times New Roman"/>
          <w:sz w:val="24"/>
          <w:szCs w:val="24"/>
          <w:lang w:val="en-US"/>
        </w:rPr>
        <w:t xml:space="preserve">umber of </w:t>
      </w:r>
      <w:r w:rsidR="00384495">
        <w:rPr>
          <w:rFonts w:ascii="Times New Roman" w:hAnsi="Times New Roman" w:cs="Times New Roman"/>
          <w:sz w:val="24"/>
          <w:szCs w:val="24"/>
          <w:lang w:val="en-US"/>
        </w:rPr>
        <w:t>participants</w:t>
      </w:r>
      <w:r w:rsidR="00384495" w:rsidRPr="007B140B">
        <w:rPr>
          <w:rFonts w:ascii="Times New Roman" w:hAnsi="Times New Roman" w:cs="Times New Roman"/>
          <w:sz w:val="24"/>
          <w:szCs w:val="24"/>
          <w:lang w:val="en-US"/>
        </w:rPr>
        <w:t xml:space="preserve"> </w:t>
      </w:r>
      <w:r w:rsidR="00265986" w:rsidRPr="007B140B">
        <w:rPr>
          <w:rFonts w:ascii="Times New Roman" w:hAnsi="Times New Roman" w:cs="Times New Roman"/>
          <w:sz w:val="24"/>
          <w:szCs w:val="24"/>
          <w:lang w:val="en-US"/>
        </w:rPr>
        <w:t xml:space="preserve">with </w:t>
      </w:r>
      <w:r w:rsidR="005D68ED" w:rsidRPr="007B140B">
        <w:rPr>
          <w:rFonts w:ascii="Times New Roman" w:hAnsi="Times New Roman" w:cs="Times New Roman"/>
          <w:sz w:val="24"/>
          <w:szCs w:val="24"/>
          <w:lang w:val="en-US"/>
        </w:rPr>
        <w:t xml:space="preserve">an </w:t>
      </w:r>
      <w:r w:rsidR="00265986" w:rsidRPr="007B140B">
        <w:rPr>
          <w:rFonts w:ascii="Times New Roman" w:hAnsi="Times New Roman" w:cs="Times New Roman"/>
          <w:sz w:val="24"/>
          <w:szCs w:val="24"/>
          <w:lang w:val="en-US"/>
        </w:rPr>
        <w:t xml:space="preserve">event, </w:t>
      </w:r>
      <w:r w:rsidR="006D33CF">
        <w:rPr>
          <w:rFonts w:ascii="Times New Roman" w:hAnsi="Times New Roman" w:cs="Times New Roman"/>
          <w:sz w:val="24"/>
          <w:szCs w:val="24"/>
          <w:lang w:val="en-US"/>
        </w:rPr>
        <w:t xml:space="preserve">the </w:t>
      </w:r>
      <w:r w:rsidR="00265986" w:rsidRPr="007B140B">
        <w:rPr>
          <w:rFonts w:ascii="Times New Roman" w:hAnsi="Times New Roman" w:cs="Times New Roman"/>
          <w:sz w:val="24"/>
          <w:szCs w:val="24"/>
          <w:lang w:val="en-US"/>
        </w:rPr>
        <w:t>number of events, and</w:t>
      </w:r>
      <w:r w:rsidR="00A4387E" w:rsidRPr="007B140B">
        <w:rPr>
          <w:rFonts w:ascii="Times New Roman" w:hAnsi="Times New Roman" w:cs="Times New Roman"/>
          <w:sz w:val="24"/>
          <w:szCs w:val="24"/>
          <w:lang w:val="en-US"/>
        </w:rPr>
        <w:t xml:space="preserve"> </w:t>
      </w:r>
      <w:r w:rsidR="006D33CF">
        <w:rPr>
          <w:rFonts w:ascii="Times New Roman" w:hAnsi="Times New Roman" w:cs="Times New Roman"/>
          <w:sz w:val="24"/>
          <w:szCs w:val="24"/>
          <w:lang w:val="en-US"/>
        </w:rPr>
        <w:t xml:space="preserve">the </w:t>
      </w:r>
      <w:r w:rsidR="00B202FB" w:rsidRPr="007B140B">
        <w:rPr>
          <w:rFonts w:ascii="Times New Roman" w:hAnsi="Times New Roman" w:cs="Times New Roman"/>
          <w:sz w:val="24"/>
          <w:szCs w:val="24"/>
          <w:lang w:val="en-US"/>
        </w:rPr>
        <w:t>incidence rates</w:t>
      </w:r>
      <w:r w:rsidR="005F4E4F" w:rsidRPr="007B140B">
        <w:rPr>
          <w:rFonts w:ascii="Times New Roman" w:hAnsi="Times New Roman" w:cs="Times New Roman"/>
          <w:sz w:val="24"/>
          <w:szCs w:val="24"/>
          <w:lang w:val="en-US"/>
        </w:rPr>
        <w:t xml:space="preserve"> (number of events/total person-years </w:t>
      </w:r>
      <w:r w:rsidR="00CF41AC">
        <w:rPr>
          <w:rFonts w:ascii="Times New Roman" w:hAnsi="Times New Roman" w:cs="Times New Roman"/>
          <w:sz w:val="24"/>
          <w:szCs w:val="24"/>
          <w:lang w:val="en-US"/>
        </w:rPr>
        <w:t>at risk</w:t>
      </w:r>
      <w:r w:rsidR="005F4E4F" w:rsidRPr="007B140B">
        <w:rPr>
          <w:rFonts w:ascii="Times New Roman" w:hAnsi="Times New Roman" w:cs="Times New Roman"/>
          <w:sz w:val="24"/>
          <w:szCs w:val="24"/>
          <w:lang w:val="en-US"/>
        </w:rPr>
        <w:t>)</w:t>
      </w:r>
      <w:r w:rsidR="00B202FB" w:rsidRPr="007B140B">
        <w:rPr>
          <w:rFonts w:ascii="Times New Roman" w:hAnsi="Times New Roman" w:cs="Times New Roman"/>
          <w:sz w:val="24"/>
          <w:szCs w:val="24"/>
          <w:lang w:val="en-US"/>
        </w:rPr>
        <w:t xml:space="preserve"> </w:t>
      </w:r>
      <w:r w:rsidR="00265986" w:rsidRPr="007B140B">
        <w:rPr>
          <w:rFonts w:ascii="Times New Roman" w:hAnsi="Times New Roman" w:cs="Times New Roman"/>
          <w:sz w:val="24"/>
          <w:szCs w:val="24"/>
          <w:lang w:val="en-US"/>
        </w:rPr>
        <w:t>will also be provided</w:t>
      </w:r>
      <w:r w:rsidR="007C7163" w:rsidRPr="007B140B">
        <w:rPr>
          <w:rFonts w:ascii="Times New Roman" w:hAnsi="Times New Roman" w:cs="Times New Roman"/>
          <w:sz w:val="24"/>
          <w:szCs w:val="24"/>
          <w:lang w:val="en-US"/>
        </w:rPr>
        <w:t xml:space="preserve">. </w:t>
      </w:r>
      <w:r w:rsidR="00B42CD9" w:rsidRPr="007B140B">
        <w:rPr>
          <w:rFonts w:ascii="Times New Roman" w:hAnsi="Times New Roman" w:cs="Times New Roman"/>
          <w:sz w:val="24"/>
          <w:szCs w:val="24"/>
          <w:lang w:val="en-US"/>
        </w:rPr>
        <w:t>The e</w:t>
      </w:r>
      <w:r w:rsidRPr="007B140B">
        <w:rPr>
          <w:rFonts w:ascii="Times New Roman" w:hAnsi="Times New Roman" w:cs="Times New Roman"/>
          <w:sz w:val="24"/>
          <w:szCs w:val="24"/>
          <w:lang w:val="en-US"/>
        </w:rPr>
        <w:t xml:space="preserve">fficacy of zoledronic acid will be determined </w:t>
      </w:r>
      <w:r w:rsidR="00852B45">
        <w:rPr>
          <w:rFonts w:ascii="Times New Roman" w:hAnsi="Times New Roman" w:cs="Times New Roman"/>
          <w:sz w:val="24"/>
          <w:szCs w:val="24"/>
          <w:lang w:val="en-US"/>
        </w:rPr>
        <w:t>based on</w:t>
      </w:r>
      <w:r w:rsidRPr="007B140B">
        <w:rPr>
          <w:rFonts w:ascii="Times New Roman" w:hAnsi="Times New Roman" w:cs="Times New Roman"/>
          <w:sz w:val="24"/>
          <w:szCs w:val="24"/>
          <w:lang w:val="en-US"/>
        </w:rPr>
        <w:t xml:space="preserve"> t</w:t>
      </w:r>
      <w:r w:rsidR="00361B3B" w:rsidRPr="007B140B">
        <w:rPr>
          <w:rFonts w:ascii="Times New Roman" w:hAnsi="Times New Roman" w:cs="Times New Roman"/>
          <w:sz w:val="24"/>
          <w:szCs w:val="24"/>
          <w:lang w:val="en-US"/>
        </w:rPr>
        <w:t>he log-r</w:t>
      </w:r>
      <w:r w:rsidR="00B42CD9" w:rsidRPr="007B140B">
        <w:rPr>
          <w:rFonts w:ascii="Times New Roman" w:hAnsi="Times New Roman" w:cs="Times New Roman"/>
          <w:sz w:val="24"/>
          <w:szCs w:val="24"/>
          <w:lang w:val="en-US"/>
        </w:rPr>
        <w:t>ank test</w:t>
      </w:r>
      <w:r w:rsidR="004C14F3">
        <w:rPr>
          <w:rFonts w:ascii="Times New Roman" w:hAnsi="Times New Roman" w:cs="Times New Roman"/>
          <w:sz w:val="24"/>
          <w:szCs w:val="24"/>
          <w:lang w:val="en-US"/>
        </w:rPr>
        <w:t>, which will be stratified by center</w:t>
      </w:r>
      <w:r w:rsidRPr="007B140B">
        <w:rPr>
          <w:rFonts w:ascii="Times New Roman" w:hAnsi="Times New Roman" w:cs="Times New Roman"/>
          <w:sz w:val="24"/>
          <w:szCs w:val="24"/>
          <w:lang w:val="en-US"/>
        </w:rPr>
        <w:t xml:space="preserve">. The relative effect of zoledronic acid versus placebo will be </w:t>
      </w:r>
      <w:r w:rsidR="00583BAB">
        <w:rPr>
          <w:rFonts w:ascii="Times New Roman" w:hAnsi="Times New Roman" w:cs="Times New Roman"/>
          <w:sz w:val="24"/>
          <w:szCs w:val="24"/>
          <w:lang w:val="en-US"/>
        </w:rPr>
        <w:t>estimated</w:t>
      </w:r>
      <w:r w:rsidR="00583BAB" w:rsidRPr="007B140B">
        <w:rPr>
          <w:rFonts w:ascii="Times New Roman" w:hAnsi="Times New Roman" w:cs="Times New Roman"/>
          <w:sz w:val="24"/>
          <w:szCs w:val="24"/>
          <w:lang w:val="en-US"/>
        </w:rPr>
        <w:t xml:space="preserve"> </w:t>
      </w:r>
      <w:r w:rsidRPr="007B140B">
        <w:rPr>
          <w:rFonts w:ascii="Times New Roman" w:hAnsi="Times New Roman" w:cs="Times New Roman"/>
          <w:sz w:val="24"/>
          <w:szCs w:val="24"/>
          <w:lang w:val="en-US"/>
        </w:rPr>
        <w:t xml:space="preserve">by hazard ratios (with 95% confidence intervals) </w:t>
      </w:r>
      <w:r w:rsidR="00583BAB">
        <w:rPr>
          <w:rFonts w:ascii="Times New Roman" w:hAnsi="Times New Roman" w:cs="Times New Roman"/>
          <w:sz w:val="24"/>
          <w:szCs w:val="24"/>
          <w:lang w:val="en-US"/>
        </w:rPr>
        <w:t>calculated</w:t>
      </w:r>
      <w:r w:rsidR="00583BAB" w:rsidRPr="007B140B">
        <w:rPr>
          <w:rFonts w:ascii="Times New Roman" w:hAnsi="Times New Roman" w:cs="Times New Roman"/>
          <w:sz w:val="24"/>
          <w:szCs w:val="24"/>
          <w:lang w:val="en-US"/>
        </w:rPr>
        <w:t xml:space="preserve"> </w:t>
      </w:r>
      <w:r w:rsidRPr="007B140B">
        <w:rPr>
          <w:rFonts w:ascii="Times New Roman" w:hAnsi="Times New Roman" w:cs="Times New Roman"/>
          <w:sz w:val="24"/>
          <w:szCs w:val="24"/>
          <w:lang w:val="en-US"/>
        </w:rPr>
        <w:t>using Cox regression</w:t>
      </w:r>
      <w:r w:rsidR="00AA2F6A">
        <w:rPr>
          <w:rFonts w:ascii="Times New Roman" w:hAnsi="Times New Roman" w:cs="Times New Roman"/>
          <w:sz w:val="24"/>
          <w:szCs w:val="24"/>
          <w:lang w:val="en-US"/>
        </w:rPr>
        <w:t>, with stratification by center</w:t>
      </w:r>
      <w:r w:rsidR="00C41FDB" w:rsidRPr="007B140B">
        <w:rPr>
          <w:rFonts w:ascii="Times New Roman" w:hAnsi="Times New Roman" w:cs="Times New Roman"/>
          <w:sz w:val="24"/>
          <w:szCs w:val="24"/>
          <w:lang w:val="en-US"/>
        </w:rPr>
        <w:t xml:space="preserve">. </w:t>
      </w:r>
      <w:r w:rsidR="00001F9E" w:rsidRPr="007B140B">
        <w:rPr>
          <w:rFonts w:ascii="Times New Roman" w:hAnsi="Times New Roman" w:cs="Times New Roman"/>
          <w:sz w:val="24"/>
          <w:szCs w:val="24"/>
          <w:lang w:val="en-US"/>
        </w:rPr>
        <w:t>T</w:t>
      </w:r>
      <w:r w:rsidR="00C41FDB" w:rsidRPr="007B140B">
        <w:rPr>
          <w:rFonts w:ascii="Times New Roman" w:hAnsi="Times New Roman" w:cs="Times New Roman"/>
          <w:sz w:val="24"/>
          <w:szCs w:val="24"/>
          <w:lang w:val="en-US"/>
        </w:rPr>
        <w:t xml:space="preserve">hese models will </w:t>
      </w:r>
      <w:r w:rsidR="00F879B6" w:rsidRPr="007B140B">
        <w:rPr>
          <w:rFonts w:ascii="Times New Roman" w:hAnsi="Times New Roman" w:cs="Times New Roman"/>
          <w:sz w:val="24"/>
          <w:szCs w:val="24"/>
          <w:lang w:val="en-US"/>
        </w:rPr>
        <w:t xml:space="preserve">not </w:t>
      </w:r>
      <w:r w:rsidR="00C41FDB" w:rsidRPr="007B140B">
        <w:rPr>
          <w:rFonts w:ascii="Times New Roman" w:hAnsi="Times New Roman" w:cs="Times New Roman"/>
          <w:sz w:val="24"/>
          <w:szCs w:val="24"/>
          <w:lang w:val="en-US"/>
        </w:rPr>
        <w:t xml:space="preserve">be </w:t>
      </w:r>
      <w:r w:rsidR="00265986" w:rsidRPr="007B140B">
        <w:rPr>
          <w:rFonts w:ascii="Times New Roman" w:hAnsi="Times New Roman" w:cs="Times New Roman"/>
          <w:sz w:val="24"/>
          <w:szCs w:val="24"/>
          <w:lang w:val="en-US"/>
        </w:rPr>
        <w:t>adjusted for</w:t>
      </w:r>
      <w:r w:rsidR="00F879B6" w:rsidRPr="007B140B">
        <w:rPr>
          <w:rFonts w:ascii="Times New Roman" w:hAnsi="Times New Roman" w:cs="Times New Roman"/>
          <w:sz w:val="24"/>
          <w:szCs w:val="24"/>
          <w:lang w:val="en-US"/>
        </w:rPr>
        <w:t xml:space="preserve"> c</w:t>
      </w:r>
      <w:r w:rsidR="004861EE" w:rsidRPr="007B140B">
        <w:rPr>
          <w:rFonts w:ascii="Times New Roman" w:hAnsi="Times New Roman" w:cs="Times New Roman"/>
          <w:sz w:val="24"/>
          <w:szCs w:val="24"/>
          <w:lang w:val="en-US"/>
        </w:rPr>
        <w:t>ovariates in the main analysis</w:t>
      </w:r>
      <w:r w:rsidR="00001F9E" w:rsidRPr="007B140B">
        <w:rPr>
          <w:rFonts w:ascii="Times New Roman" w:hAnsi="Times New Roman" w:cs="Times New Roman"/>
          <w:sz w:val="24"/>
          <w:szCs w:val="24"/>
          <w:lang w:val="en-US"/>
        </w:rPr>
        <w:t xml:space="preserve">, </w:t>
      </w:r>
      <w:proofErr w:type="gramStart"/>
      <w:r w:rsidR="00001F9E" w:rsidRPr="007B140B">
        <w:rPr>
          <w:rFonts w:ascii="Times New Roman" w:hAnsi="Times New Roman" w:cs="Times New Roman"/>
          <w:sz w:val="24"/>
          <w:szCs w:val="24"/>
          <w:lang w:val="en-US"/>
        </w:rPr>
        <w:t>so</w:t>
      </w:r>
      <w:r w:rsidR="000F0365">
        <w:rPr>
          <w:rFonts w:ascii="Times New Roman" w:hAnsi="Times New Roman" w:cs="Times New Roman"/>
          <w:sz w:val="24"/>
          <w:szCs w:val="24"/>
          <w:lang w:val="en-US"/>
        </w:rPr>
        <w:t xml:space="preserve"> as to</w:t>
      </w:r>
      <w:proofErr w:type="gramEnd"/>
      <w:r w:rsidR="000F0365">
        <w:rPr>
          <w:rFonts w:ascii="Times New Roman" w:hAnsi="Times New Roman" w:cs="Times New Roman"/>
          <w:sz w:val="24"/>
          <w:szCs w:val="24"/>
          <w:lang w:val="en-US"/>
        </w:rPr>
        <w:t xml:space="preserve"> be</w:t>
      </w:r>
      <w:r w:rsidR="00001F9E" w:rsidRPr="007B140B">
        <w:rPr>
          <w:rFonts w:ascii="Times New Roman" w:hAnsi="Times New Roman" w:cs="Times New Roman"/>
          <w:sz w:val="24"/>
          <w:szCs w:val="24"/>
          <w:lang w:val="en-US"/>
        </w:rPr>
        <w:t xml:space="preserve"> </w:t>
      </w:r>
      <w:r w:rsidR="006D3642" w:rsidRPr="007B140B">
        <w:rPr>
          <w:rFonts w:ascii="Times New Roman" w:hAnsi="Times New Roman" w:cs="Times New Roman"/>
          <w:sz w:val="24"/>
          <w:szCs w:val="24"/>
          <w:lang w:val="en-US"/>
        </w:rPr>
        <w:t>comparable</w:t>
      </w:r>
      <w:r w:rsidR="00001F9E" w:rsidRPr="007B140B">
        <w:rPr>
          <w:rFonts w:ascii="Times New Roman" w:hAnsi="Times New Roman" w:cs="Times New Roman"/>
          <w:sz w:val="24"/>
          <w:szCs w:val="24"/>
          <w:lang w:val="en-US"/>
        </w:rPr>
        <w:t xml:space="preserve"> to the log rank test</w:t>
      </w:r>
      <w:r w:rsidR="00F879B6" w:rsidRPr="007B140B">
        <w:rPr>
          <w:rFonts w:ascii="Times New Roman" w:hAnsi="Times New Roman" w:cs="Times New Roman"/>
          <w:sz w:val="24"/>
          <w:szCs w:val="24"/>
          <w:lang w:val="en-US"/>
        </w:rPr>
        <w:t>.</w:t>
      </w:r>
      <w:r w:rsidR="00C41FDB" w:rsidRPr="007B140B">
        <w:rPr>
          <w:rFonts w:ascii="Times New Roman" w:hAnsi="Times New Roman" w:cs="Times New Roman"/>
          <w:sz w:val="24"/>
          <w:szCs w:val="24"/>
          <w:lang w:val="en-US"/>
        </w:rPr>
        <w:t xml:space="preserve"> </w:t>
      </w:r>
      <w:r w:rsidR="004818DC" w:rsidRPr="007B140B">
        <w:rPr>
          <w:rFonts w:ascii="Times New Roman" w:hAnsi="Times New Roman" w:cs="Times New Roman"/>
          <w:sz w:val="24"/>
          <w:szCs w:val="24"/>
          <w:lang w:val="en-US"/>
        </w:rPr>
        <w:t xml:space="preserve">The proportional-hazards assumption will be assessed using log-minus-log plots and by Wald tests </w:t>
      </w:r>
      <w:r w:rsidR="00361B3B" w:rsidRPr="007B140B">
        <w:rPr>
          <w:rFonts w:ascii="Times New Roman" w:hAnsi="Times New Roman" w:cs="Times New Roman"/>
          <w:sz w:val="24"/>
          <w:szCs w:val="24"/>
          <w:lang w:val="en-US"/>
        </w:rPr>
        <w:t>of</w:t>
      </w:r>
      <w:r w:rsidR="004818DC" w:rsidRPr="007B140B">
        <w:rPr>
          <w:rFonts w:ascii="Times New Roman" w:hAnsi="Times New Roman" w:cs="Times New Roman"/>
          <w:sz w:val="24"/>
          <w:szCs w:val="24"/>
          <w:lang w:val="en-US"/>
        </w:rPr>
        <w:t xml:space="preserve"> treatment-by-time product terms.</w:t>
      </w:r>
      <w:r w:rsidR="00F17386" w:rsidRPr="007B140B">
        <w:rPr>
          <w:rFonts w:ascii="Times New Roman" w:hAnsi="Times New Roman" w:cs="Times New Roman"/>
          <w:sz w:val="24"/>
          <w:szCs w:val="24"/>
          <w:lang w:val="en-US"/>
        </w:rPr>
        <w:t xml:space="preserve"> In </w:t>
      </w:r>
      <w:r w:rsidR="00183A73" w:rsidRPr="007B140B">
        <w:rPr>
          <w:rFonts w:ascii="Times New Roman" w:hAnsi="Times New Roman" w:cs="Times New Roman"/>
          <w:sz w:val="24"/>
          <w:szCs w:val="24"/>
          <w:lang w:val="en-US"/>
        </w:rPr>
        <w:t xml:space="preserve">the </w:t>
      </w:r>
      <w:r w:rsidR="00F17386" w:rsidRPr="007B140B">
        <w:rPr>
          <w:rFonts w:ascii="Times New Roman" w:hAnsi="Times New Roman" w:cs="Times New Roman"/>
          <w:sz w:val="24"/>
          <w:szCs w:val="24"/>
          <w:lang w:val="en-US"/>
        </w:rPr>
        <w:t>case of a</w:t>
      </w:r>
      <w:r w:rsidR="00361B3B" w:rsidRPr="007B140B">
        <w:rPr>
          <w:rFonts w:ascii="Times New Roman" w:hAnsi="Times New Roman" w:cs="Times New Roman"/>
          <w:sz w:val="24"/>
          <w:szCs w:val="24"/>
          <w:lang w:val="en-US"/>
        </w:rPr>
        <w:t xml:space="preserve"> clear</w:t>
      </w:r>
      <w:r w:rsidR="00F17386" w:rsidRPr="007B140B">
        <w:rPr>
          <w:rFonts w:ascii="Times New Roman" w:hAnsi="Times New Roman" w:cs="Times New Roman"/>
          <w:sz w:val="24"/>
          <w:szCs w:val="24"/>
          <w:lang w:val="en-US"/>
        </w:rPr>
        <w:t xml:space="preserve"> violation of this assumption, hazard ratios will be computed for time-</w:t>
      </w:r>
      <w:r w:rsidR="00F17386" w:rsidRPr="007B140B">
        <w:rPr>
          <w:rFonts w:ascii="Times New Roman" w:hAnsi="Times New Roman" w:cs="Times New Roman"/>
          <w:sz w:val="24"/>
          <w:szCs w:val="24"/>
          <w:lang w:val="en-US"/>
        </w:rPr>
        <w:lastRenderedPageBreak/>
        <w:t xml:space="preserve">intervals </w:t>
      </w:r>
      <w:r w:rsidR="009D099C" w:rsidRPr="007B140B">
        <w:rPr>
          <w:rFonts w:ascii="Times New Roman" w:hAnsi="Times New Roman" w:cs="Times New Roman"/>
          <w:sz w:val="24"/>
          <w:szCs w:val="24"/>
          <w:lang w:val="en-US"/>
        </w:rPr>
        <w:t>in which hazard ratios are</w:t>
      </w:r>
      <w:r w:rsidR="00F17386" w:rsidRPr="007B140B">
        <w:rPr>
          <w:rFonts w:ascii="Times New Roman" w:hAnsi="Times New Roman" w:cs="Times New Roman"/>
          <w:sz w:val="24"/>
          <w:szCs w:val="24"/>
          <w:lang w:val="en-US"/>
        </w:rPr>
        <w:t xml:space="preserve"> more stable</w:t>
      </w:r>
      <w:r w:rsidR="009D099C" w:rsidRPr="007B140B">
        <w:rPr>
          <w:rFonts w:ascii="Times New Roman" w:hAnsi="Times New Roman" w:cs="Times New Roman"/>
          <w:sz w:val="24"/>
          <w:szCs w:val="24"/>
          <w:lang w:val="en-US"/>
        </w:rPr>
        <w:t xml:space="preserve"> </w:t>
      </w:r>
      <w:r w:rsidR="00F17386" w:rsidRPr="007B140B">
        <w:rPr>
          <w:rFonts w:ascii="Times New Roman" w:hAnsi="Times New Roman" w:cs="Times New Roman"/>
          <w:sz w:val="24"/>
          <w:szCs w:val="24"/>
          <w:lang w:val="en-US"/>
        </w:rPr>
        <w:t>(</w:t>
      </w:r>
      <w:proofErr w:type="gramStart"/>
      <w:r w:rsidR="00F17386" w:rsidRPr="007B140B">
        <w:rPr>
          <w:rFonts w:ascii="Times New Roman" w:hAnsi="Times New Roman" w:cs="Times New Roman"/>
          <w:sz w:val="24"/>
          <w:szCs w:val="24"/>
          <w:lang w:val="en-US"/>
        </w:rPr>
        <w:t>e.g.</w:t>
      </w:r>
      <w:proofErr w:type="gramEnd"/>
      <w:r w:rsidR="00F17386" w:rsidRPr="007B140B">
        <w:rPr>
          <w:rFonts w:ascii="Times New Roman" w:hAnsi="Times New Roman" w:cs="Times New Roman"/>
          <w:sz w:val="24"/>
          <w:szCs w:val="24"/>
          <w:lang w:val="en-US"/>
        </w:rPr>
        <w:t xml:space="preserve"> 6-month or 12-month periods).</w:t>
      </w:r>
      <w:r w:rsidR="00E46ADC" w:rsidRPr="007B140B">
        <w:rPr>
          <w:rFonts w:ascii="Times New Roman" w:hAnsi="Times New Roman" w:cs="Times New Roman"/>
          <w:sz w:val="24"/>
          <w:szCs w:val="24"/>
          <w:lang w:val="en-US"/>
        </w:rPr>
        <w:t xml:space="preserve"> </w:t>
      </w:r>
      <w:r w:rsidR="000335E2">
        <w:rPr>
          <w:rFonts w:ascii="Times New Roman" w:hAnsi="Times New Roman" w:cs="Times New Roman"/>
          <w:sz w:val="24"/>
          <w:szCs w:val="24"/>
          <w:lang w:val="en-US"/>
        </w:rPr>
        <w:t xml:space="preserve">The assumption of no interaction between treatment effect and center </w:t>
      </w:r>
      <w:r w:rsidR="00AD152F">
        <w:rPr>
          <w:rFonts w:ascii="Times New Roman" w:hAnsi="Times New Roman" w:cs="Times New Roman"/>
          <w:sz w:val="24"/>
          <w:szCs w:val="24"/>
          <w:lang w:val="en-US"/>
        </w:rPr>
        <w:t>effect will be tested using</w:t>
      </w:r>
      <w:r w:rsidR="000335E2">
        <w:rPr>
          <w:rFonts w:ascii="Times New Roman" w:hAnsi="Times New Roman" w:cs="Times New Roman"/>
          <w:sz w:val="24"/>
          <w:szCs w:val="24"/>
          <w:lang w:val="en-US"/>
        </w:rPr>
        <w:t xml:space="preserve"> treatment-by-center product terms</w:t>
      </w:r>
      <w:r w:rsidR="003B34FA">
        <w:rPr>
          <w:rFonts w:ascii="Times New Roman" w:hAnsi="Times New Roman" w:cs="Times New Roman"/>
          <w:sz w:val="24"/>
          <w:szCs w:val="24"/>
          <w:lang w:val="en-US"/>
        </w:rPr>
        <w:t xml:space="preserve"> with a likelihood ratio test</w:t>
      </w:r>
      <w:r w:rsidR="000335E2">
        <w:rPr>
          <w:rFonts w:ascii="Times New Roman" w:hAnsi="Times New Roman" w:cs="Times New Roman"/>
          <w:sz w:val="24"/>
          <w:szCs w:val="24"/>
          <w:lang w:val="en-US"/>
        </w:rPr>
        <w:t>.</w:t>
      </w:r>
      <w:r w:rsidR="003B34FA">
        <w:rPr>
          <w:rFonts w:ascii="Times New Roman" w:hAnsi="Times New Roman" w:cs="Times New Roman"/>
          <w:sz w:val="24"/>
          <w:szCs w:val="24"/>
          <w:lang w:val="en-US"/>
        </w:rPr>
        <w:fldChar w:fldCharType="begin" w:fldLock="1"/>
      </w:r>
      <w:r w:rsidR="008D4E94">
        <w:rPr>
          <w:rFonts w:ascii="Times New Roman" w:hAnsi="Times New Roman" w:cs="Times New Roman"/>
          <w:sz w:val="24"/>
          <w:szCs w:val="24"/>
          <w:lang w:val="en-US"/>
        </w:rPr>
        <w:instrText>ADDIN CSL_CITATION {"citationItems":[{"id":"ITEM-1","itemData":{"ISBN":"9780387239187","author":[{"dropping-particle":"","family":"Kleinbaum","given":"D","non-dropping-particle":"","parse-names":false,"suffix":""},{"dropping-particle":"","family":"Klien","given":"M","non-dropping-particle":"","parse-names":false,"suffix":""}],"id":"ITEM-1","issued":{"date-parts":[["2005"]]},"publisher":"Springer","publisher-place":"New York","title":"Survival analysis: a self-learning text","type":"book"},"uris":["http://www.mendeley.com/documents/?uuid=ea8b81e2-ed3d-48bb-b830-41d555a70e88"]}],"mendeley":{"formattedCitation":"&lt;sup&gt;&lt;sup&gt;58&lt;/sup&gt;&lt;/sup&gt;","plainTextFormattedCitation":"58","previouslyFormattedCitation":"&lt;sup&gt;&lt;sup&gt;58&lt;/sup&gt;&lt;/sup&gt;"},"properties":{"noteIndex":0},"schema":"https://github.com/citation-style-language/schema/raw/master/csl-citation.json"}</w:instrText>
      </w:r>
      <w:r w:rsidR="003B34FA">
        <w:rPr>
          <w:rFonts w:ascii="Times New Roman" w:hAnsi="Times New Roman" w:cs="Times New Roman"/>
          <w:sz w:val="24"/>
          <w:szCs w:val="24"/>
          <w:lang w:val="en-US"/>
        </w:rPr>
        <w:fldChar w:fldCharType="separate"/>
      </w:r>
      <w:r w:rsidR="003B34FA" w:rsidRPr="003B34FA">
        <w:rPr>
          <w:rFonts w:ascii="Times New Roman" w:hAnsi="Times New Roman" w:cs="Times New Roman"/>
          <w:noProof/>
          <w:sz w:val="24"/>
          <w:szCs w:val="24"/>
          <w:vertAlign w:val="superscript"/>
          <w:lang w:val="en-US"/>
        </w:rPr>
        <w:t>58</w:t>
      </w:r>
      <w:r w:rsidR="003B34FA">
        <w:rPr>
          <w:rFonts w:ascii="Times New Roman" w:hAnsi="Times New Roman" w:cs="Times New Roman"/>
          <w:sz w:val="24"/>
          <w:szCs w:val="24"/>
          <w:lang w:val="en-US"/>
        </w:rPr>
        <w:fldChar w:fldCharType="end"/>
      </w:r>
    </w:p>
    <w:p w14:paraId="75E9CF04" w14:textId="43142FA9" w:rsidR="00AF57F7" w:rsidRPr="007B140B" w:rsidRDefault="00E46ADC" w:rsidP="00DC4124">
      <w:pPr>
        <w:rPr>
          <w:rFonts w:ascii="Times New Roman" w:hAnsi="Times New Roman" w:cs="Times New Roman"/>
          <w:sz w:val="24"/>
          <w:szCs w:val="24"/>
          <w:lang w:val="en-US"/>
        </w:rPr>
      </w:pPr>
      <w:r w:rsidRPr="007B140B">
        <w:rPr>
          <w:rFonts w:ascii="Times New Roman" w:hAnsi="Times New Roman" w:cs="Times New Roman"/>
          <w:sz w:val="24"/>
          <w:szCs w:val="24"/>
          <w:lang w:val="en-US"/>
        </w:rPr>
        <w:t>As an additional analysis, the number of participants needed to treat for 4 years to prevent one fracture will be estimated</w:t>
      </w:r>
      <w:r w:rsidR="00AF57F7" w:rsidRPr="007B140B">
        <w:rPr>
          <w:rFonts w:ascii="Times New Roman" w:hAnsi="Times New Roman" w:cs="Times New Roman"/>
          <w:sz w:val="24"/>
          <w:szCs w:val="24"/>
          <w:lang w:val="en-US"/>
        </w:rPr>
        <w:t xml:space="preserve"> for each fracture outcome using Kaplan-Meier estimated risks. Ninety-five percent confidence intervals</w:t>
      </w:r>
      <w:r w:rsidR="004861EE" w:rsidRPr="007B140B">
        <w:rPr>
          <w:rFonts w:ascii="Times New Roman" w:hAnsi="Times New Roman" w:cs="Times New Roman"/>
          <w:sz w:val="24"/>
          <w:szCs w:val="24"/>
          <w:lang w:val="en-US"/>
        </w:rPr>
        <w:t xml:space="preserve"> will be provided</w:t>
      </w:r>
      <w:r w:rsidR="00AF57F7" w:rsidRPr="007B140B">
        <w:rPr>
          <w:rFonts w:ascii="Times New Roman" w:hAnsi="Times New Roman" w:cs="Times New Roman"/>
          <w:sz w:val="24"/>
          <w:szCs w:val="24"/>
          <w:lang w:val="en-US"/>
        </w:rPr>
        <w:t xml:space="preserve"> for numbers needed to treat</w:t>
      </w:r>
      <w:r w:rsidR="0007133A" w:rsidRPr="007B140B">
        <w:rPr>
          <w:rFonts w:ascii="Times New Roman" w:hAnsi="Times New Roman" w:cs="Times New Roman"/>
          <w:sz w:val="24"/>
          <w:szCs w:val="24"/>
          <w:lang w:val="en-US"/>
        </w:rPr>
        <w:t>,</w:t>
      </w:r>
      <w:r w:rsidR="0007133A" w:rsidRPr="007B140B">
        <w:rPr>
          <w:rFonts w:ascii="Times New Roman" w:hAnsi="Times New Roman" w:cs="Times New Roman"/>
          <w:sz w:val="24"/>
          <w:szCs w:val="24"/>
          <w:lang w:val="en-US"/>
        </w:rPr>
        <w:fldChar w:fldCharType="begin" w:fldLock="1"/>
      </w:r>
      <w:r w:rsidR="008D4E94">
        <w:rPr>
          <w:rFonts w:ascii="Times New Roman" w:hAnsi="Times New Roman" w:cs="Times New Roman"/>
          <w:sz w:val="24"/>
          <w:szCs w:val="24"/>
          <w:lang w:val="en-US"/>
        </w:rPr>
        <w:instrText>ADDIN CSL_CITATION {"citationItems":[{"id":"ITEM-1","itemData":{"DOI":"10.1136/bmj.318.7200.1764c","ISSN":"14685833","author":[{"dropping-particle":"","family":"Altman","given":"D G","non-dropping-particle":"","parse-names":false,"suffix":""}],"container-title":"BMJ","id":"ITEM-1","issue":"7168","issued":{"date-parts":[["1998"]]},"page":"1309-1312","title":"Confidence intervals for the number needed to treat","type":"article-journal","volume":"317"},"uris":["http://www.mendeley.com/documents/?uuid=ecce6bce-16d9-46f3-b9d0-a892cebbeba3"]},{"id":"ITEM-2","itemData":{"DOI":"10.1136/bmj.319.7223.1492","ISBN":"0959-8138 (Print)","ISSN":"0959-8138","PMID":"10582940","abstract":"The number of patients who need to be treated to prevent one additional event (number needed to treat; NNT) has become a widely used measure of treatment benefit derived from the results of randomised controlled trials with a binary outcome 1 2 We show how to obtain a number needed to treat for studies where the primary outcome is the time to an event. We consider primarily the situation where there is no access to raw data, for example, when reviewing a published study, and also how to proceed when given the raw data.","author":[{"dropping-particle":"","family":"Altman","given":"D G","non-dropping-particle":"","parse-names":false,"suffix":""},{"dropping-particle":"","family":"Andersen","given":"P K","non-dropping-particle":"","parse-names":false,"suffix":""}],"container-title":"BMJ","id":"ITEM-2","issue":"7223","issued":{"date-parts":[["1999"]]},"page":"1492-1495","title":"Calculating the number needed to treat for trials where the outcome is time to an event","type":"article-journal","volume":"319"},"uris":["http://www.mendeley.com/documents/?uuid=1567972f-5255-44fb-868e-a0b16da3d510"]}],"mendeley":{"formattedCitation":"&lt;sup&gt;&lt;sup&gt;59&lt;/sup&gt;,&lt;sup&gt;60&lt;/sup&gt;&lt;/sup&gt;","plainTextFormattedCitation":"59,60","previouslyFormattedCitation":"&lt;sup&gt;&lt;sup&gt;59&lt;/sup&gt;,&lt;sup&gt;60&lt;/sup&gt;&lt;/sup&gt;"},"properties":{"noteIndex":0},"schema":"https://github.com/citation-style-language/schema/raw/master/csl-citation.json"}</w:instrText>
      </w:r>
      <w:r w:rsidR="0007133A" w:rsidRPr="007B140B">
        <w:rPr>
          <w:rFonts w:ascii="Times New Roman" w:hAnsi="Times New Roman" w:cs="Times New Roman"/>
          <w:sz w:val="24"/>
          <w:szCs w:val="24"/>
          <w:lang w:val="en-US"/>
        </w:rPr>
        <w:fldChar w:fldCharType="separate"/>
      </w:r>
      <w:r w:rsidR="003B34FA" w:rsidRPr="003B34FA">
        <w:rPr>
          <w:rFonts w:ascii="Times New Roman" w:hAnsi="Times New Roman" w:cs="Times New Roman"/>
          <w:noProof/>
          <w:sz w:val="24"/>
          <w:szCs w:val="24"/>
          <w:vertAlign w:val="superscript"/>
          <w:lang w:val="en-US"/>
        </w:rPr>
        <w:t>59,60</w:t>
      </w:r>
      <w:r w:rsidR="0007133A" w:rsidRPr="007B140B">
        <w:rPr>
          <w:rFonts w:ascii="Times New Roman" w:hAnsi="Times New Roman" w:cs="Times New Roman"/>
          <w:sz w:val="24"/>
          <w:szCs w:val="24"/>
          <w:lang w:val="en-US"/>
        </w:rPr>
        <w:fldChar w:fldCharType="end"/>
      </w:r>
      <w:r w:rsidR="0007133A" w:rsidRPr="007B140B">
        <w:rPr>
          <w:rFonts w:ascii="Times New Roman" w:hAnsi="Times New Roman" w:cs="Times New Roman"/>
          <w:sz w:val="24"/>
          <w:szCs w:val="24"/>
          <w:lang w:val="en-US"/>
        </w:rPr>
        <w:t xml:space="preserve"> with variance estimates</w:t>
      </w:r>
      <w:r w:rsidR="00AF57F7" w:rsidRPr="007B140B">
        <w:rPr>
          <w:rFonts w:ascii="Times New Roman" w:hAnsi="Times New Roman" w:cs="Times New Roman"/>
          <w:sz w:val="24"/>
          <w:szCs w:val="24"/>
          <w:lang w:val="en-US"/>
        </w:rPr>
        <w:t xml:space="preserve"> derived using </w:t>
      </w:r>
      <w:r w:rsidR="0007133A" w:rsidRPr="007B140B">
        <w:rPr>
          <w:rFonts w:ascii="Times New Roman" w:hAnsi="Times New Roman" w:cs="Times New Roman"/>
          <w:sz w:val="24"/>
          <w:szCs w:val="24"/>
          <w:lang w:val="en-US"/>
        </w:rPr>
        <w:t>the method</w:t>
      </w:r>
      <w:r w:rsidR="00AF57F7" w:rsidRPr="007B140B">
        <w:rPr>
          <w:rFonts w:ascii="Times New Roman" w:hAnsi="Times New Roman" w:cs="Times New Roman"/>
          <w:sz w:val="24"/>
          <w:szCs w:val="24"/>
          <w:lang w:val="en-US"/>
        </w:rPr>
        <w:t xml:space="preserve"> proposed by </w:t>
      </w:r>
      <w:proofErr w:type="spellStart"/>
      <w:r w:rsidR="0007133A" w:rsidRPr="007B140B">
        <w:rPr>
          <w:rFonts w:ascii="Times New Roman" w:hAnsi="Times New Roman" w:cs="Times New Roman"/>
          <w:sz w:val="24"/>
          <w:szCs w:val="24"/>
          <w:lang w:val="en-US"/>
        </w:rPr>
        <w:t>Kalbfleisch</w:t>
      </w:r>
      <w:proofErr w:type="spellEnd"/>
      <w:r w:rsidR="0007133A" w:rsidRPr="007B140B">
        <w:rPr>
          <w:rFonts w:ascii="Times New Roman" w:hAnsi="Times New Roman" w:cs="Times New Roman"/>
          <w:sz w:val="24"/>
          <w:szCs w:val="24"/>
          <w:lang w:val="en-US"/>
        </w:rPr>
        <w:t xml:space="preserve"> and Prentice (p. 18).</w:t>
      </w:r>
      <w:r w:rsidR="0007133A" w:rsidRPr="007B140B">
        <w:rPr>
          <w:rFonts w:ascii="Times New Roman" w:hAnsi="Times New Roman" w:cs="Times New Roman"/>
          <w:sz w:val="24"/>
          <w:szCs w:val="24"/>
          <w:lang w:val="en-US"/>
        </w:rPr>
        <w:fldChar w:fldCharType="begin" w:fldLock="1"/>
      </w:r>
      <w:r w:rsidR="008D4E94">
        <w:rPr>
          <w:rFonts w:ascii="Times New Roman" w:hAnsi="Times New Roman" w:cs="Times New Roman"/>
          <w:sz w:val="24"/>
          <w:szCs w:val="24"/>
          <w:lang w:val="en-US"/>
        </w:rPr>
        <w:instrText>ADDIN CSL_CITATION {"citationItems":[{"id":"ITEM-1","itemData":{"author":[{"dropping-particle":"","family":"Kalbfleisch","given":"J D","non-dropping-particle":"","parse-names":false,"suffix":""},{"dropping-particle":"","family":"Prentice","given":"R L","non-dropping-particle":"","parse-names":false,"suffix":""}],"edition":"2","id":"ITEM-1","issued":{"date-parts":[["2002"]]},"publisher":"Wiley-Interscience","publisher-place":"Hoboken","title":"The statistical analysis of failure time data","type":"book"},"uris":["http://www.mendeley.com/documents/?uuid=71d96c02-f009-4bd3-91b7-0afcbc039316"]}],"mendeley":{"formattedCitation":"&lt;sup&gt;&lt;sup&gt;61&lt;/sup&gt;&lt;/sup&gt;","plainTextFormattedCitation":"61","previouslyFormattedCitation":"&lt;sup&gt;&lt;sup&gt;61&lt;/sup&gt;&lt;/sup&gt;"},"properties":{"noteIndex":0},"schema":"https://github.com/citation-style-language/schema/raw/master/csl-citation.json"}</w:instrText>
      </w:r>
      <w:r w:rsidR="0007133A" w:rsidRPr="007B140B">
        <w:rPr>
          <w:rFonts w:ascii="Times New Roman" w:hAnsi="Times New Roman" w:cs="Times New Roman"/>
          <w:sz w:val="24"/>
          <w:szCs w:val="24"/>
          <w:lang w:val="en-US"/>
        </w:rPr>
        <w:fldChar w:fldCharType="separate"/>
      </w:r>
      <w:r w:rsidR="003B34FA" w:rsidRPr="003B34FA">
        <w:rPr>
          <w:rFonts w:ascii="Times New Roman" w:hAnsi="Times New Roman" w:cs="Times New Roman"/>
          <w:noProof/>
          <w:sz w:val="24"/>
          <w:szCs w:val="24"/>
          <w:vertAlign w:val="superscript"/>
          <w:lang w:val="en-US"/>
        </w:rPr>
        <w:t>61</w:t>
      </w:r>
      <w:r w:rsidR="0007133A" w:rsidRPr="007B140B">
        <w:rPr>
          <w:rFonts w:ascii="Times New Roman" w:hAnsi="Times New Roman" w:cs="Times New Roman"/>
          <w:sz w:val="24"/>
          <w:szCs w:val="24"/>
          <w:lang w:val="en-US"/>
        </w:rPr>
        <w:fldChar w:fldCharType="end"/>
      </w:r>
    </w:p>
    <w:p w14:paraId="2D77F36A" w14:textId="2AB98FDB" w:rsidR="0055764F" w:rsidRPr="007B140B" w:rsidRDefault="00BD55CA" w:rsidP="00BF6B5C">
      <w:pPr>
        <w:autoSpaceDE w:val="0"/>
        <w:autoSpaceDN w:val="0"/>
        <w:adjustRightInd w:val="0"/>
        <w:rPr>
          <w:rFonts w:ascii="Times New Roman" w:hAnsi="Times New Roman" w:cs="Times New Roman"/>
          <w:sz w:val="24"/>
          <w:szCs w:val="24"/>
          <w:lang w:val="en-US"/>
        </w:rPr>
      </w:pPr>
      <w:r w:rsidRPr="007B140B">
        <w:rPr>
          <w:rFonts w:ascii="Times New Roman" w:hAnsi="Times New Roman" w:cs="Times New Roman"/>
          <w:sz w:val="24"/>
          <w:szCs w:val="24"/>
          <w:lang w:val="en-US"/>
        </w:rPr>
        <w:t>C</w:t>
      </w:r>
      <w:r w:rsidR="0051027C" w:rsidRPr="007B140B">
        <w:rPr>
          <w:rFonts w:ascii="Times New Roman" w:hAnsi="Times New Roman" w:cs="Times New Roman"/>
          <w:sz w:val="24"/>
          <w:szCs w:val="24"/>
          <w:lang w:val="en-US"/>
        </w:rPr>
        <w:t xml:space="preserve">hange-from-baseline outcomes will be analyzed </w:t>
      </w:r>
      <w:r w:rsidR="00DD315E" w:rsidRPr="007B140B">
        <w:rPr>
          <w:rFonts w:ascii="Times New Roman" w:hAnsi="Times New Roman" w:cs="Times New Roman"/>
          <w:sz w:val="24"/>
          <w:szCs w:val="24"/>
          <w:lang w:val="en-US"/>
        </w:rPr>
        <w:t>u</w:t>
      </w:r>
      <w:r w:rsidR="00F96D1C" w:rsidRPr="007B140B">
        <w:rPr>
          <w:rFonts w:ascii="Times New Roman" w:hAnsi="Times New Roman" w:cs="Times New Roman"/>
          <w:sz w:val="24"/>
          <w:szCs w:val="24"/>
          <w:lang w:val="en-US"/>
        </w:rPr>
        <w:t>sing analysis of covariance</w:t>
      </w:r>
      <w:r w:rsidR="00E21842">
        <w:rPr>
          <w:rFonts w:ascii="Times New Roman" w:hAnsi="Times New Roman" w:cs="Times New Roman"/>
          <w:sz w:val="24"/>
          <w:szCs w:val="24"/>
          <w:lang w:val="en-US"/>
        </w:rPr>
        <w:t>. T</w:t>
      </w:r>
      <w:r w:rsidR="00F96D1C" w:rsidRPr="007B140B">
        <w:rPr>
          <w:rFonts w:ascii="Times New Roman" w:hAnsi="Times New Roman" w:cs="Times New Roman"/>
          <w:sz w:val="24"/>
          <w:szCs w:val="24"/>
          <w:lang w:val="en-US"/>
        </w:rPr>
        <w:t xml:space="preserve">he </w:t>
      </w:r>
      <w:r w:rsidR="00AE696A" w:rsidRPr="007B140B">
        <w:rPr>
          <w:rFonts w:ascii="Times New Roman" w:hAnsi="Times New Roman" w:cs="Times New Roman"/>
          <w:sz w:val="24"/>
          <w:szCs w:val="24"/>
          <w:lang w:val="en-US"/>
        </w:rPr>
        <w:t xml:space="preserve">response variable will be </w:t>
      </w:r>
      <w:r w:rsidR="00022A3C">
        <w:rPr>
          <w:rFonts w:ascii="Times New Roman" w:hAnsi="Times New Roman" w:cs="Times New Roman"/>
          <w:sz w:val="24"/>
          <w:szCs w:val="24"/>
          <w:lang w:val="en-US"/>
        </w:rPr>
        <w:t xml:space="preserve">the </w:t>
      </w:r>
      <w:r w:rsidR="00AE696A" w:rsidRPr="007B140B">
        <w:rPr>
          <w:rFonts w:ascii="Times New Roman" w:hAnsi="Times New Roman" w:cs="Times New Roman"/>
          <w:sz w:val="24"/>
          <w:szCs w:val="24"/>
          <w:lang w:val="en-US"/>
        </w:rPr>
        <w:t xml:space="preserve">post-intervention </w:t>
      </w:r>
      <w:r w:rsidR="0051027C" w:rsidRPr="007B140B">
        <w:rPr>
          <w:rFonts w:ascii="Times New Roman" w:hAnsi="Times New Roman" w:cs="Times New Roman"/>
          <w:sz w:val="24"/>
          <w:szCs w:val="24"/>
          <w:lang w:val="en-US"/>
        </w:rPr>
        <w:t>value and t</w:t>
      </w:r>
      <w:r w:rsidR="00AE696A" w:rsidRPr="007B140B">
        <w:rPr>
          <w:rFonts w:ascii="Times New Roman" w:hAnsi="Times New Roman" w:cs="Times New Roman"/>
          <w:sz w:val="24"/>
          <w:szCs w:val="24"/>
          <w:lang w:val="en-US"/>
        </w:rPr>
        <w:t>h</w:t>
      </w:r>
      <w:r w:rsidR="0051027C" w:rsidRPr="007B140B">
        <w:rPr>
          <w:rFonts w:ascii="Times New Roman" w:hAnsi="Times New Roman" w:cs="Times New Roman"/>
          <w:sz w:val="24"/>
          <w:szCs w:val="24"/>
          <w:lang w:val="en-US"/>
        </w:rPr>
        <w:t>e explanatory variables</w:t>
      </w:r>
      <w:r w:rsidR="00AE696A" w:rsidRPr="007B140B">
        <w:rPr>
          <w:rFonts w:ascii="Times New Roman" w:hAnsi="Times New Roman" w:cs="Times New Roman"/>
          <w:sz w:val="24"/>
          <w:szCs w:val="24"/>
          <w:lang w:val="en-US"/>
        </w:rPr>
        <w:t xml:space="preserve"> will be </w:t>
      </w:r>
      <w:r w:rsidR="00F96D1C" w:rsidRPr="007B140B">
        <w:rPr>
          <w:rFonts w:ascii="Times New Roman" w:hAnsi="Times New Roman" w:cs="Times New Roman"/>
          <w:sz w:val="24"/>
          <w:szCs w:val="24"/>
          <w:lang w:val="en-US"/>
        </w:rPr>
        <w:t>baseline value</w:t>
      </w:r>
      <w:r w:rsidR="00AA2F6A">
        <w:rPr>
          <w:rFonts w:ascii="Times New Roman" w:hAnsi="Times New Roman" w:cs="Times New Roman"/>
          <w:sz w:val="24"/>
          <w:szCs w:val="24"/>
          <w:lang w:val="en-US"/>
        </w:rPr>
        <w:t xml:space="preserve">, </w:t>
      </w:r>
      <w:r w:rsidR="00D4313F" w:rsidRPr="007B140B">
        <w:rPr>
          <w:rFonts w:ascii="Times New Roman" w:hAnsi="Times New Roman" w:cs="Times New Roman"/>
          <w:sz w:val="24"/>
          <w:szCs w:val="24"/>
          <w:lang w:val="en-US"/>
        </w:rPr>
        <w:t>treatment group</w:t>
      </w:r>
      <w:r w:rsidR="00AA2F6A">
        <w:rPr>
          <w:rFonts w:ascii="Times New Roman" w:hAnsi="Times New Roman" w:cs="Times New Roman"/>
          <w:sz w:val="24"/>
          <w:szCs w:val="24"/>
          <w:lang w:val="en-US"/>
        </w:rPr>
        <w:t>, and center</w:t>
      </w:r>
      <w:r w:rsidR="00F96D1C" w:rsidRPr="007B140B">
        <w:rPr>
          <w:rFonts w:ascii="Times New Roman" w:hAnsi="Times New Roman" w:cs="Times New Roman"/>
          <w:sz w:val="24"/>
          <w:szCs w:val="24"/>
          <w:lang w:val="en-US"/>
        </w:rPr>
        <w:t>.</w:t>
      </w:r>
      <w:r w:rsidR="00EF43F7">
        <w:rPr>
          <w:rFonts w:ascii="Times New Roman" w:hAnsi="Times New Roman" w:cs="Times New Roman"/>
          <w:sz w:val="24"/>
          <w:szCs w:val="24"/>
          <w:lang w:val="en-US"/>
        </w:rPr>
        <w:t xml:space="preserve"> For the EQ-5D-5L </w:t>
      </w:r>
      <w:r w:rsidR="00225166">
        <w:rPr>
          <w:rFonts w:ascii="Times New Roman" w:hAnsi="Times New Roman" w:cs="Times New Roman"/>
          <w:sz w:val="24"/>
          <w:szCs w:val="24"/>
          <w:lang w:val="en-US"/>
        </w:rPr>
        <w:t xml:space="preserve">exploratory </w:t>
      </w:r>
      <w:r w:rsidR="00EF43F7">
        <w:rPr>
          <w:rFonts w:ascii="Times New Roman" w:hAnsi="Times New Roman" w:cs="Times New Roman"/>
          <w:sz w:val="24"/>
          <w:szCs w:val="24"/>
          <w:lang w:val="en-US"/>
        </w:rPr>
        <w:t xml:space="preserve">outcomes, which will be measured </w:t>
      </w:r>
      <w:r w:rsidR="009B731D">
        <w:rPr>
          <w:rFonts w:ascii="Times New Roman" w:hAnsi="Times New Roman" w:cs="Times New Roman"/>
          <w:sz w:val="24"/>
          <w:szCs w:val="24"/>
          <w:lang w:val="en-US"/>
        </w:rPr>
        <w:t>once</w:t>
      </w:r>
      <w:r w:rsidR="00892FA9">
        <w:rPr>
          <w:rFonts w:ascii="Times New Roman" w:hAnsi="Times New Roman" w:cs="Times New Roman"/>
          <w:sz w:val="24"/>
          <w:szCs w:val="24"/>
          <w:lang w:val="en-US"/>
        </w:rPr>
        <w:t xml:space="preserve"> during </w:t>
      </w:r>
      <w:r w:rsidR="00EF43F7">
        <w:rPr>
          <w:rFonts w:ascii="Times New Roman" w:hAnsi="Times New Roman" w:cs="Times New Roman"/>
          <w:sz w:val="24"/>
          <w:szCs w:val="24"/>
          <w:lang w:val="en-US"/>
        </w:rPr>
        <w:t xml:space="preserve">follow-up, </w:t>
      </w:r>
      <w:r w:rsidR="00E21842">
        <w:rPr>
          <w:rFonts w:ascii="Times New Roman" w:hAnsi="Times New Roman" w:cs="Times New Roman"/>
          <w:sz w:val="24"/>
          <w:szCs w:val="24"/>
          <w:lang w:val="en-US"/>
        </w:rPr>
        <w:t xml:space="preserve">an </w:t>
      </w:r>
      <w:r w:rsidR="00865107">
        <w:rPr>
          <w:rFonts w:ascii="Times New Roman" w:hAnsi="Times New Roman" w:cs="Times New Roman"/>
          <w:sz w:val="24"/>
          <w:szCs w:val="24"/>
          <w:lang w:val="en-US"/>
        </w:rPr>
        <w:t xml:space="preserve">analysis of covariance </w:t>
      </w:r>
      <w:r w:rsidR="00EF43F7">
        <w:rPr>
          <w:rFonts w:ascii="Times New Roman" w:hAnsi="Times New Roman" w:cs="Times New Roman"/>
          <w:sz w:val="24"/>
          <w:szCs w:val="24"/>
          <w:lang w:val="en-US"/>
        </w:rPr>
        <w:t xml:space="preserve">will be run </w:t>
      </w:r>
      <w:r w:rsidR="00865107">
        <w:rPr>
          <w:rFonts w:ascii="Times New Roman" w:hAnsi="Times New Roman" w:cs="Times New Roman"/>
          <w:sz w:val="24"/>
          <w:szCs w:val="24"/>
          <w:lang w:val="en-US"/>
        </w:rPr>
        <w:t>with</w:t>
      </w:r>
      <w:r w:rsidR="00EF43F7">
        <w:rPr>
          <w:rFonts w:ascii="Times New Roman" w:hAnsi="Times New Roman" w:cs="Times New Roman"/>
          <w:sz w:val="24"/>
          <w:szCs w:val="24"/>
          <w:lang w:val="en-US"/>
        </w:rPr>
        <w:t xml:space="preserve"> each follow-up value</w:t>
      </w:r>
      <w:r w:rsidR="00865107">
        <w:rPr>
          <w:rFonts w:ascii="Times New Roman" w:hAnsi="Times New Roman" w:cs="Times New Roman"/>
          <w:sz w:val="24"/>
          <w:szCs w:val="24"/>
          <w:lang w:val="en-US"/>
        </w:rPr>
        <w:t xml:space="preserve"> as the post-</w:t>
      </w:r>
      <w:r w:rsidR="00225166">
        <w:rPr>
          <w:rFonts w:ascii="Times New Roman" w:hAnsi="Times New Roman" w:cs="Times New Roman"/>
          <w:sz w:val="24"/>
          <w:szCs w:val="24"/>
          <w:lang w:val="en-US"/>
        </w:rPr>
        <w:t>intervention value</w:t>
      </w:r>
      <w:r w:rsidR="00EF43F7">
        <w:rPr>
          <w:rFonts w:ascii="Times New Roman" w:hAnsi="Times New Roman" w:cs="Times New Roman"/>
          <w:sz w:val="24"/>
          <w:szCs w:val="24"/>
          <w:lang w:val="en-US"/>
        </w:rPr>
        <w:t>.</w:t>
      </w:r>
      <w:r w:rsidR="00F21ADB">
        <w:rPr>
          <w:rFonts w:ascii="Times New Roman" w:hAnsi="Times New Roman" w:cs="Times New Roman"/>
          <w:sz w:val="24"/>
          <w:szCs w:val="24"/>
          <w:lang w:val="en-US"/>
        </w:rPr>
        <w:t xml:space="preserve"> To pre</w:t>
      </w:r>
      <w:r w:rsidR="00340638">
        <w:rPr>
          <w:rFonts w:ascii="Times New Roman" w:hAnsi="Times New Roman" w:cs="Times New Roman"/>
          <w:sz w:val="24"/>
          <w:szCs w:val="24"/>
          <w:lang w:val="en-US"/>
        </w:rPr>
        <w:t>vent the problem of multiple testing</w:t>
      </w:r>
      <w:r w:rsidR="00F21ADB">
        <w:rPr>
          <w:rFonts w:ascii="Times New Roman" w:hAnsi="Times New Roman" w:cs="Times New Roman"/>
          <w:sz w:val="24"/>
          <w:szCs w:val="24"/>
          <w:lang w:val="en-US"/>
        </w:rPr>
        <w:t>, the stepwise approach to testing described in Section 1</w:t>
      </w:r>
      <w:r w:rsidR="00A32B9E">
        <w:rPr>
          <w:rFonts w:ascii="Times New Roman" w:hAnsi="Times New Roman" w:cs="Times New Roman"/>
          <w:sz w:val="24"/>
          <w:szCs w:val="24"/>
          <w:lang w:val="en-US"/>
        </w:rPr>
        <w:t>3.8</w:t>
      </w:r>
      <w:r w:rsidR="00F21ADB">
        <w:rPr>
          <w:rFonts w:ascii="Times New Roman" w:hAnsi="Times New Roman" w:cs="Times New Roman"/>
          <w:sz w:val="24"/>
          <w:szCs w:val="24"/>
          <w:lang w:val="en-US"/>
        </w:rPr>
        <w:t xml:space="preserve"> will be used.</w:t>
      </w:r>
      <w:r w:rsidR="00F96D1C" w:rsidRPr="007B140B">
        <w:rPr>
          <w:rFonts w:ascii="Times New Roman" w:hAnsi="Times New Roman" w:cs="Times New Roman"/>
          <w:sz w:val="24"/>
          <w:szCs w:val="24"/>
          <w:lang w:val="en-US"/>
        </w:rPr>
        <w:t xml:space="preserve"> </w:t>
      </w:r>
      <w:r w:rsidR="00D2385E" w:rsidRPr="007B140B">
        <w:rPr>
          <w:rFonts w:ascii="Times New Roman" w:hAnsi="Times New Roman" w:cs="Times New Roman"/>
          <w:sz w:val="24"/>
          <w:szCs w:val="24"/>
          <w:lang w:val="en-US"/>
        </w:rPr>
        <w:t>T</w:t>
      </w:r>
      <w:r w:rsidR="00F17386" w:rsidRPr="007B140B">
        <w:rPr>
          <w:rFonts w:ascii="Times New Roman" w:hAnsi="Times New Roman" w:cs="Times New Roman"/>
          <w:sz w:val="24"/>
          <w:szCs w:val="24"/>
          <w:lang w:val="en-US"/>
        </w:rPr>
        <w:t>he assumptions of linearity, constant variance, and normality will be checked using residual plots and normal quantile-quantile plots. C</w:t>
      </w:r>
      <w:r w:rsidR="00BD63DE" w:rsidRPr="007B140B">
        <w:rPr>
          <w:rFonts w:ascii="Times New Roman" w:hAnsi="Times New Roman" w:cs="Times New Roman"/>
          <w:sz w:val="24"/>
          <w:szCs w:val="24"/>
          <w:lang w:val="en-US"/>
        </w:rPr>
        <w:t xml:space="preserve">lear violations of these assumptions </w:t>
      </w:r>
      <w:r w:rsidR="00F17386" w:rsidRPr="007B140B">
        <w:rPr>
          <w:rFonts w:ascii="Times New Roman" w:hAnsi="Times New Roman" w:cs="Times New Roman"/>
          <w:sz w:val="24"/>
          <w:szCs w:val="24"/>
          <w:lang w:val="en-US"/>
        </w:rPr>
        <w:t xml:space="preserve">will be dealt with by </w:t>
      </w:r>
      <w:r w:rsidR="00BD63DE" w:rsidRPr="007B140B">
        <w:rPr>
          <w:rFonts w:ascii="Times New Roman" w:hAnsi="Times New Roman" w:cs="Times New Roman"/>
          <w:sz w:val="24"/>
          <w:szCs w:val="24"/>
          <w:lang w:val="en-US"/>
        </w:rPr>
        <w:t>transformations of the response</w:t>
      </w:r>
      <w:r w:rsidR="007C2603" w:rsidRPr="007B140B">
        <w:rPr>
          <w:rFonts w:ascii="Times New Roman" w:hAnsi="Times New Roman" w:cs="Times New Roman"/>
          <w:sz w:val="24"/>
          <w:szCs w:val="24"/>
          <w:lang w:val="en-US"/>
        </w:rPr>
        <w:t xml:space="preserve"> variable or its baseline value</w:t>
      </w:r>
      <w:r w:rsidR="00BD63DE" w:rsidRPr="007B140B">
        <w:rPr>
          <w:rFonts w:ascii="Times New Roman" w:hAnsi="Times New Roman" w:cs="Times New Roman"/>
          <w:sz w:val="24"/>
          <w:szCs w:val="24"/>
          <w:lang w:val="en-US"/>
        </w:rPr>
        <w:t>. Clear violations of the assumption of constant variance may instead be dealt with using the method of w</w:t>
      </w:r>
      <w:r w:rsidR="00665294" w:rsidRPr="007B140B">
        <w:rPr>
          <w:rFonts w:ascii="Times New Roman" w:hAnsi="Times New Roman" w:cs="Times New Roman"/>
          <w:sz w:val="24"/>
          <w:szCs w:val="24"/>
          <w:lang w:val="en-US"/>
        </w:rPr>
        <w:t>eighted least s</w:t>
      </w:r>
      <w:r w:rsidR="00AF7C19" w:rsidRPr="007B140B">
        <w:rPr>
          <w:rFonts w:ascii="Times New Roman" w:hAnsi="Times New Roman" w:cs="Times New Roman"/>
          <w:sz w:val="24"/>
          <w:szCs w:val="24"/>
          <w:lang w:val="en-US"/>
        </w:rPr>
        <w:t>quares. Outliers will not be removed.</w:t>
      </w:r>
      <w:r w:rsidR="008E3F0E" w:rsidRPr="007B140B">
        <w:rPr>
          <w:rFonts w:ascii="Times New Roman" w:hAnsi="Times New Roman" w:cs="Times New Roman"/>
          <w:sz w:val="24"/>
          <w:szCs w:val="24"/>
          <w:lang w:val="en-US"/>
        </w:rPr>
        <w:t xml:space="preserve"> Participants with missing follow-up data on change-from-baseline </w:t>
      </w:r>
      <w:r w:rsidR="00E97DE7" w:rsidRPr="007B140B">
        <w:rPr>
          <w:rFonts w:ascii="Times New Roman" w:hAnsi="Times New Roman" w:cs="Times New Roman"/>
          <w:sz w:val="24"/>
          <w:szCs w:val="24"/>
          <w:lang w:val="en-US"/>
        </w:rPr>
        <w:t>variables</w:t>
      </w:r>
      <w:r w:rsidR="008E3F0E" w:rsidRPr="007B140B">
        <w:rPr>
          <w:rFonts w:ascii="Times New Roman" w:hAnsi="Times New Roman" w:cs="Times New Roman"/>
          <w:sz w:val="24"/>
          <w:szCs w:val="24"/>
          <w:lang w:val="en-US"/>
        </w:rPr>
        <w:t xml:space="preserve"> will be excluded.</w:t>
      </w:r>
    </w:p>
    <w:p w14:paraId="6D56922E" w14:textId="3E05C1D2" w:rsidR="00BD4867" w:rsidRPr="007B140B" w:rsidRDefault="00661FF1" w:rsidP="00BF6B5C">
      <w:pPr>
        <w:autoSpaceDE w:val="0"/>
        <w:autoSpaceDN w:val="0"/>
        <w:adjustRightInd w:val="0"/>
        <w:rPr>
          <w:rFonts w:ascii="Times New Roman" w:hAnsi="Times New Roman" w:cs="Times New Roman"/>
          <w:sz w:val="24"/>
          <w:szCs w:val="24"/>
          <w:lang w:val="en-US"/>
        </w:rPr>
      </w:pPr>
      <w:r w:rsidRPr="007B140B">
        <w:rPr>
          <w:rFonts w:ascii="Times New Roman" w:hAnsi="Times New Roman" w:cs="Times New Roman"/>
          <w:sz w:val="24"/>
          <w:szCs w:val="24"/>
          <w:lang w:val="en-US"/>
        </w:rPr>
        <w:t>The h</w:t>
      </w:r>
      <w:r w:rsidR="00F82702" w:rsidRPr="007B140B">
        <w:rPr>
          <w:rFonts w:ascii="Times New Roman" w:hAnsi="Times New Roman" w:cs="Times New Roman"/>
          <w:sz w:val="24"/>
          <w:szCs w:val="24"/>
          <w:lang w:val="en-US"/>
        </w:rPr>
        <w:t>ypothesis t</w:t>
      </w:r>
      <w:r w:rsidR="00BD4867" w:rsidRPr="007B140B">
        <w:rPr>
          <w:rFonts w:ascii="Times New Roman" w:hAnsi="Times New Roman" w:cs="Times New Roman"/>
          <w:sz w:val="24"/>
          <w:szCs w:val="24"/>
          <w:lang w:val="en-US"/>
        </w:rPr>
        <w:t>ests of efficacy will not be adjusted fo</w:t>
      </w:r>
      <w:r w:rsidRPr="007B140B">
        <w:rPr>
          <w:rFonts w:ascii="Times New Roman" w:hAnsi="Times New Roman" w:cs="Times New Roman"/>
          <w:sz w:val="24"/>
          <w:szCs w:val="24"/>
          <w:lang w:val="en-US"/>
        </w:rPr>
        <w:t>r multiple testing</w:t>
      </w:r>
      <w:r w:rsidR="006404E7">
        <w:rPr>
          <w:rFonts w:ascii="Times New Roman" w:hAnsi="Times New Roman" w:cs="Times New Roman"/>
          <w:sz w:val="24"/>
          <w:szCs w:val="24"/>
          <w:lang w:val="en-US"/>
        </w:rPr>
        <w:t>,</w:t>
      </w:r>
      <w:r w:rsidRPr="007B140B">
        <w:rPr>
          <w:rFonts w:ascii="Times New Roman" w:hAnsi="Times New Roman" w:cs="Times New Roman"/>
          <w:sz w:val="24"/>
          <w:szCs w:val="24"/>
          <w:lang w:val="en-US"/>
        </w:rPr>
        <w:t xml:space="preserve"> to avoid </w:t>
      </w:r>
      <w:r w:rsidR="00705188" w:rsidRPr="007B140B">
        <w:rPr>
          <w:rFonts w:ascii="Times New Roman" w:hAnsi="Times New Roman" w:cs="Times New Roman"/>
          <w:sz w:val="24"/>
          <w:szCs w:val="24"/>
          <w:lang w:val="en-US"/>
        </w:rPr>
        <w:t xml:space="preserve">a </w:t>
      </w:r>
      <w:r w:rsidRPr="007B140B">
        <w:rPr>
          <w:rFonts w:ascii="Times New Roman" w:hAnsi="Times New Roman" w:cs="Times New Roman"/>
          <w:sz w:val="24"/>
          <w:szCs w:val="24"/>
          <w:lang w:val="en-US"/>
        </w:rPr>
        <w:t>large reduction in t</w:t>
      </w:r>
      <w:r w:rsidR="00BD4867" w:rsidRPr="007B140B">
        <w:rPr>
          <w:rFonts w:ascii="Times New Roman" w:hAnsi="Times New Roman" w:cs="Times New Roman"/>
          <w:sz w:val="24"/>
          <w:szCs w:val="24"/>
          <w:lang w:val="en-US"/>
        </w:rPr>
        <w:t xml:space="preserve">he power of the </w:t>
      </w:r>
      <w:r w:rsidR="00DA2783" w:rsidRPr="007B140B">
        <w:rPr>
          <w:rFonts w:ascii="Times New Roman" w:hAnsi="Times New Roman" w:cs="Times New Roman"/>
          <w:sz w:val="24"/>
          <w:szCs w:val="24"/>
          <w:lang w:val="en-US"/>
        </w:rPr>
        <w:t>trial</w:t>
      </w:r>
      <w:r w:rsidR="00BD4867" w:rsidRPr="007B140B">
        <w:rPr>
          <w:rFonts w:ascii="Times New Roman" w:hAnsi="Times New Roman" w:cs="Times New Roman"/>
          <w:sz w:val="24"/>
          <w:szCs w:val="24"/>
          <w:lang w:val="en-US"/>
        </w:rPr>
        <w:t>.</w:t>
      </w:r>
    </w:p>
    <w:p w14:paraId="691A6154" w14:textId="44F2DD60" w:rsidR="001A214E" w:rsidRPr="007B140B" w:rsidRDefault="001A214E" w:rsidP="00B5761E">
      <w:pPr>
        <w:rPr>
          <w:rFonts w:ascii="Times New Roman" w:hAnsi="Times New Roman" w:cs="Times New Roman"/>
          <w:sz w:val="24"/>
          <w:szCs w:val="24"/>
          <w:lang w:val="en-US"/>
        </w:rPr>
      </w:pPr>
    </w:p>
    <w:p w14:paraId="4C838D53" w14:textId="1486FA74" w:rsidR="00E66F21" w:rsidRPr="007B140B" w:rsidRDefault="00E66F21" w:rsidP="00D36611">
      <w:pPr>
        <w:pStyle w:val="Formatmall3"/>
        <w:rPr>
          <w:rFonts w:cs="Times New Roman"/>
          <w:shd w:val="clear" w:color="auto" w:fill="FFFFFF"/>
          <w:lang w:val="en-US"/>
        </w:rPr>
      </w:pPr>
      <w:bookmarkStart w:id="94" w:name="_Toc99001433"/>
      <w:r w:rsidRPr="007B140B">
        <w:rPr>
          <w:rFonts w:cs="Times New Roman"/>
          <w:shd w:val="clear" w:color="auto" w:fill="FFFFFF"/>
          <w:lang w:val="en-US"/>
        </w:rPr>
        <w:t>Safety analysis</w:t>
      </w:r>
      <w:bookmarkEnd w:id="94"/>
    </w:p>
    <w:p w14:paraId="6B8617AB" w14:textId="146EC020" w:rsidR="00D105EF" w:rsidRPr="007B140B" w:rsidRDefault="00CF62B6" w:rsidP="00D105EF">
      <w:pPr>
        <w:rPr>
          <w:rFonts w:ascii="Times New Roman" w:hAnsi="Times New Roman" w:cs="Times New Roman"/>
          <w:color w:val="333333"/>
          <w:sz w:val="24"/>
          <w:szCs w:val="24"/>
          <w:shd w:val="clear" w:color="auto" w:fill="FFFFFF"/>
          <w:lang w:val="en-US"/>
        </w:rPr>
      </w:pPr>
      <w:r w:rsidRPr="007B140B">
        <w:rPr>
          <w:rFonts w:ascii="Times New Roman" w:hAnsi="Times New Roman" w:cs="Times New Roman"/>
          <w:color w:val="333333"/>
          <w:sz w:val="24"/>
          <w:szCs w:val="24"/>
          <w:shd w:val="clear" w:color="auto" w:fill="FFFFFF"/>
          <w:lang w:val="en-US"/>
        </w:rPr>
        <w:t>All participants who receive at least</w:t>
      </w:r>
      <w:r w:rsidR="009B2E63" w:rsidRPr="007B140B">
        <w:rPr>
          <w:rFonts w:ascii="Times New Roman" w:hAnsi="Times New Roman" w:cs="Times New Roman"/>
          <w:color w:val="333333"/>
          <w:sz w:val="24"/>
          <w:szCs w:val="24"/>
          <w:shd w:val="clear" w:color="auto" w:fill="FFFFFF"/>
          <w:lang w:val="en-US"/>
        </w:rPr>
        <w:t xml:space="preserve"> one infusion</w:t>
      </w:r>
      <w:r w:rsidR="00860F11">
        <w:rPr>
          <w:rFonts w:ascii="Times New Roman" w:hAnsi="Times New Roman" w:cs="Times New Roman"/>
          <w:color w:val="333333"/>
          <w:sz w:val="24"/>
          <w:szCs w:val="24"/>
          <w:shd w:val="clear" w:color="auto" w:fill="FFFFFF"/>
          <w:lang w:val="en-US"/>
        </w:rPr>
        <w:t xml:space="preserve"> (i.e., the safety population)</w:t>
      </w:r>
      <w:r w:rsidRPr="007B140B">
        <w:rPr>
          <w:rFonts w:ascii="Times New Roman" w:hAnsi="Times New Roman" w:cs="Times New Roman"/>
          <w:color w:val="333333"/>
          <w:sz w:val="24"/>
          <w:szCs w:val="24"/>
          <w:shd w:val="clear" w:color="auto" w:fill="FFFFFF"/>
          <w:lang w:val="en-US"/>
        </w:rPr>
        <w:t xml:space="preserve"> will be included in </w:t>
      </w:r>
      <w:r w:rsidR="00091FDA" w:rsidRPr="007B140B">
        <w:rPr>
          <w:rFonts w:ascii="Times New Roman" w:hAnsi="Times New Roman" w:cs="Times New Roman"/>
          <w:color w:val="333333"/>
          <w:sz w:val="24"/>
          <w:szCs w:val="24"/>
          <w:shd w:val="clear" w:color="auto" w:fill="FFFFFF"/>
          <w:lang w:val="en-US"/>
        </w:rPr>
        <w:t>a</w:t>
      </w:r>
      <w:r w:rsidRPr="007B140B">
        <w:rPr>
          <w:rFonts w:ascii="Times New Roman" w:hAnsi="Times New Roman" w:cs="Times New Roman"/>
          <w:color w:val="333333"/>
          <w:sz w:val="24"/>
          <w:szCs w:val="24"/>
          <w:shd w:val="clear" w:color="auto" w:fill="FFFFFF"/>
          <w:lang w:val="en-US"/>
        </w:rPr>
        <w:t xml:space="preserve"> safety analysis. </w:t>
      </w:r>
      <w:r w:rsidR="000515A8" w:rsidRPr="007B140B">
        <w:rPr>
          <w:rFonts w:ascii="Times New Roman" w:hAnsi="Times New Roman" w:cs="Times New Roman"/>
          <w:color w:val="333333"/>
          <w:sz w:val="24"/>
          <w:szCs w:val="24"/>
          <w:shd w:val="clear" w:color="auto" w:fill="FFFFFF"/>
          <w:lang w:val="en-US"/>
        </w:rPr>
        <w:t>The occurrence of a</w:t>
      </w:r>
      <w:r w:rsidR="00953B05" w:rsidRPr="007B140B">
        <w:rPr>
          <w:rFonts w:ascii="Times New Roman" w:hAnsi="Times New Roman" w:cs="Times New Roman"/>
          <w:color w:val="333333"/>
          <w:sz w:val="24"/>
          <w:szCs w:val="24"/>
          <w:shd w:val="clear" w:color="auto" w:fill="FFFFFF"/>
          <w:lang w:val="en-US"/>
        </w:rPr>
        <w:t>dverse events</w:t>
      </w:r>
      <w:r w:rsidRPr="007B140B">
        <w:rPr>
          <w:rFonts w:ascii="Times New Roman" w:hAnsi="Times New Roman" w:cs="Times New Roman"/>
          <w:color w:val="333333"/>
          <w:sz w:val="24"/>
          <w:szCs w:val="24"/>
          <w:shd w:val="clear" w:color="auto" w:fill="FFFFFF"/>
          <w:lang w:val="en-US"/>
        </w:rPr>
        <w:t xml:space="preserve"> </w:t>
      </w:r>
      <w:r w:rsidR="00155BD4" w:rsidRPr="007B140B">
        <w:rPr>
          <w:rFonts w:ascii="Times New Roman" w:hAnsi="Times New Roman" w:cs="Times New Roman"/>
          <w:color w:val="333333"/>
          <w:sz w:val="24"/>
          <w:szCs w:val="24"/>
          <w:shd w:val="clear" w:color="auto" w:fill="FFFFFF"/>
          <w:lang w:val="en-US"/>
        </w:rPr>
        <w:t>by</w:t>
      </w:r>
      <w:r w:rsidRPr="007B140B">
        <w:rPr>
          <w:rFonts w:ascii="Times New Roman" w:hAnsi="Times New Roman" w:cs="Times New Roman"/>
          <w:color w:val="333333"/>
          <w:sz w:val="24"/>
          <w:szCs w:val="24"/>
          <w:shd w:val="clear" w:color="auto" w:fill="FFFFFF"/>
          <w:lang w:val="en-US"/>
        </w:rPr>
        <w:t xml:space="preserve"> </w:t>
      </w:r>
      <w:r w:rsidR="000515A8" w:rsidRPr="007B140B">
        <w:rPr>
          <w:rFonts w:ascii="Times New Roman" w:hAnsi="Times New Roman" w:cs="Times New Roman"/>
          <w:color w:val="333333"/>
          <w:sz w:val="24"/>
          <w:szCs w:val="24"/>
          <w:shd w:val="clear" w:color="auto" w:fill="FFFFFF"/>
          <w:lang w:val="en-US"/>
        </w:rPr>
        <w:t>the end</w:t>
      </w:r>
      <w:r w:rsidR="007761EE">
        <w:rPr>
          <w:rFonts w:ascii="Times New Roman" w:hAnsi="Times New Roman" w:cs="Times New Roman"/>
          <w:color w:val="333333"/>
          <w:sz w:val="24"/>
          <w:szCs w:val="24"/>
          <w:shd w:val="clear" w:color="auto" w:fill="FFFFFF"/>
          <w:lang w:val="en-US"/>
        </w:rPr>
        <w:t xml:space="preserve"> of</w:t>
      </w:r>
      <w:r w:rsidR="000515A8" w:rsidRPr="007B140B">
        <w:rPr>
          <w:rFonts w:ascii="Times New Roman" w:hAnsi="Times New Roman" w:cs="Times New Roman"/>
          <w:color w:val="333333"/>
          <w:sz w:val="24"/>
          <w:szCs w:val="24"/>
          <w:shd w:val="clear" w:color="auto" w:fill="FFFFFF"/>
          <w:lang w:val="en-US"/>
        </w:rPr>
        <w:t xml:space="preserve"> follow-up </w:t>
      </w:r>
      <w:r w:rsidR="00953B05" w:rsidRPr="007B140B">
        <w:rPr>
          <w:rFonts w:ascii="Times New Roman" w:hAnsi="Times New Roman" w:cs="Times New Roman"/>
          <w:color w:val="333333"/>
          <w:sz w:val="24"/>
          <w:szCs w:val="24"/>
          <w:shd w:val="clear" w:color="auto" w:fill="FFFFFF"/>
          <w:lang w:val="en-US"/>
        </w:rPr>
        <w:t>will be analyze</w:t>
      </w:r>
      <w:r w:rsidR="008F08F6" w:rsidRPr="007B140B">
        <w:rPr>
          <w:rFonts w:ascii="Times New Roman" w:hAnsi="Times New Roman" w:cs="Times New Roman"/>
          <w:color w:val="333333"/>
          <w:sz w:val="24"/>
          <w:szCs w:val="24"/>
          <w:shd w:val="clear" w:color="auto" w:fill="FFFFFF"/>
          <w:lang w:val="en-US"/>
        </w:rPr>
        <w:t>d</w:t>
      </w:r>
      <w:r w:rsidR="00953B05" w:rsidRPr="007B140B">
        <w:rPr>
          <w:rFonts w:ascii="Times New Roman" w:hAnsi="Times New Roman" w:cs="Times New Roman"/>
          <w:color w:val="333333"/>
          <w:sz w:val="24"/>
          <w:szCs w:val="24"/>
          <w:shd w:val="clear" w:color="auto" w:fill="FFFFFF"/>
          <w:lang w:val="en-US"/>
        </w:rPr>
        <w:t xml:space="preserve"> </w:t>
      </w:r>
      <w:r w:rsidR="00E72E25" w:rsidRPr="007B140B">
        <w:rPr>
          <w:rFonts w:ascii="Times New Roman" w:hAnsi="Times New Roman" w:cs="Times New Roman"/>
          <w:color w:val="333333"/>
          <w:sz w:val="24"/>
          <w:szCs w:val="24"/>
          <w:shd w:val="clear" w:color="auto" w:fill="FFFFFF"/>
          <w:lang w:val="en-US"/>
        </w:rPr>
        <w:t>as</w:t>
      </w:r>
      <w:r w:rsidR="00953B05" w:rsidRPr="007B140B">
        <w:rPr>
          <w:rFonts w:ascii="Times New Roman" w:hAnsi="Times New Roman" w:cs="Times New Roman"/>
          <w:color w:val="333333"/>
          <w:sz w:val="24"/>
          <w:szCs w:val="24"/>
          <w:shd w:val="clear" w:color="auto" w:fill="FFFFFF"/>
          <w:lang w:val="en-US"/>
        </w:rPr>
        <w:t xml:space="preserve"> </w:t>
      </w:r>
      <w:r w:rsidR="00156E0D" w:rsidRPr="007B140B">
        <w:rPr>
          <w:rFonts w:ascii="Times New Roman" w:hAnsi="Times New Roman" w:cs="Times New Roman"/>
          <w:color w:val="333333"/>
          <w:sz w:val="24"/>
          <w:szCs w:val="24"/>
          <w:shd w:val="clear" w:color="auto" w:fill="FFFFFF"/>
          <w:lang w:val="en-US"/>
        </w:rPr>
        <w:t xml:space="preserve">the </w:t>
      </w:r>
      <w:r w:rsidR="004D776D" w:rsidRPr="007B140B">
        <w:rPr>
          <w:rFonts w:ascii="Times New Roman" w:hAnsi="Times New Roman" w:cs="Times New Roman"/>
          <w:color w:val="333333"/>
          <w:sz w:val="24"/>
          <w:szCs w:val="24"/>
          <w:shd w:val="clear" w:color="auto" w:fill="FFFFFF"/>
          <w:lang w:val="en-US"/>
        </w:rPr>
        <w:t xml:space="preserve">number of events and </w:t>
      </w:r>
      <w:r w:rsidR="00156E0D" w:rsidRPr="007B140B">
        <w:rPr>
          <w:rFonts w:ascii="Times New Roman" w:hAnsi="Times New Roman" w:cs="Times New Roman"/>
          <w:color w:val="333333"/>
          <w:sz w:val="24"/>
          <w:szCs w:val="24"/>
          <w:shd w:val="clear" w:color="auto" w:fill="FFFFFF"/>
          <w:lang w:val="en-US"/>
        </w:rPr>
        <w:t xml:space="preserve">the </w:t>
      </w:r>
      <w:r w:rsidR="00953B05" w:rsidRPr="007B140B">
        <w:rPr>
          <w:rFonts w:ascii="Times New Roman" w:hAnsi="Times New Roman" w:cs="Times New Roman"/>
          <w:color w:val="333333"/>
          <w:sz w:val="24"/>
          <w:szCs w:val="24"/>
          <w:shd w:val="clear" w:color="auto" w:fill="FFFFFF"/>
          <w:lang w:val="en-US"/>
        </w:rPr>
        <w:t xml:space="preserve">number and percent of participants </w:t>
      </w:r>
      <w:r w:rsidR="00A444E0" w:rsidRPr="007B140B">
        <w:rPr>
          <w:rFonts w:ascii="Times New Roman" w:hAnsi="Times New Roman" w:cs="Times New Roman"/>
          <w:color w:val="333333"/>
          <w:sz w:val="24"/>
          <w:szCs w:val="24"/>
          <w:shd w:val="clear" w:color="auto" w:fill="FFFFFF"/>
          <w:lang w:val="en-US"/>
        </w:rPr>
        <w:t>reporting</w:t>
      </w:r>
      <w:r w:rsidR="00953B05" w:rsidRPr="007B140B">
        <w:rPr>
          <w:rFonts w:ascii="Times New Roman" w:hAnsi="Times New Roman" w:cs="Times New Roman"/>
          <w:color w:val="333333"/>
          <w:sz w:val="24"/>
          <w:szCs w:val="24"/>
          <w:shd w:val="clear" w:color="auto" w:fill="FFFFFF"/>
          <w:lang w:val="en-US"/>
        </w:rPr>
        <w:t xml:space="preserve"> </w:t>
      </w:r>
      <w:r w:rsidR="00E72E25" w:rsidRPr="007B140B">
        <w:rPr>
          <w:rFonts w:ascii="Times New Roman" w:hAnsi="Times New Roman" w:cs="Times New Roman"/>
          <w:color w:val="333333"/>
          <w:sz w:val="24"/>
          <w:szCs w:val="24"/>
          <w:shd w:val="clear" w:color="auto" w:fill="FFFFFF"/>
          <w:lang w:val="en-US"/>
        </w:rPr>
        <w:t>at least one event</w:t>
      </w:r>
      <w:r w:rsidR="00156E0D" w:rsidRPr="007B140B">
        <w:rPr>
          <w:rFonts w:ascii="Times New Roman" w:hAnsi="Times New Roman" w:cs="Times New Roman"/>
          <w:color w:val="333333"/>
          <w:sz w:val="24"/>
          <w:szCs w:val="24"/>
          <w:shd w:val="clear" w:color="auto" w:fill="FFFFFF"/>
          <w:lang w:val="en-US"/>
        </w:rPr>
        <w:t>. These data will be presented by study group,</w:t>
      </w:r>
      <w:r w:rsidR="00986AB8" w:rsidRPr="007B140B">
        <w:rPr>
          <w:rFonts w:ascii="Times New Roman" w:hAnsi="Times New Roman" w:cs="Times New Roman"/>
          <w:color w:val="333333"/>
          <w:sz w:val="24"/>
          <w:szCs w:val="24"/>
          <w:shd w:val="clear" w:color="auto" w:fill="FFFFFF"/>
          <w:lang w:val="en-US"/>
        </w:rPr>
        <w:t xml:space="preserve"> </w:t>
      </w:r>
      <w:r w:rsidR="008F08F6" w:rsidRPr="007B140B">
        <w:rPr>
          <w:rFonts w:ascii="Times New Roman" w:hAnsi="Times New Roman" w:cs="Times New Roman"/>
          <w:color w:val="333333"/>
          <w:sz w:val="24"/>
          <w:szCs w:val="24"/>
          <w:shd w:val="clear" w:color="auto" w:fill="FFFFFF"/>
          <w:lang w:val="en-US"/>
        </w:rPr>
        <w:t>seriousness</w:t>
      </w:r>
      <w:r w:rsidR="000B45A1" w:rsidRPr="007B140B">
        <w:rPr>
          <w:rFonts w:ascii="Times New Roman" w:hAnsi="Times New Roman" w:cs="Times New Roman"/>
          <w:color w:val="333333"/>
          <w:sz w:val="24"/>
          <w:szCs w:val="24"/>
          <w:shd w:val="clear" w:color="auto" w:fill="FFFFFF"/>
          <w:lang w:val="en-US"/>
        </w:rPr>
        <w:t>,</w:t>
      </w:r>
      <w:r w:rsidR="008F08F6" w:rsidRPr="007B140B">
        <w:rPr>
          <w:rFonts w:ascii="Times New Roman" w:hAnsi="Times New Roman" w:cs="Times New Roman"/>
          <w:color w:val="333333"/>
          <w:sz w:val="24"/>
          <w:szCs w:val="24"/>
          <w:shd w:val="clear" w:color="auto" w:fill="FFFFFF"/>
          <w:lang w:val="en-US"/>
        </w:rPr>
        <w:t xml:space="preserve"> and</w:t>
      </w:r>
      <w:r w:rsidR="000B45A1" w:rsidRPr="007B140B">
        <w:rPr>
          <w:rFonts w:ascii="Times New Roman" w:hAnsi="Times New Roman" w:cs="Times New Roman"/>
          <w:color w:val="333333"/>
          <w:sz w:val="24"/>
          <w:szCs w:val="24"/>
          <w:shd w:val="clear" w:color="auto" w:fill="FFFFFF"/>
          <w:lang w:val="en-US"/>
        </w:rPr>
        <w:t xml:space="preserve"> </w:t>
      </w:r>
      <w:r w:rsidR="00D105EF" w:rsidRPr="007B140B">
        <w:rPr>
          <w:rFonts w:ascii="Times New Roman" w:hAnsi="Times New Roman" w:cs="Times New Roman"/>
          <w:color w:val="333333"/>
          <w:sz w:val="24"/>
          <w:szCs w:val="24"/>
          <w:shd w:val="clear" w:color="auto" w:fill="FFFFFF"/>
          <w:lang w:val="en-US"/>
        </w:rPr>
        <w:t>causality (suspected/not suspected relation to study medication)</w:t>
      </w:r>
      <w:r w:rsidR="00953B05" w:rsidRPr="007B140B">
        <w:rPr>
          <w:rFonts w:ascii="Times New Roman" w:hAnsi="Times New Roman" w:cs="Times New Roman"/>
          <w:color w:val="333333"/>
          <w:sz w:val="24"/>
          <w:szCs w:val="24"/>
          <w:shd w:val="clear" w:color="auto" w:fill="FFFFFF"/>
          <w:lang w:val="en-US"/>
        </w:rPr>
        <w:t>.</w:t>
      </w:r>
      <w:r w:rsidR="00986AB8" w:rsidRPr="007B140B">
        <w:rPr>
          <w:rFonts w:ascii="Times New Roman" w:hAnsi="Times New Roman" w:cs="Times New Roman"/>
          <w:color w:val="333333"/>
          <w:sz w:val="24"/>
          <w:szCs w:val="24"/>
          <w:shd w:val="clear" w:color="auto" w:fill="FFFFFF"/>
          <w:lang w:val="en-US"/>
        </w:rPr>
        <w:t xml:space="preserve"> </w:t>
      </w:r>
      <w:r w:rsidR="00DF37B7" w:rsidRPr="007B140B">
        <w:rPr>
          <w:rFonts w:ascii="Times New Roman" w:hAnsi="Times New Roman" w:cs="Times New Roman"/>
          <w:color w:val="333333"/>
          <w:sz w:val="24"/>
          <w:szCs w:val="24"/>
          <w:shd w:val="clear" w:color="auto" w:fill="FFFFFF"/>
          <w:lang w:val="en-US"/>
        </w:rPr>
        <w:t>The study groups will be compared using Fisher’s exact test. For post-infusion symptoms</w:t>
      </w:r>
      <w:r w:rsidR="00646002">
        <w:rPr>
          <w:rFonts w:ascii="Times New Roman" w:hAnsi="Times New Roman" w:cs="Times New Roman"/>
          <w:color w:val="333333"/>
          <w:sz w:val="24"/>
          <w:szCs w:val="24"/>
          <w:shd w:val="clear" w:color="auto" w:fill="FFFFFF"/>
          <w:lang w:val="en-US"/>
        </w:rPr>
        <w:t xml:space="preserve"> occurring ≤3 days after infusion</w:t>
      </w:r>
      <w:r w:rsidR="00DF37B7" w:rsidRPr="007B140B">
        <w:rPr>
          <w:rFonts w:ascii="Times New Roman" w:hAnsi="Times New Roman" w:cs="Times New Roman"/>
          <w:color w:val="333333"/>
          <w:sz w:val="24"/>
          <w:szCs w:val="24"/>
          <w:shd w:val="clear" w:color="auto" w:fill="FFFFFF"/>
          <w:lang w:val="en-US"/>
        </w:rPr>
        <w:t>, data will be presented</w:t>
      </w:r>
      <w:r w:rsidR="00B0532F" w:rsidRPr="007B140B">
        <w:rPr>
          <w:rFonts w:ascii="Times New Roman" w:hAnsi="Times New Roman" w:cs="Times New Roman"/>
          <w:color w:val="333333"/>
          <w:sz w:val="24"/>
          <w:szCs w:val="24"/>
          <w:shd w:val="clear" w:color="auto" w:fill="FFFFFF"/>
          <w:lang w:val="en-US"/>
        </w:rPr>
        <w:t xml:space="preserve"> </w:t>
      </w:r>
      <w:r w:rsidR="00646002">
        <w:rPr>
          <w:rFonts w:ascii="Times New Roman" w:hAnsi="Times New Roman" w:cs="Times New Roman"/>
          <w:color w:val="333333"/>
          <w:sz w:val="24"/>
          <w:szCs w:val="24"/>
          <w:shd w:val="clear" w:color="auto" w:fill="FFFFFF"/>
          <w:lang w:val="en-US"/>
        </w:rPr>
        <w:t xml:space="preserve">for both infusions </w:t>
      </w:r>
      <w:r w:rsidR="00B0532F" w:rsidRPr="007B140B">
        <w:rPr>
          <w:rFonts w:ascii="Times New Roman" w:hAnsi="Times New Roman" w:cs="Times New Roman"/>
          <w:color w:val="333333"/>
          <w:sz w:val="24"/>
          <w:szCs w:val="24"/>
          <w:shd w:val="clear" w:color="auto" w:fill="FFFFFF"/>
          <w:lang w:val="en-US"/>
        </w:rPr>
        <w:t>in total and</w:t>
      </w:r>
      <w:r w:rsidR="00DF37B7" w:rsidRPr="007B140B">
        <w:rPr>
          <w:rFonts w:ascii="Times New Roman" w:hAnsi="Times New Roman" w:cs="Times New Roman"/>
          <w:color w:val="333333"/>
          <w:sz w:val="24"/>
          <w:szCs w:val="24"/>
          <w:shd w:val="clear" w:color="auto" w:fill="FFFFFF"/>
          <w:lang w:val="en-US"/>
        </w:rPr>
        <w:t xml:space="preserve"> for </w:t>
      </w:r>
      <w:r w:rsidR="00B0532F" w:rsidRPr="007B140B">
        <w:rPr>
          <w:rFonts w:ascii="Times New Roman" w:hAnsi="Times New Roman" w:cs="Times New Roman"/>
          <w:color w:val="333333"/>
          <w:sz w:val="24"/>
          <w:szCs w:val="24"/>
          <w:shd w:val="clear" w:color="auto" w:fill="FFFFFF"/>
          <w:lang w:val="en-US"/>
        </w:rPr>
        <w:t>events reported</w:t>
      </w:r>
      <w:r w:rsidR="00F047E7">
        <w:rPr>
          <w:rFonts w:ascii="Times New Roman" w:hAnsi="Times New Roman" w:cs="Times New Roman"/>
          <w:color w:val="333333"/>
          <w:sz w:val="24"/>
          <w:szCs w:val="24"/>
          <w:shd w:val="clear" w:color="auto" w:fill="FFFFFF"/>
          <w:lang w:val="en-US"/>
        </w:rPr>
        <w:t xml:space="preserve"> to have occurred</w:t>
      </w:r>
      <w:r w:rsidR="00B0532F" w:rsidRPr="007B140B">
        <w:rPr>
          <w:rFonts w:ascii="Times New Roman" w:hAnsi="Times New Roman" w:cs="Times New Roman"/>
          <w:color w:val="333333"/>
          <w:sz w:val="24"/>
          <w:szCs w:val="24"/>
          <w:shd w:val="clear" w:color="auto" w:fill="FFFFFF"/>
          <w:lang w:val="en-US"/>
        </w:rPr>
        <w:t xml:space="preserve"> </w:t>
      </w:r>
      <w:r w:rsidR="00F047E7">
        <w:rPr>
          <w:rFonts w:ascii="Times New Roman" w:hAnsi="Times New Roman" w:cs="Times New Roman"/>
          <w:color w:val="333333"/>
          <w:sz w:val="24"/>
          <w:szCs w:val="24"/>
          <w:shd w:val="clear" w:color="auto" w:fill="FFFFFF"/>
          <w:lang w:val="en-US"/>
        </w:rPr>
        <w:t xml:space="preserve">≤3 days </w:t>
      </w:r>
      <w:r w:rsidR="00B0532F" w:rsidRPr="007B140B">
        <w:rPr>
          <w:rFonts w:ascii="Times New Roman" w:hAnsi="Times New Roman" w:cs="Times New Roman"/>
          <w:color w:val="333333"/>
          <w:sz w:val="24"/>
          <w:szCs w:val="24"/>
          <w:shd w:val="clear" w:color="auto" w:fill="FFFFFF"/>
          <w:lang w:val="en-US"/>
        </w:rPr>
        <w:t xml:space="preserve">after </w:t>
      </w:r>
      <w:r w:rsidR="00DF37B7" w:rsidRPr="007B140B">
        <w:rPr>
          <w:rFonts w:ascii="Times New Roman" w:hAnsi="Times New Roman" w:cs="Times New Roman"/>
          <w:color w:val="333333"/>
          <w:sz w:val="24"/>
          <w:szCs w:val="24"/>
          <w:shd w:val="clear" w:color="auto" w:fill="FFFFFF"/>
          <w:lang w:val="en-US"/>
        </w:rPr>
        <w:t xml:space="preserve">each infusion. </w:t>
      </w:r>
      <w:r w:rsidR="00617967" w:rsidRPr="007B140B">
        <w:rPr>
          <w:rFonts w:ascii="Times New Roman" w:hAnsi="Times New Roman" w:cs="Times New Roman"/>
          <w:color w:val="333333"/>
          <w:sz w:val="24"/>
          <w:szCs w:val="24"/>
          <w:shd w:val="clear" w:color="auto" w:fill="FFFFFF"/>
          <w:lang w:val="en-US"/>
        </w:rPr>
        <w:t xml:space="preserve">In addition to </w:t>
      </w:r>
      <w:r w:rsidR="00ED2F4F" w:rsidRPr="007B140B">
        <w:rPr>
          <w:rFonts w:ascii="Times New Roman" w:hAnsi="Times New Roman" w:cs="Times New Roman"/>
          <w:color w:val="333333"/>
          <w:sz w:val="24"/>
          <w:szCs w:val="24"/>
          <w:shd w:val="clear" w:color="auto" w:fill="FFFFFF"/>
          <w:lang w:val="en-US"/>
        </w:rPr>
        <w:t>specific</w:t>
      </w:r>
      <w:r w:rsidR="00287CA4" w:rsidRPr="007B140B">
        <w:rPr>
          <w:rFonts w:ascii="Times New Roman" w:hAnsi="Times New Roman" w:cs="Times New Roman"/>
          <w:color w:val="333333"/>
          <w:sz w:val="24"/>
          <w:szCs w:val="24"/>
          <w:shd w:val="clear" w:color="auto" w:fill="FFFFFF"/>
          <w:lang w:val="en-US"/>
        </w:rPr>
        <w:t xml:space="preserve"> adverse events, the composite </w:t>
      </w:r>
      <w:r w:rsidR="007031F6" w:rsidRPr="007B140B">
        <w:rPr>
          <w:rFonts w:ascii="Times New Roman" w:hAnsi="Times New Roman" w:cs="Times New Roman"/>
          <w:color w:val="333333"/>
          <w:sz w:val="24"/>
          <w:szCs w:val="24"/>
          <w:shd w:val="clear" w:color="auto" w:fill="FFFFFF"/>
          <w:lang w:val="en-US"/>
        </w:rPr>
        <w:t>safety outcomes</w:t>
      </w:r>
      <w:r w:rsidR="00EA4854" w:rsidRPr="007B140B">
        <w:rPr>
          <w:rFonts w:ascii="Times New Roman" w:hAnsi="Times New Roman" w:cs="Times New Roman"/>
          <w:color w:val="333333"/>
          <w:sz w:val="24"/>
          <w:szCs w:val="24"/>
          <w:shd w:val="clear" w:color="auto" w:fill="FFFFFF"/>
          <w:lang w:val="en-US"/>
        </w:rPr>
        <w:t xml:space="preserve"> of any adverse event, </w:t>
      </w:r>
      <w:r w:rsidR="00287CA4" w:rsidRPr="007B140B">
        <w:rPr>
          <w:rFonts w:ascii="Times New Roman" w:hAnsi="Times New Roman" w:cs="Times New Roman"/>
          <w:color w:val="333333"/>
          <w:sz w:val="24"/>
          <w:szCs w:val="24"/>
          <w:shd w:val="clear" w:color="auto" w:fill="FFFFFF"/>
          <w:lang w:val="en-US"/>
        </w:rPr>
        <w:t>any serious adverse event</w:t>
      </w:r>
      <w:r w:rsidR="00EA4854" w:rsidRPr="007B140B">
        <w:rPr>
          <w:rFonts w:ascii="Times New Roman" w:hAnsi="Times New Roman" w:cs="Times New Roman"/>
          <w:color w:val="333333"/>
          <w:sz w:val="24"/>
          <w:szCs w:val="24"/>
          <w:shd w:val="clear" w:color="auto" w:fill="FFFFFF"/>
          <w:lang w:val="en-US"/>
        </w:rPr>
        <w:t xml:space="preserve">, </w:t>
      </w:r>
      <w:r w:rsidR="00D105EF" w:rsidRPr="007B140B">
        <w:rPr>
          <w:rFonts w:ascii="Times New Roman" w:hAnsi="Times New Roman" w:cs="Times New Roman"/>
          <w:color w:val="333333"/>
          <w:sz w:val="24"/>
          <w:szCs w:val="24"/>
          <w:shd w:val="clear" w:color="auto" w:fill="FFFFFF"/>
          <w:lang w:val="en-US"/>
        </w:rPr>
        <w:t xml:space="preserve">any serious adverse </w:t>
      </w:r>
      <w:r w:rsidR="00ED2F4F" w:rsidRPr="007B140B">
        <w:rPr>
          <w:rFonts w:ascii="Times New Roman" w:hAnsi="Times New Roman" w:cs="Times New Roman"/>
          <w:color w:val="333333"/>
          <w:sz w:val="24"/>
          <w:szCs w:val="24"/>
          <w:shd w:val="clear" w:color="auto" w:fill="FFFFFF"/>
          <w:lang w:val="en-US"/>
        </w:rPr>
        <w:t xml:space="preserve">drug </w:t>
      </w:r>
      <w:r w:rsidR="00D105EF" w:rsidRPr="007B140B">
        <w:rPr>
          <w:rFonts w:ascii="Times New Roman" w:hAnsi="Times New Roman" w:cs="Times New Roman"/>
          <w:color w:val="333333"/>
          <w:sz w:val="24"/>
          <w:szCs w:val="24"/>
          <w:shd w:val="clear" w:color="auto" w:fill="FFFFFF"/>
          <w:lang w:val="en-US"/>
        </w:rPr>
        <w:t xml:space="preserve">reaction, any unexpected adverse </w:t>
      </w:r>
      <w:r w:rsidR="00ED2F4F" w:rsidRPr="007B140B">
        <w:rPr>
          <w:rFonts w:ascii="Times New Roman" w:hAnsi="Times New Roman" w:cs="Times New Roman"/>
          <w:color w:val="333333"/>
          <w:sz w:val="24"/>
          <w:szCs w:val="24"/>
          <w:shd w:val="clear" w:color="auto" w:fill="FFFFFF"/>
          <w:lang w:val="en-US"/>
        </w:rPr>
        <w:t xml:space="preserve">drug </w:t>
      </w:r>
      <w:r w:rsidR="00D105EF" w:rsidRPr="007B140B">
        <w:rPr>
          <w:rFonts w:ascii="Times New Roman" w:hAnsi="Times New Roman" w:cs="Times New Roman"/>
          <w:color w:val="333333"/>
          <w:sz w:val="24"/>
          <w:szCs w:val="24"/>
          <w:shd w:val="clear" w:color="auto" w:fill="FFFFFF"/>
          <w:lang w:val="en-US"/>
        </w:rPr>
        <w:t xml:space="preserve">reaction, </w:t>
      </w:r>
      <w:r w:rsidR="00EA4854" w:rsidRPr="007B140B">
        <w:rPr>
          <w:rFonts w:ascii="Times New Roman" w:hAnsi="Times New Roman" w:cs="Times New Roman"/>
          <w:color w:val="333333"/>
          <w:sz w:val="24"/>
          <w:szCs w:val="24"/>
          <w:shd w:val="clear" w:color="auto" w:fill="FFFFFF"/>
          <w:lang w:val="en-US"/>
        </w:rPr>
        <w:t xml:space="preserve">and any </w:t>
      </w:r>
      <w:r w:rsidR="00EA4854" w:rsidRPr="007B140B">
        <w:rPr>
          <w:rFonts w:ascii="Times New Roman" w:hAnsi="Times New Roman" w:cs="Times New Roman"/>
          <w:sz w:val="24"/>
          <w:szCs w:val="24"/>
          <w:lang w:val="en-US"/>
        </w:rPr>
        <w:t xml:space="preserve">suspected unexpected serious adverse reaction </w:t>
      </w:r>
      <w:r w:rsidR="00EA4854" w:rsidRPr="007B140B">
        <w:rPr>
          <w:rFonts w:ascii="Times New Roman" w:hAnsi="Times New Roman" w:cs="Times New Roman"/>
          <w:color w:val="333333"/>
          <w:sz w:val="24"/>
          <w:szCs w:val="24"/>
          <w:shd w:val="clear" w:color="auto" w:fill="FFFFFF"/>
          <w:lang w:val="en-US"/>
        </w:rPr>
        <w:t xml:space="preserve">will be </w:t>
      </w:r>
      <w:r w:rsidR="00617967" w:rsidRPr="007B140B">
        <w:rPr>
          <w:rFonts w:ascii="Times New Roman" w:hAnsi="Times New Roman" w:cs="Times New Roman"/>
          <w:color w:val="333333"/>
          <w:sz w:val="24"/>
          <w:szCs w:val="24"/>
          <w:shd w:val="clear" w:color="auto" w:fill="FFFFFF"/>
          <w:lang w:val="en-US"/>
        </w:rPr>
        <w:t>reported</w:t>
      </w:r>
      <w:r w:rsidR="00287CA4" w:rsidRPr="007B140B">
        <w:rPr>
          <w:rFonts w:ascii="Times New Roman" w:hAnsi="Times New Roman" w:cs="Times New Roman"/>
          <w:color w:val="333333"/>
          <w:sz w:val="24"/>
          <w:szCs w:val="24"/>
          <w:shd w:val="clear" w:color="auto" w:fill="FFFFFF"/>
          <w:lang w:val="en-US"/>
        </w:rPr>
        <w:t xml:space="preserve">. </w:t>
      </w:r>
      <w:r w:rsidR="00275474" w:rsidRPr="007B140B">
        <w:rPr>
          <w:rFonts w:ascii="Times New Roman" w:hAnsi="Times New Roman" w:cs="Times New Roman"/>
          <w:sz w:val="24"/>
          <w:szCs w:val="24"/>
          <w:lang w:val="en-US"/>
        </w:rPr>
        <w:t xml:space="preserve">Laboratory values of </w:t>
      </w:r>
      <w:r w:rsidR="005B592B">
        <w:rPr>
          <w:rFonts w:ascii="Times New Roman" w:hAnsi="Times New Roman" w:cs="Times New Roman"/>
          <w:sz w:val="24"/>
          <w:szCs w:val="24"/>
          <w:lang w:val="en-US"/>
        </w:rPr>
        <w:t>plasma</w:t>
      </w:r>
      <w:r w:rsidR="00275474" w:rsidRPr="007B140B">
        <w:rPr>
          <w:rFonts w:ascii="Times New Roman" w:hAnsi="Times New Roman" w:cs="Times New Roman"/>
          <w:sz w:val="24"/>
          <w:szCs w:val="24"/>
          <w:lang w:val="en-US"/>
        </w:rPr>
        <w:t xml:space="preserve"> calcium</w:t>
      </w:r>
      <w:r w:rsidR="00477D72" w:rsidRPr="007B140B">
        <w:rPr>
          <w:rFonts w:ascii="Times New Roman" w:hAnsi="Times New Roman" w:cs="Times New Roman"/>
          <w:sz w:val="24"/>
          <w:szCs w:val="24"/>
          <w:lang w:val="en-US"/>
        </w:rPr>
        <w:t xml:space="preserve"> (low</w:t>
      </w:r>
      <w:r w:rsidR="00313643" w:rsidRPr="007B140B">
        <w:rPr>
          <w:rFonts w:ascii="Times New Roman" w:hAnsi="Times New Roman" w:cs="Times New Roman"/>
          <w:sz w:val="24"/>
          <w:szCs w:val="24"/>
          <w:lang w:val="en-US"/>
        </w:rPr>
        <w:t>,</w:t>
      </w:r>
      <w:r w:rsidR="00477D72" w:rsidRPr="007B140B">
        <w:rPr>
          <w:rFonts w:ascii="Times New Roman" w:hAnsi="Times New Roman" w:cs="Times New Roman"/>
          <w:sz w:val="24"/>
          <w:szCs w:val="24"/>
          <w:lang w:val="en-US"/>
        </w:rPr>
        <w:t xml:space="preserve"> &lt;2.</w:t>
      </w:r>
      <w:r w:rsidR="005B592B">
        <w:rPr>
          <w:rFonts w:ascii="Times New Roman" w:hAnsi="Times New Roman" w:cs="Times New Roman"/>
          <w:sz w:val="24"/>
          <w:szCs w:val="24"/>
          <w:lang w:val="en-US"/>
        </w:rPr>
        <w:t>15</w:t>
      </w:r>
      <w:r w:rsidR="00477D72" w:rsidRPr="007B140B">
        <w:rPr>
          <w:rFonts w:ascii="Times New Roman" w:hAnsi="Times New Roman" w:cs="Times New Roman"/>
          <w:sz w:val="24"/>
          <w:szCs w:val="24"/>
          <w:lang w:val="en-US"/>
        </w:rPr>
        <w:t xml:space="preserve"> mmol/l</w:t>
      </w:r>
      <w:r w:rsidR="00313643" w:rsidRPr="007B140B">
        <w:rPr>
          <w:rFonts w:ascii="Times New Roman" w:hAnsi="Times New Roman" w:cs="Times New Roman"/>
          <w:sz w:val="24"/>
          <w:szCs w:val="24"/>
          <w:lang w:val="en-US"/>
        </w:rPr>
        <w:t>;</w:t>
      </w:r>
      <w:r w:rsidR="00477D72" w:rsidRPr="007B140B">
        <w:rPr>
          <w:rFonts w:ascii="Times New Roman" w:hAnsi="Times New Roman" w:cs="Times New Roman"/>
          <w:sz w:val="24"/>
          <w:szCs w:val="24"/>
          <w:lang w:val="en-US"/>
        </w:rPr>
        <w:t xml:space="preserve"> normal</w:t>
      </w:r>
      <w:r w:rsidR="00313643" w:rsidRPr="007B140B">
        <w:rPr>
          <w:rFonts w:ascii="Times New Roman" w:hAnsi="Times New Roman" w:cs="Times New Roman"/>
          <w:sz w:val="24"/>
          <w:szCs w:val="24"/>
          <w:lang w:val="en-US"/>
        </w:rPr>
        <w:t xml:space="preserve">, </w:t>
      </w:r>
      <w:r w:rsidR="003B200C" w:rsidRPr="007B140B">
        <w:rPr>
          <w:rFonts w:ascii="Times New Roman" w:hAnsi="Times New Roman" w:cs="Times New Roman"/>
          <w:sz w:val="24"/>
          <w:szCs w:val="24"/>
          <w:lang w:val="en-US"/>
        </w:rPr>
        <w:t>2.</w:t>
      </w:r>
      <w:r w:rsidR="005B592B">
        <w:rPr>
          <w:rFonts w:ascii="Times New Roman" w:hAnsi="Times New Roman" w:cs="Times New Roman"/>
          <w:sz w:val="24"/>
          <w:szCs w:val="24"/>
          <w:lang w:val="en-US"/>
        </w:rPr>
        <w:t>15</w:t>
      </w:r>
      <w:r w:rsidR="003B200C" w:rsidRPr="007B140B">
        <w:rPr>
          <w:rFonts w:ascii="Times New Roman" w:hAnsi="Times New Roman" w:cs="Times New Roman"/>
          <w:sz w:val="24"/>
          <w:szCs w:val="24"/>
          <w:lang w:val="en-US"/>
        </w:rPr>
        <w:t>-</w:t>
      </w:r>
      <w:r w:rsidR="00477D72" w:rsidRPr="007B140B">
        <w:rPr>
          <w:rFonts w:ascii="Times New Roman" w:hAnsi="Times New Roman" w:cs="Times New Roman"/>
          <w:sz w:val="24"/>
          <w:szCs w:val="24"/>
          <w:lang w:val="en-US"/>
        </w:rPr>
        <w:t>2.</w:t>
      </w:r>
      <w:r w:rsidR="005B592B">
        <w:rPr>
          <w:rFonts w:ascii="Times New Roman" w:hAnsi="Times New Roman" w:cs="Times New Roman"/>
          <w:sz w:val="24"/>
          <w:szCs w:val="24"/>
          <w:lang w:val="en-US"/>
        </w:rPr>
        <w:t>50</w:t>
      </w:r>
      <w:r w:rsidR="00313643" w:rsidRPr="007B140B">
        <w:rPr>
          <w:rFonts w:ascii="Times New Roman" w:hAnsi="Times New Roman" w:cs="Times New Roman"/>
          <w:sz w:val="24"/>
          <w:szCs w:val="24"/>
          <w:lang w:val="en-US"/>
        </w:rPr>
        <w:t>;</w:t>
      </w:r>
      <w:r w:rsidR="00477D72" w:rsidRPr="007B140B">
        <w:rPr>
          <w:rFonts w:ascii="Times New Roman" w:hAnsi="Times New Roman" w:cs="Times New Roman"/>
          <w:sz w:val="24"/>
          <w:szCs w:val="24"/>
          <w:lang w:val="en-US"/>
        </w:rPr>
        <w:t xml:space="preserve"> high</w:t>
      </w:r>
      <w:r w:rsidR="00313643" w:rsidRPr="007B140B">
        <w:rPr>
          <w:rFonts w:ascii="Times New Roman" w:hAnsi="Times New Roman" w:cs="Times New Roman"/>
          <w:sz w:val="24"/>
          <w:szCs w:val="24"/>
          <w:lang w:val="en-US"/>
        </w:rPr>
        <w:t>,</w:t>
      </w:r>
      <w:r w:rsidR="0081670D" w:rsidRPr="007B140B">
        <w:rPr>
          <w:rFonts w:ascii="Times New Roman" w:hAnsi="Times New Roman" w:cs="Times New Roman"/>
          <w:sz w:val="24"/>
          <w:szCs w:val="24"/>
          <w:lang w:val="en-US"/>
        </w:rPr>
        <w:t xml:space="preserve"> &gt;</w:t>
      </w:r>
      <w:r w:rsidR="00477D72" w:rsidRPr="007B140B">
        <w:rPr>
          <w:rFonts w:ascii="Times New Roman" w:hAnsi="Times New Roman" w:cs="Times New Roman"/>
          <w:sz w:val="24"/>
          <w:szCs w:val="24"/>
          <w:lang w:val="en-US"/>
        </w:rPr>
        <w:t>2.</w:t>
      </w:r>
      <w:r w:rsidR="005B592B">
        <w:rPr>
          <w:rFonts w:ascii="Times New Roman" w:hAnsi="Times New Roman" w:cs="Times New Roman"/>
          <w:sz w:val="24"/>
          <w:szCs w:val="24"/>
          <w:lang w:val="en-US"/>
        </w:rPr>
        <w:t>50</w:t>
      </w:r>
      <w:r w:rsidR="00477D72" w:rsidRPr="007B140B">
        <w:rPr>
          <w:rFonts w:ascii="Times New Roman" w:hAnsi="Times New Roman" w:cs="Times New Roman"/>
          <w:sz w:val="24"/>
          <w:szCs w:val="24"/>
          <w:lang w:val="en-US"/>
        </w:rPr>
        <w:t xml:space="preserve">) </w:t>
      </w:r>
      <w:r w:rsidR="00AF7C19" w:rsidRPr="007B140B">
        <w:rPr>
          <w:rFonts w:ascii="Times New Roman" w:hAnsi="Times New Roman" w:cs="Times New Roman"/>
          <w:sz w:val="24"/>
          <w:szCs w:val="24"/>
          <w:lang w:val="en-US"/>
        </w:rPr>
        <w:t>will be analyzed in a shift table</w:t>
      </w:r>
      <w:r w:rsidR="007F2937" w:rsidRPr="007B140B">
        <w:rPr>
          <w:rFonts w:ascii="Times New Roman" w:hAnsi="Times New Roman" w:cs="Times New Roman"/>
          <w:sz w:val="24"/>
          <w:szCs w:val="24"/>
          <w:lang w:val="en-US"/>
        </w:rPr>
        <w:t xml:space="preserve"> from </w:t>
      </w:r>
      <w:r w:rsidR="00EB5328" w:rsidRPr="007B140B">
        <w:rPr>
          <w:rFonts w:ascii="Times New Roman" w:hAnsi="Times New Roman" w:cs="Times New Roman"/>
          <w:sz w:val="24"/>
          <w:szCs w:val="24"/>
          <w:lang w:val="en-US"/>
        </w:rPr>
        <w:t xml:space="preserve">before </w:t>
      </w:r>
      <w:r w:rsidR="00D2563C" w:rsidRPr="007B140B">
        <w:rPr>
          <w:rFonts w:ascii="Times New Roman" w:hAnsi="Times New Roman" w:cs="Times New Roman"/>
          <w:sz w:val="24"/>
          <w:szCs w:val="24"/>
          <w:lang w:val="en-US"/>
        </w:rPr>
        <w:t>the first</w:t>
      </w:r>
      <w:r w:rsidR="007F2937" w:rsidRPr="007B140B">
        <w:rPr>
          <w:rFonts w:ascii="Times New Roman" w:hAnsi="Times New Roman" w:cs="Times New Roman"/>
          <w:sz w:val="24"/>
          <w:szCs w:val="24"/>
          <w:lang w:val="en-US"/>
        </w:rPr>
        <w:t xml:space="preserve"> to </w:t>
      </w:r>
      <w:r w:rsidR="00EB5328" w:rsidRPr="007B140B">
        <w:rPr>
          <w:rFonts w:ascii="Times New Roman" w:hAnsi="Times New Roman" w:cs="Times New Roman"/>
          <w:sz w:val="24"/>
          <w:szCs w:val="24"/>
          <w:lang w:val="en-US"/>
        </w:rPr>
        <w:t xml:space="preserve">before </w:t>
      </w:r>
      <w:r w:rsidR="007F2937" w:rsidRPr="007B140B">
        <w:rPr>
          <w:rFonts w:ascii="Times New Roman" w:hAnsi="Times New Roman" w:cs="Times New Roman"/>
          <w:sz w:val="24"/>
          <w:szCs w:val="24"/>
          <w:lang w:val="en-US"/>
        </w:rPr>
        <w:t>the second infusion</w:t>
      </w:r>
      <w:r w:rsidR="00AF7C19" w:rsidRPr="007B140B">
        <w:rPr>
          <w:rFonts w:ascii="Times New Roman" w:hAnsi="Times New Roman" w:cs="Times New Roman"/>
          <w:sz w:val="24"/>
          <w:szCs w:val="24"/>
          <w:lang w:val="en-US"/>
        </w:rPr>
        <w:t>.</w:t>
      </w:r>
      <w:r w:rsidR="00275474" w:rsidRPr="007B140B">
        <w:rPr>
          <w:rFonts w:ascii="Times New Roman" w:hAnsi="Times New Roman" w:cs="Times New Roman"/>
          <w:sz w:val="24"/>
          <w:szCs w:val="24"/>
          <w:lang w:val="en-US"/>
        </w:rPr>
        <w:t xml:space="preserve"> </w:t>
      </w:r>
      <w:r w:rsidR="00313643" w:rsidRPr="007B140B">
        <w:rPr>
          <w:rFonts w:ascii="Times New Roman" w:hAnsi="Times New Roman" w:cs="Times New Roman"/>
          <w:sz w:val="24"/>
          <w:szCs w:val="24"/>
          <w:lang w:val="en-US"/>
        </w:rPr>
        <w:t xml:space="preserve">The number and percent with </w:t>
      </w:r>
      <w:r w:rsidR="00715C37">
        <w:rPr>
          <w:rFonts w:ascii="Times New Roman" w:hAnsi="Times New Roman" w:cs="Times New Roman"/>
          <w:sz w:val="24"/>
          <w:szCs w:val="24"/>
          <w:lang w:val="en-US"/>
        </w:rPr>
        <w:t>severe renal impairment (</w:t>
      </w:r>
      <w:r w:rsidR="00313643" w:rsidRPr="007B140B">
        <w:rPr>
          <w:rFonts w:ascii="Times New Roman" w:hAnsi="Times New Roman" w:cs="Times New Roman"/>
          <w:sz w:val="24"/>
          <w:szCs w:val="24"/>
          <w:lang w:val="en-US"/>
        </w:rPr>
        <w:t>estimated glomerular filtration rate &lt;35 ml/min/1.73m</w:t>
      </w:r>
      <w:r w:rsidR="00313643" w:rsidRPr="007B140B">
        <w:rPr>
          <w:rFonts w:ascii="Times New Roman" w:hAnsi="Times New Roman" w:cs="Times New Roman"/>
          <w:sz w:val="24"/>
          <w:szCs w:val="24"/>
          <w:vertAlign w:val="superscript"/>
          <w:lang w:val="en-US"/>
        </w:rPr>
        <w:t>2</w:t>
      </w:r>
      <w:r w:rsidR="00715C37">
        <w:rPr>
          <w:rFonts w:ascii="Times New Roman" w:hAnsi="Times New Roman" w:cs="Times New Roman"/>
          <w:sz w:val="24"/>
          <w:szCs w:val="24"/>
          <w:lang w:val="en-US"/>
        </w:rPr>
        <w:t xml:space="preserve">) </w:t>
      </w:r>
      <w:r w:rsidR="00F36213" w:rsidRPr="007B140B">
        <w:rPr>
          <w:rFonts w:ascii="Times New Roman" w:hAnsi="Times New Roman" w:cs="Times New Roman"/>
          <w:sz w:val="24"/>
          <w:szCs w:val="24"/>
          <w:lang w:val="en-US"/>
        </w:rPr>
        <w:t xml:space="preserve">at Follow-Up Visit </w:t>
      </w:r>
      <w:r w:rsidR="00815D57">
        <w:rPr>
          <w:rFonts w:ascii="Times New Roman" w:hAnsi="Times New Roman" w:cs="Times New Roman"/>
          <w:sz w:val="24"/>
          <w:szCs w:val="24"/>
          <w:lang w:val="en-US"/>
        </w:rPr>
        <w:t>2</w:t>
      </w:r>
      <w:r w:rsidR="00313643" w:rsidRPr="007B140B">
        <w:rPr>
          <w:rFonts w:ascii="Times New Roman" w:hAnsi="Times New Roman" w:cs="Times New Roman"/>
          <w:sz w:val="24"/>
          <w:szCs w:val="24"/>
          <w:lang w:val="en-US"/>
        </w:rPr>
        <w:t xml:space="preserve"> will be presented. </w:t>
      </w:r>
      <w:r w:rsidR="00275474" w:rsidRPr="007B140B">
        <w:rPr>
          <w:rFonts w:ascii="Times New Roman" w:hAnsi="Times New Roman" w:cs="Times New Roman"/>
          <w:sz w:val="24"/>
          <w:szCs w:val="24"/>
          <w:lang w:val="en-US"/>
        </w:rPr>
        <w:t>T</w:t>
      </w:r>
      <w:r w:rsidR="008412DA" w:rsidRPr="007B140B">
        <w:rPr>
          <w:rFonts w:ascii="Times New Roman" w:hAnsi="Times New Roman" w:cs="Times New Roman"/>
          <w:sz w:val="24"/>
          <w:szCs w:val="24"/>
          <w:lang w:val="en-US"/>
        </w:rPr>
        <w:t xml:space="preserve">he </w:t>
      </w:r>
      <w:r w:rsidR="00477D72" w:rsidRPr="007B140B">
        <w:rPr>
          <w:rFonts w:ascii="Times New Roman" w:hAnsi="Times New Roman" w:cs="Times New Roman"/>
          <w:sz w:val="24"/>
          <w:szCs w:val="24"/>
          <w:lang w:val="en-US"/>
        </w:rPr>
        <w:t xml:space="preserve">mean and </w:t>
      </w:r>
      <w:r w:rsidR="00477D72" w:rsidRPr="007B140B">
        <w:rPr>
          <w:rFonts w:ascii="Times New Roman" w:hAnsi="Times New Roman" w:cs="Times New Roman"/>
          <w:sz w:val="24"/>
          <w:szCs w:val="24"/>
          <w:lang w:val="en-US"/>
        </w:rPr>
        <w:lastRenderedPageBreak/>
        <w:t xml:space="preserve">standard deviation change in </w:t>
      </w:r>
      <w:r w:rsidR="0037566B" w:rsidRPr="007B140B">
        <w:rPr>
          <w:rFonts w:ascii="Times New Roman" w:hAnsi="Times New Roman" w:cs="Times New Roman"/>
          <w:sz w:val="24"/>
          <w:szCs w:val="24"/>
          <w:lang w:val="en-US"/>
        </w:rPr>
        <w:t>estimated g</w:t>
      </w:r>
      <w:r w:rsidR="00275474" w:rsidRPr="007B140B">
        <w:rPr>
          <w:rFonts w:ascii="Times New Roman" w:hAnsi="Times New Roman" w:cs="Times New Roman"/>
          <w:sz w:val="24"/>
          <w:szCs w:val="24"/>
          <w:lang w:val="en-US"/>
        </w:rPr>
        <w:t>lomerular filtration</w:t>
      </w:r>
      <w:r w:rsidR="00313643" w:rsidRPr="007B140B">
        <w:rPr>
          <w:rFonts w:ascii="Times New Roman" w:hAnsi="Times New Roman" w:cs="Times New Roman"/>
          <w:sz w:val="24"/>
          <w:szCs w:val="24"/>
          <w:lang w:val="en-US"/>
        </w:rPr>
        <w:t xml:space="preserve"> rate</w:t>
      </w:r>
      <w:r w:rsidR="00275474" w:rsidRPr="007B140B">
        <w:rPr>
          <w:rFonts w:ascii="Times New Roman" w:hAnsi="Times New Roman" w:cs="Times New Roman"/>
          <w:sz w:val="24"/>
          <w:szCs w:val="24"/>
          <w:lang w:val="en-US"/>
        </w:rPr>
        <w:t xml:space="preserve"> </w:t>
      </w:r>
      <w:r w:rsidR="00477D72" w:rsidRPr="007B140B">
        <w:rPr>
          <w:rFonts w:ascii="Times New Roman" w:hAnsi="Times New Roman" w:cs="Times New Roman"/>
          <w:sz w:val="24"/>
          <w:szCs w:val="24"/>
          <w:lang w:val="en-US"/>
        </w:rPr>
        <w:t xml:space="preserve">from before the first to before the </w:t>
      </w:r>
      <w:r w:rsidR="00275474" w:rsidRPr="007B140B">
        <w:rPr>
          <w:rFonts w:ascii="Times New Roman" w:hAnsi="Times New Roman" w:cs="Times New Roman"/>
          <w:sz w:val="24"/>
          <w:szCs w:val="24"/>
          <w:lang w:val="en-US"/>
        </w:rPr>
        <w:t>second infusion will be presente</w:t>
      </w:r>
      <w:r w:rsidR="00477D72" w:rsidRPr="007B140B">
        <w:rPr>
          <w:rFonts w:ascii="Times New Roman" w:hAnsi="Times New Roman" w:cs="Times New Roman"/>
          <w:sz w:val="24"/>
          <w:szCs w:val="24"/>
          <w:lang w:val="en-US"/>
        </w:rPr>
        <w:t>d</w:t>
      </w:r>
      <w:r w:rsidR="00224956" w:rsidRPr="007B140B">
        <w:rPr>
          <w:rFonts w:ascii="Times New Roman" w:hAnsi="Times New Roman" w:cs="Times New Roman"/>
          <w:sz w:val="24"/>
          <w:szCs w:val="24"/>
          <w:lang w:val="en-US"/>
        </w:rPr>
        <w:t xml:space="preserve"> and compared between the groups using an independent-samples </w:t>
      </w:r>
      <w:r w:rsidR="00224956" w:rsidRPr="007B140B">
        <w:rPr>
          <w:rFonts w:ascii="Times New Roman" w:hAnsi="Times New Roman" w:cs="Times New Roman"/>
          <w:i/>
          <w:sz w:val="24"/>
          <w:szCs w:val="24"/>
          <w:lang w:val="en-US"/>
        </w:rPr>
        <w:t>t</w:t>
      </w:r>
      <w:r w:rsidR="00224956" w:rsidRPr="007B140B">
        <w:rPr>
          <w:rFonts w:ascii="Times New Roman" w:hAnsi="Times New Roman" w:cs="Times New Roman"/>
          <w:sz w:val="24"/>
          <w:szCs w:val="24"/>
          <w:lang w:val="en-US"/>
        </w:rPr>
        <w:t xml:space="preserve"> test (Satterthwaite approximation of degrees of freedom)</w:t>
      </w:r>
      <w:r w:rsidR="00477D72" w:rsidRPr="007B140B">
        <w:rPr>
          <w:rFonts w:ascii="Times New Roman" w:hAnsi="Times New Roman" w:cs="Times New Roman"/>
          <w:sz w:val="24"/>
          <w:szCs w:val="24"/>
          <w:lang w:val="en-US"/>
        </w:rPr>
        <w:t>.</w:t>
      </w:r>
    </w:p>
    <w:p w14:paraId="3B7AB03F" w14:textId="448D0D47" w:rsidR="00D105EF" w:rsidRPr="007B140B" w:rsidRDefault="00D105EF" w:rsidP="00837553">
      <w:pPr>
        <w:autoSpaceDE w:val="0"/>
        <w:autoSpaceDN w:val="0"/>
        <w:adjustRightInd w:val="0"/>
        <w:rPr>
          <w:rFonts w:ascii="Times New Roman" w:hAnsi="Times New Roman" w:cs="Times New Roman"/>
          <w:color w:val="333333"/>
          <w:sz w:val="24"/>
          <w:szCs w:val="24"/>
          <w:shd w:val="clear" w:color="auto" w:fill="FFFFFF"/>
          <w:lang w:val="en-US"/>
        </w:rPr>
      </w:pPr>
    </w:p>
    <w:p w14:paraId="06FCD183" w14:textId="015916C5" w:rsidR="00837553" w:rsidRPr="007B140B" w:rsidRDefault="00CF5045" w:rsidP="00D36611">
      <w:pPr>
        <w:pStyle w:val="Formatmall3"/>
        <w:rPr>
          <w:rFonts w:cs="Times New Roman"/>
          <w:lang w:val="en-US"/>
        </w:rPr>
      </w:pPr>
      <w:bookmarkStart w:id="95" w:name="_Toc99001434"/>
      <w:r w:rsidRPr="007B140B">
        <w:rPr>
          <w:rFonts w:cs="Times New Roman"/>
          <w:lang w:val="en-US"/>
        </w:rPr>
        <w:t xml:space="preserve">Subgroup, </w:t>
      </w:r>
      <w:r w:rsidR="00BC3177" w:rsidRPr="007B140B">
        <w:rPr>
          <w:rFonts w:cs="Times New Roman"/>
          <w:lang w:val="en-US"/>
        </w:rPr>
        <w:t>s</w:t>
      </w:r>
      <w:r w:rsidR="00837553" w:rsidRPr="007B140B">
        <w:rPr>
          <w:rFonts w:cs="Times New Roman"/>
          <w:lang w:val="en-US"/>
        </w:rPr>
        <w:t>ensitivity</w:t>
      </w:r>
      <w:r w:rsidRPr="007B140B">
        <w:rPr>
          <w:rFonts w:cs="Times New Roman"/>
          <w:lang w:val="en-US"/>
        </w:rPr>
        <w:t xml:space="preserve">, and </w:t>
      </w:r>
      <w:r w:rsidR="00512223" w:rsidRPr="007B140B">
        <w:rPr>
          <w:rFonts w:cs="Times New Roman"/>
          <w:lang w:val="en-US"/>
        </w:rPr>
        <w:t>exploratory</w:t>
      </w:r>
      <w:r w:rsidR="00837553" w:rsidRPr="007B140B">
        <w:rPr>
          <w:rFonts w:cs="Times New Roman"/>
          <w:lang w:val="en-US"/>
        </w:rPr>
        <w:t xml:space="preserve"> analyses</w:t>
      </w:r>
      <w:bookmarkEnd w:id="95"/>
    </w:p>
    <w:p w14:paraId="13D41AA3" w14:textId="6C33B16E" w:rsidR="008D6FF1" w:rsidRPr="007B140B" w:rsidRDefault="00306BC7" w:rsidP="00AE696A">
      <w:pPr>
        <w:spacing w:after="0" w:line="259" w:lineRule="auto"/>
        <w:rPr>
          <w:rFonts w:ascii="Times New Roman" w:hAnsi="Times New Roman" w:cs="Times New Roman"/>
          <w:iCs/>
          <w:color w:val="000000" w:themeColor="text1"/>
          <w:sz w:val="24"/>
          <w:szCs w:val="24"/>
          <w:lang w:val="en-US"/>
        </w:rPr>
      </w:pPr>
      <w:r w:rsidRPr="007B140B">
        <w:rPr>
          <w:rFonts w:ascii="Times New Roman" w:hAnsi="Times New Roman" w:cs="Times New Roman"/>
          <w:iCs/>
          <w:color w:val="000000" w:themeColor="text1"/>
          <w:sz w:val="24"/>
          <w:szCs w:val="24"/>
          <w:lang w:val="en-US"/>
        </w:rPr>
        <w:t>Basel</w:t>
      </w:r>
      <w:r w:rsidR="00DE319C" w:rsidRPr="007B140B">
        <w:rPr>
          <w:rFonts w:ascii="Times New Roman" w:hAnsi="Times New Roman" w:cs="Times New Roman"/>
          <w:iCs/>
          <w:color w:val="000000" w:themeColor="text1"/>
          <w:sz w:val="24"/>
          <w:szCs w:val="24"/>
          <w:lang w:val="en-US"/>
        </w:rPr>
        <w:t>ine characteristics and</w:t>
      </w:r>
      <w:r w:rsidRPr="007B140B">
        <w:rPr>
          <w:rFonts w:ascii="Times New Roman" w:hAnsi="Times New Roman" w:cs="Times New Roman"/>
          <w:iCs/>
          <w:color w:val="000000" w:themeColor="text1"/>
          <w:sz w:val="24"/>
          <w:szCs w:val="24"/>
          <w:lang w:val="en-US"/>
        </w:rPr>
        <w:t xml:space="preserve"> </w:t>
      </w:r>
      <w:r w:rsidR="008D6FF1" w:rsidRPr="007B140B">
        <w:rPr>
          <w:rFonts w:ascii="Times New Roman" w:hAnsi="Times New Roman" w:cs="Times New Roman"/>
          <w:iCs/>
          <w:color w:val="000000" w:themeColor="text1"/>
          <w:sz w:val="24"/>
          <w:szCs w:val="24"/>
          <w:lang w:val="en-US"/>
        </w:rPr>
        <w:t>efficacy outcomes</w:t>
      </w:r>
      <w:r w:rsidR="00DE319C" w:rsidRPr="007B140B">
        <w:rPr>
          <w:rFonts w:ascii="Times New Roman" w:hAnsi="Times New Roman" w:cs="Times New Roman"/>
          <w:iCs/>
          <w:color w:val="000000" w:themeColor="text1"/>
          <w:sz w:val="24"/>
          <w:szCs w:val="24"/>
          <w:lang w:val="en-US"/>
        </w:rPr>
        <w:t xml:space="preserve"> </w:t>
      </w:r>
      <w:r w:rsidR="008D6FF1" w:rsidRPr="007B140B">
        <w:rPr>
          <w:rFonts w:ascii="Times New Roman" w:hAnsi="Times New Roman" w:cs="Times New Roman"/>
          <w:iCs/>
          <w:color w:val="000000" w:themeColor="text1"/>
          <w:sz w:val="24"/>
          <w:szCs w:val="24"/>
          <w:lang w:val="en-US"/>
        </w:rPr>
        <w:t>will be presented in subgroups defined by type of baseline fragility fracture</w:t>
      </w:r>
      <w:r w:rsidR="00F42764" w:rsidRPr="007B140B">
        <w:rPr>
          <w:rFonts w:ascii="Times New Roman" w:hAnsi="Times New Roman" w:cs="Times New Roman"/>
          <w:iCs/>
          <w:color w:val="000000" w:themeColor="text1"/>
          <w:sz w:val="24"/>
          <w:szCs w:val="24"/>
          <w:lang w:val="en-US"/>
        </w:rPr>
        <w:t xml:space="preserve"> (</w:t>
      </w:r>
      <w:r w:rsidR="009E69B0" w:rsidRPr="007B140B">
        <w:rPr>
          <w:rFonts w:ascii="Times New Roman" w:hAnsi="Times New Roman" w:cs="Times New Roman"/>
          <w:sz w:val="24"/>
          <w:szCs w:val="24"/>
          <w:lang w:val="en-US"/>
        </w:rPr>
        <w:t xml:space="preserve">if </w:t>
      </w:r>
      <w:r w:rsidR="009E69B0">
        <w:rPr>
          <w:rFonts w:ascii="Times New Roman" w:hAnsi="Times New Roman" w:cs="Times New Roman"/>
          <w:sz w:val="24"/>
          <w:szCs w:val="24"/>
          <w:lang w:val="en-US"/>
        </w:rPr>
        <w:t xml:space="preserve">a participant has </w:t>
      </w:r>
      <w:r w:rsidR="009E69B0" w:rsidRPr="007B140B">
        <w:rPr>
          <w:rFonts w:ascii="Times New Roman" w:hAnsi="Times New Roman" w:cs="Times New Roman"/>
          <w:sz w:val="24"/>
          <w:szCs w:val="24"/>
          <w:lang w:val="en-US"/>
        </w:rPr>
        <w:t>multiple</w:t>
      </w:r>
      <w:r w:rsidR="009E69B0">
        <w:rPr>
          <w:rFonts w:ascii="Times New Roman" w:hAnsi="Times New Roman" w:cs="Times New Roman"/>
          <w:sz w:val="24"/>
          <w:szCs w:val="24"/>
          <w:lang w:val="en-US"/>
        </w:rPr>
        <w:t xml:space="preserve"> baseline fractures,</w:t>
      </w:r>
      <w:r w:rsidR="009E69B0" w:rsidRPr="007B140B">
        <w:rPr>
          <w:rFonts w:ascii="Times New Roman" w:hAnsi="Times New Roman" w:cs="Times New Roman"/>
          <w:sz w:val="24"/>
          <w:szCs w:val="24"/>
          <w:lang w:val="en-US"/>
        </w:rPr>
        <w:t xml:space="preserve"> </w:t>
      </w:r>
      <w:r w:rsidR="009E69B0">
        <w:rPr>
          <w:rFonts w:ascii="Times New Roman" w:hAnsi="Times New Roman" w:cs="Times New Roman"/>
          <w:sz w:val="24"/>
          <w:szCs w:val="24"/>
          <w:lang w:val="en-US"/>
        </w:rPr>
        <w:t>then</w:t>
      </w:r>
      <w:r w:rsidR="009E69B0" w:rsidRPr="007B140B">
        <w:rPr>
          <w:rFonts w:ascii="Times New Roman" w:hAnsi="Times New Roman" w:cs="Times New Roman"/>
          <w:sz w:val="24"/>
          <w:szCs w:val="24"/>
          <w:lang w:val="en-US"/>
        </w:rPr>
        <w:t xml:space="preserve"> the most serious </w:t>
      </w:r>
      <w:r w:rsidR="009E69B0">
        <w:rPr>
          <w:rFonts w:ascii="Times New Roman" w:hAnsi="Times New Roman" w:cs="Times New Roman"/>
          <w:sz w:val="24"/>
          <w:szCs w:val="24"/>
          <w:lang w:val="en-US"/>
        </w:rPr>
        <w:t>type of fractur</w:t>
      </w:r>
      <w:r w:rsidR="009E69B0" w:rsidRPr="007B140B">
        <w:rPr>
          <w:rFonts w:ascii="Times New Roman" w:hAnsi="Times New Roman" w:cs="Times New Roman"/>
          <w:sz w:val="24"/>
          <w:szCs w:val="24"/>
          <w:lang w:val="en-US"/>
        </w:rPr>
        <w:t>e</w:t>
      </w:r>
      <w:r w:rsidR="009E69B0">
        <w:rPr>
          <w:rFonts w:ascii="Times New Roman" w:hAnsi="Times New Roman" w:cs="Times New Roman"/>
          <w:sz w:val="24"/>
          <w:szCs w:val="24"/>
          <w:lang w:val="en-US"/>
        </w:rPr>
        <w:t xml:space="preserve"> in the following descending order of severity will be used: femur excluding hip, shoulder/upper arm, pelvis, ribs/sternum/bony thorax, lower leg,</w:t>
      </w:r>
      <w:r w:rsidR="009E69B0" w:rsidRPr="00B9315A">
        <w:rPr>
          <w:rFonts w:ascii="Times New Roman" w:hAnsi="Times New Roman" w:cs="Times New Roman"/>
          <w:sz w:val="24"/>
          <w:szCs w:val="24"/>
          <w:lang w:val="en-US"/>
        </w:rPr>
        <w:t xml:space="preserve"> </w:t>
      </w:r>
      <w:r w:rsidR="009E69B0">
        <w:rPr>
          <w:rFonts w:ascii="Times New Roman" w:hAnsi="Times New Roman" w:cs="Times New Roman"/>
          <w:sz w:val="24"/>
          <w:szCs w:val="24"/>
          <w:lang w:val="en-US"/>
        </w:rPr>
        <w:t>forearm)</w:t>
      </w:r>
      <w:r w:rsidR="009E69B0">
        <w:rPr>
          <w:rFonts w:ascii="Times New Roman" w:hAnsi="Times New Roman" w:cs="Times New Roman"/>
          <w:iCs/>
          <w:color w:val="000000" w:themeColor="text1"/>
          <w:sz w:val="24"/>
          <w:szCs w:val="24"/>
          <w:lang w:val="en-US"/>
        </w:rPr>
        <w:t xml:space="preserve">, </w:t>
      </w:r>
      <w:r w:rsidR="008D6FF1" w:rsidRPr="007B140B">
        <w:rPr>
          <w:rFonts w:ascii="Times New Roman" w:hAnsi="Times New Roman" w:cs="Times New Roman"/>
          <w:iCs/>
          <w:color w:val="000000" w:themeColor="text1"/>
          <w:sz w:val="24"/>
          <w:szCs w:val="24"/>
          <w:lang w:val="en-US"/>
        </w:rPr>
        <w:t xml:space="preserve">age </w:t>
      </w:r>
      <w:r w:rsidR="008768BD">
        <w:rPr>
          <w:rFonts w:ascii="Times New Roman" w:hAnsi="Times New Roman" w:cs="Times New Roman"/>
          <w:iCs/>
          <w:color w:val="000000" w:themeColor="text1"/>
          <w:sz w:val="24"/>
          <w:szCs w:val="24"/>
          <w:lang w:val="en-US"/>
        </w:rPr>
        <w:t xml:space="preserve">group </w:t>
      </w:r>
      <w:r w:rsidR="008D6FF1" w:rsidRPr="007B140B">
        <w:rPr>
          <w:rFonts w:ascii="Times New Roman" w:hAnsi="Times New Roman" w:cs="Times New Roman"/>
          <w:iCs/>
          <w:color w:val="000000" w:themeColor="text1"/>
          <w:sz w:val="24"/>
          <w:szCs w:val="24"/>
          <w:lang w:val="en-US"/>
        </w:rPr>
        <w:t>(65</w:t>
      </w:r>
      <w:r w:rsidR="00894185" w:rsidRPr="007B140B">
        <w:rPr>
          <w:rFonts w:ascii="Times New Roman" w:hAnsi="Times New Roman" w:cs="Times New Roman"/>
          <w:iCs/>
          <w:color w:val="000000" w:themeColor="text1"/>
          <w:sz w:val="24"/>
          <w:szCs w:val="24"/>
          <w:lang w:val="en-US"/>
        </w:rPr>
        <w:t>-74, 75-84</w:t>
      </w:r>
      <w:r w:rsidR="008D6FF1" w:rsidRPr="007B140B">
        <w:rPr>
          <w:rFonts w:ascii="Times New Roman" w:hAnsi="Times New Roman" w:cs="Times New Roman"/>
          <w:iCs/>
          <w:color w:val="000000" w:themeColor="text1"/>
          <w:sz w:val="24"/>
          <w:szCs w:val="24"/>
          <w:lang w:val="en-US"/>
        </w:rPr>
        <w:t>,</w:t>
      </w:r>
      <w:r w:rsidR="00894185" w:rsidRPr="007B140B">
        <w:rPr>
          <w:rFonts w:ascii="Times New Roman" w:hAnsi="Times New Roman" w:cs="Times New Roman"/>
          <w:iCs/>
          <w:color w:val="000000" w:themeColor="text1"/>
          <w:sz w:val="24"/>
          <w:szCs w:val="24"/>
          <w:lang w:val="en-US"/>
        </w:rPr>
        <w:t xml:space="preserve"> </w:t>
      </w:r>
      <w:r w:rsidR="00B927A1" w:rsidRPr="007B140B">
        <w:rPr>
          <w:rFonts w:ascii="Times New Roman" w:hAnsi="Times New Roman" w:cs="Times New Roman"/>
          <w:iCs/>
          <w:color w:val="000000" w:themeColor="text1"/>
          <w:sz w:val="24"/>
          <w:szCs w:val="24"/>
          <w:lang w:val="en-US"/>
        </w:rPr>
        <w:t xml:space="preserve">or </w:t>
      </w:r>
      <w:r w:rsidR="00894185" w:rsidRPr="007B140B">
        <w:rPr>
          <w:rFonts w:ascii="Times New Roman" w:hAnsi="Times New Roman" w:cs="Times New Roman"/>
          <w:iCs/>
          <w:color w:val="000000" w:themeColor="text1"/>
          <w:sz w:val="24"/>
          <w:szCs w:val="24"/>
          <w:lang w:val="en-US"/>
        </w:rPr>
        <w:t>≥85</w:t>
      </w:r>
      <w:r w:rsidR="00B927A1" w:rsidRPr="007B140B">
        <w:rPr>
          <w:rFonts w:ascii="Times New Roman" w:hAnsi="Times New Roman" w:cs="Times New Roman"/>
          <w:iCs/>
          <w:color w:val="000000" w:themeColor="text1"/>
          <w:sz w:val="24"/>
          <w:szCs w:val="24"/>
          <w:lang w:val="en-US"/>
        </w:rPr>
        <w:t xml:space="preserve"> year</w:t>
      </w:r>
      <w:r w:rsidR="008D6FF1" w:rsidRPr="007B140B">
        <w:rPr>
          <w:rFonts w:ascii="Times New Roman" w:hAnsi="Times New Roman" w:cs="Times New Roman"/>
          <w:iCs/>
          <w:color w:val="000000" w:themeColor="text1"/>
          <w:sz w:val="24"/>
          <w:szCs w:val="24"/>
          <w:lang w:val="en-US"/>
        </w:rPr>
        <w:t xml:space="preserve">), sex, </w:t>
      </w:r>
      <w:r w:rsidR="001B7B3F">
        <w:rPr>
          <w:rFonts w:ascii="Times New Roman" w:hAnsi="Times New Roman" w:cs="Times New Roman"/>
          <w:iCs/>
          <w:color w:val="000000" w:themeColor="text1"/>
          <w:sz w:val="24"/>
          <w:szCs w:val="24"/>
          <w:lang w:val="en-US"/>
        </w:rPr>
        <w:t xml:space="preserve">and </w:t>
      </w:r>
      <w:r w:rsidR="008D6FF1" w:rsidRPr="007B140B">
        <w:rPr>
          <w:rFonts w:ascii="Times New Roman" w:hAnsi="Times New Roman" w:cs="Times New Roman"/>
          <w:iCs/>
          <w:color w:val="000000" w:themeColor="text1"/>
          <w:sz w:val="24"/>
          <w:szCs w:val="24"/>
          <w:lang w:val="en-US"/>
        </w:rPr>
        <w:t xml:space="preserve">study center. In the efficacy analysis, product terms will be included in regression models to assess interaction </w:t>
      </w:r>
      <w:r w:rsidR="00340C84" w:rsidRPr="007B140B">
        <w:rPr>
          <w:rFonts w:ascii="Times New Roman" w:hAnsi="Times New Roman" w:cs="Times New Roman"/>
          <w:iCs/>
          <w:color w:val="000000" w:themeColor="text1"/>
          <w:sz w:val="24"/>
          <w:szCs w:val="24"/>
          <w:lang w:val="en-US"/>
        </w:rPr>
        <w:t xml:space="preserve">of </w:t>
      </w:r>
      <w:r w:rsidR="008D6FF1" w:rsidRPr="007B140B">
        <w:rPr>
          <w:rFonts w:ascii="Times New Roman" w:hAnsi="Times New Roman" w:cs="Times New Roman"/>
          <w:iCs/>
          <w:color w:val="000000" w:themeColor="text1"/>
          <w:sz w:val="24"/>
          <w:szCs w:val="24"/>
          <w:lang w:val="en-US"/>
        </w:rPr>
        <w:t xml:space="preserve">treatment with time since fragility fracture, type of fragility fracture, age, sex, </w:t>
      </w:r>
      <w:r w:rsidR="00411E11">
        <w:rPr>
          <w:rFonts w:ascii="Times New Roman" w:hAnsi="Times New Roman" w:cs="Times New Roman"/>
          <w:iCs/>
          <w:color w:val="000000" w:themeColor="text1"/>
          <w:sz w:val="24"/>
          <w:szCs w:val="24"/>
          <w:lang w:val="en-US"/>
        </w:rPr>
        <w:t xml:space="preserve">and </w:t>
      </w:r>
      <w:r w:rsidR="008D6FF1" w:rsidRPr="007B140B">
        <w:rPr>
          <w:rFonts w:ascii="Times New Roman" w:hAnsi="Times New Roman" w:cs="Times New Roman"/>
          <w:iCs/>
          <w:color w:val="000000" w:themeColor="text1"/>
          <w:sz w:val="24"/>
          <w:szCs w:val="24"/>
          <w:lang w:val="en-US"/>
        </w:rPr>
        <w:t>study center.</w:t>
      </w:r>
      <w:r w:rsidR="00085E12" w:rsidRPr="007B140B">
        <w:rPr>
          <w:rFonts w:ascii="Times New Roman" w:hAnsi="Times New Roman" w:cs="Times New Roman"/>
          <w:iCs/>
          <w:color w:val="000000" w:themeColor="text1"/>
          <w:sz w:val="24"/>
          <w:szCs w:val="24"/>
          <w:lang w:val="en-US"/>
        </w:rPr>
        <w:t xml:space="preserve"> These interaction effects will be tested using Wald tests for</w:t>
      </w:r>
      <w:r w:rsidR="00DE319C" w:rsidRPr="007B140B">
        <w:rPr>
          <w:rFonts w:ascii="Times New Roman" w:hAnsi="Times New Roman" w:cs="Times New Roman"/>
          <w:iCs/>
          <w:color w:val="000000" w:themeColor="text1"/>
          <w:sz w:val="24"/>
          <w:szCs w:val="24"/>
          <w:lang w:val="en-US"/>
        </w:rPr>
        <w:t xml:space="preserve"> numeric and binary variables and </w:t>
      </w:r>
      <w:r w:rsidR="00085E12" w:rsidRPr="007B140B">
        <w:rPr>
          <w:rFonts w:ascii="Times New Roman" w:hAnsi="Times New Roman" w:cs="Times New Roman"/>
          <w:iCs/>
          <w:color w:val="000000" w:themeColor="text1"/>
          <w:sz w:val="24"/>
          <w:szCs w:val="24"/>
          <w:lang w:val="en-US"/>
        </w:rPr>
        <w:t>likelihood ratio tests for multi-level categorical variables.</w:t>
      </w:r>
      <w:r w:rsidR="00974E7E" w:rsidRPr="007B140B">
        <w:rPr>
          <w:rFonts w:ascii="Times New Roman" w:hAnsi="Times New Roman" w:cs="Times New Roman"/>
          <w:iCs/>
          <w:color w:val="000000" w:themeColor="text1"/>
          <w:sz w:val="24"/>
          <w:szCs w:val="24"/>
          <w:lang w:val="en-US"/>
        </w:rPr>
        <w:t xml:space="preserve"> We do not expect these interaction analyses to show </w:t>
      </w:r>
      <w:r w:rsidR="00676174" w:rsidRPr="007B140B">
        <w:rPr>
          <w:rFonts w:ascii="Times New Roman" w:hAnsi="Times New Roman" w:cs="Times New Roman"/>
          <w:iCs/>
          <w:color w:val="000000" w:themeColor="text1"/>
          <w:sz w:val="24"/>
          <w:szCs w:val="24"/>
          <w:lang w:val="en-US"/>
        </w:rPr>
        <w:t xml:space="preserve">significant </w:t>
      </w:r>
      <w:r w:rsidR="00974E7E" w:rsidRPr="007B140B">
        <w:rPr>
          <w:rFonts w:ascii="Times New Roman" w:hAnsi="Times New Roman" w:cs="Times New Roman"/>
          <w:iCs/>
          <w:color w:val="000000" w:themeColor="text1"/>
          <w:sz w:val="24"/>
          <w:szCs w:val="24"/>
          <w:lang w:val="en-US"/>
        </w:rPr>
        <w:t>differences in effect</w:t>
      </w:r>
      <w:r w:rsidR="00BD2BEF" w:rsidRPr="007B140B">
        <w:rPr>
          <w:rFonts w:ascii="Times New Roman" w:hAnsi="Times New Roman" w:cs="Times New Roman"/>
          <w:iCs/>
          <w:color w:val="000000" w:themeColor="text1"/>
          <w:sz w:val="24"/>
          <w:szCs w:val="24"/>
          <w:lang w:val="en-US"/>
        </w:rPr>
        <w:t>.</w:t>
      </w:r>
    </w:p>
    <w:p w14:paraId="229F6165" w14:textId="22576483" w:rsidR="0097487E" w:rsidRPr="007B140B" w:rsidRDefault="0097487E" w:rsidP="00AE696A">
      <w:pPr>
        <w:spacing w:after="0" w:line="259" w:lineRule="auto"/>
        <w:rPr>
          <w:rFonts w:ascii="Times New Roman" w:hAnsi="Times New Roman" w:cs="Times New Roman"/>
          <w:iCs/>
          <w:color w:val="000000" w:themeColor="text1"/>
          <w:sz w:val="24"/>
          <w:szCs w:val="24"/>
          <w:lang w:val="en-US"/>
        </w:rPr>
      </w:pPr>
    </w:p>
    <w:p w14:paraId="579DD26D" w14:textId="37A414F0" w:rsidR="00512223" w:rsidRPr="007B140B" w:rsidRDefault="004A1A2A" w:rsidP="00066B77">
      <w:pPr>
        <w:pStyle w:val="Kommentarer"/>
        <w:rPr>
          <w:lang w:val="en-US"/>
        </w:rPr>
      </w:pPr>
      <w:r w:rsidRPr="007B140B">
        <w:rPr>
          <w:rFonts w:ascii="Times New Roman" w:hAnsi="Times New Roman" w:cs="Times New Roman"/>
          <w:iCs/>
          <w:color w:val="000000" w:themeColor="text1"/>
          <w:sz w:val="24"/>
          <w:szCs w:val="24"/>
          <w:lang w:val="en-US"/>
        </w:rPr>
        <w:t>Six</w:t>
      </w:r>
      <w:r w:rsidR="002F0375" w:rsidRPr="007B140B">
        <w:rPr>
          <w:rFonts w:ascii="Times New Roman" w:hAnsi="Times New Roman" w:cs="Times New Roman"/>
          <w:iCs/>
          <w:color w:val="000000" w:themeColor="text1"/>
          <w:sz w:val="24"/>
          <w:szCs w:val="24"/>
          <w:lang w:val="en-US"/>
        </w:rPr>
        <w:t xml:space="preserve"> </w:t>
      </w:r>
      <w:r w:rsidR="008D6FF1" w:rsidRPr="007B140B">
        <w:rPr>
          <w:rFonts w:ascii="Times New Roman" w:hAnsi="Times New Roman" w:cs="Times New Roman"/>
          <w:iCs/>
          <w:color w:val="000000" w:themeColor="text1"/>
          <w:sz w:val="24"/>
          <w:szCs w:val="24"/>
          <w:lang w:val="en-US"/>
        </w:rPr>
        <w:t>s</w:t>
      </w:r>
      <w:r w:rsidR="002F0375" w:rsidRPr="007B140B">
        <w:rPr>
          <w:rFonts w:ascii="Times New Roman" w:hAnsi="Times New Roman" w:cs="Times New Roman"/>
          <w:iCs/>
          <w:color w:val="000000" w:themeColor="text1"/>
          <w:sz w:val="24"/>
          <w:szCs w:val="24"/>
          <w:lang w:val="en-US"/>
        </w:rPr>
        <w:t xml:space="preserve">ensitivity analyses will be conducted. </w:t>
      </w:r>
      <w:r w:rsidR="000A16BF" w:rsidRPr="007B140B">
        <w:rPr>
          <w:rFonts w:ascii="Times New Roman" w:hAnsi="Times New Roman" w:cs="Times New Roman"/>
          <w:iCs/>
          <w:color w:val="000000" w:themeColor="text1"/>
          <w:sz w:val="24"/>
          <w:szCs w:val="24"/>
          <w:lang w:val="en-US"/>
        </w:rPr>
        <w:t xml:space="preserve">First, </w:t>
      </w:r>
      <w:r w:rsidR="00A21F54" w:rsidRPr="007B140B">
        <w:rPr>
          <w:rFonts w:ascii="Times New Roman" w:hAnsi="Times New Roman" w:cs="Times New Roman"/>
          <w:iCs/>
          <w:color w:val="000000" w:themeColor="text1"/>
          <w:sz w:val="24"/>
          <w:szCs w:val="24"/>
          <w:lang w:val="en-US"/>
        </w:rPr>
        <w:t xml:space="preserve">to </w:t>
      </w:r>
      <w:r w:rsidR="00B9246F" w:rsidRPr="007B140B">
        <w:rPr>
          <w:rFonts w:ascii="Times New Roman" w:hAnsi="Times New Roman" w:cs="Times New Roman"/>
          <w:iCs/>
          <w:color w:val="000000" w:themeColor="text1"/>
          <w:sz w:val="24"/>
          <w:szCs w:val="24"/>
          <w:lang w:val="en-US"/>
        </w:rPr>
        <w:t>assess the presence of</w:t>
      </w:r>
      <w:r w:rsidR="00A21F54" w:rsidRPr="007B140B">
        <w:rPr>
          <w:rFonts w:ascii="Times New Roman" w:hAnsi="Times New Roman" w:cs="Times New Roman"/>
          <w:iCs/>
          <w:color w:val="000000" w:themeColor="text1"/>
          <w:sz w:val="24"/>
          <w:szCs w:val="24"/>
          <w:lang w:val="en-US"/>
        </w:rPr>
        <w:t xml:space="preserve"> confounding, </w:t>
      </w:r>
      <w:r w:rsidR="000A16BF" w:rsidRPr="007B140B">
        <w:rPr>
          <w:rFonts w:ascii="Times New Roman" w:hAnsi="Times New Roman" w:cs="Times New Roman"/>
          <w:iCs/>
          <w:color w:val="000000" w:themeColor="text1"/>
          <w:sz w:val="24"/>
          <w:szCs w:val="24"/>
          <w:lang w:val="en-US"/>
        </w:rPr>
        <w:t>r</w:t>
      </w:r>
      <w:r w:rsidR="002F0375" w:rsidRPr="007B140B">
        <w:rPr>
          <w:rFonts w:ascii="Times New Roman" w:hAnsi="Times New Roman" w:cs="Times New Roman"/>
          <w:iCs/>
          <w:color w:val="000000" w:themeColor="text1"/>
          <w:sz w:val="24"/>
          <w:szCs w:val="24"/>
          <w:lang w:val="en-US"/>
        </w:rPr>
        <w:t xml:space="preserve">egression analyses will be adjusted </w:t>
      </w:r>
      <w:r w:rsidR="00745335" w:rsidRPr="007B140B">
        <w:rPr>
          <w:rFonts w:ascii="Times New Roman" w:hAnsi="Times New Roman" w:cs="Times New Roman"/>
          <w:iCs/>
          <w:color w:val="000000" w:themeColor="text1"/>
          <w:sz w:val="24"/>
          <w:szCs w:val="24"/>
          <w:lang w:val="en-US"/>
        </w:rPr>
        <w:t>for</w:t>
      </w:r>
      <w:r w:rsidR="00DE319C" w:rsidRPr="007B140B">
        <w:rPr>
          <w:rFonts w:ascii="Times New Roman" w:hAnsi="Times New Roman" w:cs="Times New Roman"/>
          <w:iCs/>
          <w:color w:val="000000" w:themeColor="text1"/>
          <w:sz w:val="24"/>
          <w:szCs w:val="24"/>
          <w:lang w:val="en-US"/>
        </w:rPr>
        <w:t xml:space="preserve"> the following</w:t>
      </w:r>
      <w:r w:rsidR="000A16BF" w:rsidRPr="007B140B">
        <w:rPr>
          <w:rFonts w:ascii="Times New Roman" w:hAnsi="Times New Roman" w:cs="Times New Roman"/>
          <w:iCs/>
          <w:color w:val="000000" w:themeColor="text1"/>
          <w:sz w:val="24"/>
          <w:szCs w:val="24"/>
          <w:lang w:val="en-US"/>
        </w:rPr>
        <w:t xml:space="preserve"> baseline covariates</w:t>
      </w:r>
      <w:r w:rsidR="00DE319C" w:rsidRPr="007B140B">
        <w:rPr>
          <w:rFonts w:ascii="Times New Roman" w:hAnsi="Times New Roman" w:cs="Times New Roman"/>
          <w:iCs/>
          <w:color w:val="000000" w:themeColor="text1"/>
          <w:sz w:val="24"/>
          <w:szCs w:val="24"/>
          <w:lang w:val="en-US"/>
        </w:rPr>
        <w:t>:</w:t>
      </w:r>
      <w:r w:rsidR="000A16BF" w:rsidRPr="007B140B">
        <w:rPr>
          <w:rFonts w:ascii="Times New Roman" w:hAnsi="Times New Roman" w:cs="Times New Roman"/>
          <w:iCs/>
          <w:color w:val="000000" w:themeColor="text1"/>
          <w:sz w:val="24"/>
          <w:szCs w:val="24"/>
          <w:lang w:val="en-US"/>
        </w:rPr>
        <w:t xml:space="preserve"> </w:t>
      </w:r>
      <w:r w:rsidR="00A21F54" w:rsidRPr="007B140B">
        <w:rPr>
          <w:rFonts w:ascii="Times New Roman" w:hAnsi="Times New Roman" w:cs="Times New Roman"/>
          <w:sz w:val="24"/>
          <w:szCs w:val="24"/>
          <w:lang w:val="en-US"/>
        </w:rPr>
        <w:t xml:space="preserve"> age, sex, </w:t>
      </w:r>
      <w:r w:rsidR="00745335" w:rsidRPr="007B140B">
        <w:rPr>
          <w:rFonts w:ascii="Times New Roman" w:hAnsi="Times New Roman" w:cs="Times New Roman"/>
          <w:sz w:val="24"/>
          <w:szCs w:val="24"/>
          <w:lang w:val="en-US"/>
        </w:rPr>
        <w:t>BMI</w:t>
      </w:r>
      <w:r w:rsidR="00A21F54" w:rsidRPr="007B140B">
        <w:rPr>
          <w:rFonts w:ascii="Times New Roman" w:hAnsi="Times New Roman" w:cs="Times New Roman"/>
          <w:sz w:val="24"/>
          <w:szCs w:val="24"/>
          <w:lang w:val="en-US"/>
        </w:rPr>
        <w:t xml:space="preserve">, </w:t>
      </w:r>
      <w:r w:rsidR="00DE319C" w:rsidRPr="007B140B">
        <w:rPr>
          <w:rFonts w:ascii="Times New Roman" w:hAnsi="Times New Roman" w:cs="Times New Roman"/>
          <w:sz w:val="24"/>
          <w:szCs w:val="24"/>
          <w:lang w:val="en-US"/>
        </w:rPr>
        <w:t xml:space="preserve">time since fragility fracture, and </w:t>
      </w:r>
      <w:r w:rsidR="00A21F54" w:rsidRPr="007B140B">
        <w:rPr>
          <w:rFonts w:ascii="Times New Roman" w:hAnsi="Times New Roman" w:cs="Times New Roman"/>
          <w:sz w:val="24"/>
          <w:szCs w:val="24"/>
          <w:lang w:val="en-US"/>
        </w:rPr>
        <w:t>site of fragility fracture (</w:t>
      </w:r>
      <w:r w:rsidR="00D564DF">
        <w:rPr>
          <w:rFonts w:ascii="Times New Roman" w:hAnsi="Times New Roman" w:cs="Times New Roman"/>
          <w:sz w:val="24"/>
          <w:szCs w:val="24"/>
          <w:lang w:val="en-US"/>
        </w:rPr>
        <w:t>femur excluding hip, shoulder/upper arm, pelvis, ribs/sternum/bony thorax, lower leg, or forearm</w:t>
      </w:r>
      <w:r w:rsidR="00DE319C" w:rsidRPr="007B140B">
        <w:rPr>
          <w:rFonts w:ascii="Times New Roman" w:hAnsi="Times New Roman" w:cs="Times New Roman"/>
          <w:sz w:val="24"/>
          <w:szCs w:val="24"/>
          <w:lang w:val="en-US"/>
        </w:rPr>
        <w:t>)</w:t>
      </w:r>
      <w:r w:rsidR="002F0375" w:rsidRPr="007B140B">
        <w:rPr>
          <w:rFonts w:ascii="Times New Roman" w:hAnsi="Times New Roman" w:cs="Times New Roman"/>
          <w:iCs/>
          <w:color w:val="000000" w:themeColor="text1"/>
          <w:sz w:val="24"/>
          <w:szCs w:val="24"/>
          <w:lang w:val="en-US"/>
        </w:rPr>
        <w:t xml:space="preserve">. </w:t>
      </w:r>
      <w:r w:rsidR="004E42C7" w:rsidRPr="007B140B">
        <w:rPr>
          <w:rFonts w:ascii="Times New Roman" w:hAnsi="Times New Roman" w:cs="Times New Roman"/>
          <w:iCs/>
          <w:color w:val="000000" w:themeColor="text1"/>
          <w:sz w:val="24"/>
          <w:szCs w:val="24"/>
          <w:lang w:val="en-US"/>
        </w:rPr>
        <w:t xml:space="preserve">Second, the efficacy analysis will be rerun </w:t>
      </w:r>
      <w:r w:rsidR="00170F99" w:rsidRPr="007B140B">
        <w:rPr>
          <w:rFonts w:ascii="Times New Roman" w:hAnsi="Times New Roman" w:cs="Times New Roman"/>
          <w:iCs/>
          <w:color w:val="000000" w:themeColor="text1"/>
          <w:sz w:val="24"/>
          <w:szCs w:val="24"/>
          <w:lang w:val="en-US"/>
        </w:rPr>
        <w:t xml:space="preserve">in </w:t>
      </w:r>
      <w:r w:rsidR="00136A26" w:rsidRPr="007B140B">
        <w:rPr>
          <w:rFonts w:ascii="Times New Roman" w:hAnsi="Times New Roman" w:cs="Times New Roman"/>
          <w:iCs/>
          <w:color w:val="000000" w:themeColor="text1"/>
          <w:sz w:val="24"/>
          <w:szCs w:val="24"/>
          <w:lang w:val="en-US"/>
        </w:rPr>
        <w:t>a</w:t>
      </w:r>
      <w:r w:rsidR="00210AD8" w:rsidRPr="007B140B">
        <w:rPr>
          <w:rFonts w:ascii="Times New Roman" w:hAnsi="Times New Roman" w:cs="Times New Roman"/>
          <w:iCs/>
          <w:color w:val="000000" w:themeColor="text1"/>
          <w:sz w:val="24"/>
          <w:szCs w:val="24"/>
          <w:lang w:val="en-US"/>
        </w:rPr>
        <w:t xml:space="preserve"> per-protocol population (i.e., participants</w:t>
      </w:r>
      <w:r w:rsidR="004E42C7" w:rsidRPr="007B140B">
        <w:rPr>
          <w:rFonts w:ascii="Times New Roman" w:hAnsi="Times New Roman" w:cs="Times New Roman"/>
          <w:iCs/>
          <w:color w:val="000000" w:themeColor="text1"/>
          <w:sz w:val="24"/>
          <w:szCs w:val="24"/>
          <w:lang w:val="en-US"/>
        </w:rPr>
        <w:t xml:space="preserve"> </w:t>
      </w:r>
      <w:r w:rsidR="00210AD8" w:rsidRPr="007B140B">
        <w:rPr>
          <w:rFonts w:ascii="Times New Roman" w:hAnsi="Times New Roman" w:cs="Times New Roman"/>
          <w:iCs/>
          <w:color w:val="000000" w:themeColor="text1"/>
          <w:sz w:val="24"/>
          <w:szCs w:val="24"/>
          <w:lang w:val="en-US"/>
        </w:rPr>
        <w:t>who</w:t>
      </w:r>
      <w:r w:rsidR="00594892" w:rsidRPr="007B140B">
        <w:rPr>
          <w:rFonts w:ascii="Times New Roman" w:hAnsi="Times New Roman" w:cs="Times New Roman"/>
          <w:iCs/>
          <w:color w:val="000000" w:themeColor="text1"/>
          <w:sz w:val="24"/>
          <w:szCs w:val="24"/>
          <w:lang w:val="en-US"/>
        </w:rPr>
        <w:t xml:space="preserve"> </w:t>
      </w:r>
      <w:r w:rsidR="0046038E" w:rsidRPr="007B140B">
        <w:rPr>
          <w:rFonts w:ascii="Times New Roman" w:hAnsi="Times New Roman" w:cs="Times New Roman"/>
          <w:iCs/>
          <w:color w:val="000000" w:themeColor="text1"/>
          <w:sz w:val="24"/>
          <w:szCs w:val="24"/>
          <w:lang w:val="en-US"/>
        </w:rPr>
        <w:t xml:space="preserve">met all eligibility criteria, </w:t>
      </w:r>
      <w:r w:rsidR="00C07D44">
        <w:rPr>
          <w:rFonts w:ascii="Times New Roman" w:hAnsi="Times New Roman" w:cs="Times New Roman"/>
          <w:iCs/>
          <w:color w:val="000000" w:themeColor="text1"/>
          <w:sz w:val="24"/>
          <w:szCs w:val="24"/>
          <w:lang w:val="en-US"/>
        </w:rPr>
        <w:t xml:space="preserve">either </w:t>
      </w:r>
      <w:r w:rsidR="0046038E" w:rsidRPr="007B140B">
        <w:rPr>
          <w:rFonts w:ascii="Times New Roman" w:hAnsi="Times New Roman" w:cs="Times New Roman"/>
          <w:iCs/>
          <w:color w:val="000000" w:themeColor="text1"/>
          <w:sz w:val="24"/>
          <w:szCs w:val="24"/>
          <w:lang w:val="en-US"/>
        </w:rPr>
        <w:t xml:space="preserve">died or completed follow-up, and were </w:t>
      </w:r>
      <w:r w:rsidR="001D36A8">
        <w:rPr>
          <w:rFonts w:ascii="Times New Roman" w:hAnsi="Times New Roman" w:cs="Times New Roman"/>
          <w:iCs/>
          <w:color w:val="000000" w:themeColor="text1"/>
          <w:sz w:val="24"/>
          <w:szCs w:val="24"/>
          <w:lang w:val="en-US"/>
        </w:rPr>
        <w:t xml:space="preserve">both </w:t>
      </w:r>
      <w:r w:rsidR="0046038E" w:rsidRPr="007B140B">
        <w:rPr>
          <w:rFonts w:ascii="Times New Roman" w:hAnsi="Times New Roman" w:cs="Times New Roman"/>
          <w:iCs/>
          <w:color w:val="000000" w:themeColor="text1"/>
          <w:sz w:val="24"/>
          <w:szCs w:val="24"/>
          <w:lang w:val="en-US"/>
        </w:rPr>
        <w:t xml:space="preserve">qualified to receive and did receive </w:t>
      </w:r>
      <w:r w:rsidR="00561D3D" w:rsidRPr="007B140B">
        <w:rPr>
          <w:rFonts w:ascii="Times New Roman" w:hAnsi="Times New Roman" w:cs="Times New Roman"/>
          <w:iCs/>
          <w:color w:val="000000" w:themeColor="text1"/>
          <w:sz w:val="24"/>
          <w:szCs w:val="24"/>
          <w:lang w:val="en-US"/>
        </w:rPr>
        <w:t>the 2</w:t>
      </w:r>
      <w:r w:rsidR="0046038E" w:rsidRPr="007B140B">
        <w:rPr>
          <w:rFonts w:ascii="Times New Roman" w:hAnsi="Times New Roman" w:cs="Times New Roman"/>
          <w:iCs/>
          <w:color w:val="000000" w:themeColor="text1"/>
          <w:sz w:val="24"/>
          <w:szCs w:val="24"/>
          <w:lang w:val="en-US"/>
        </w:rPr>
        <w:t xml:space="preserve"> assigned infusions</w:t>
      </w:r>
      <w:r w:rsidR="00971385" w:rsidRPr="007B140B">
        <w:rPr>
          <w:rFonts w:ascii="Times New Roman" w:hAnsi="Times New Roman" w:cs="Times New Roman"/>
          <w:iCs/>
          <w:color w:val="000000" w:themeColor="text1"/>
          <w:sz w:val="24"/>
          <w:szCs w:val="24"/>
          <w:lang w:val="en-US"/>
        </w:rPr>
        <w:t xml:space="preserve">). Third, efficacy </w:t>
      </w:r>
      <w:r w:rsidR="00982F09" w:rsidRPr="007B140B">
        <w:rPr>
          <w:rFonts w:ascii="Times New Roman" w:hAnsi="Times New Roman" w:cs="Times New Roman"/>
          <w:iCs/>
          <w:color w:val="000000" w:themeColor="text1"/>
          <w:sz w:val="24"/>
          <w:szCs w:val="24"/>
          <w:lang w:val="en-US"/>
        </w:rPr>
        <w:t>concerning</w:t>
      </w:r>
      <w:r w:rsidR="00971385" w:rsidRPr="007B140B">
        <w:rPr>
          <w:rFonts w:ascii="Times New Roman" w:hAnsi="Times New Roman" w:cs="Times New Roman"/>
          <w:iCs/>
          <w:color w:val="000000" w:themeColor="text1"/>
          <w:sz w:val="24"/>
          <w:szCs w:val="24"/>
          <w:lang w:val="en-US"/>
        </w:rPr>
        <w:t xml:space="preserve"> time-to-event outcomes will be analyzed using </w:t>
      </w:r>
      <w:r w:rsidR="00306BC7" w:rsidRPr="007B140B">
        <w:rPr>
          <w:rFonts w:ascii="Times New Roman" w:hAnsi="Times New Roman" w:cs="Times New Roman"/>
          <w:iCs/>
          <w:color w:val="000000" w:themeColor="text1"/>
          <w:sz w:val="24"/>
          <w:szCs w:val="24"/>
          <w:lang w:val="en-US"/>
        </w:rPr>
        <w:t xml:space="preserve">the Andersen-Gill </w:t>
      </w:r>
      <w:r w:rsidR="00971385" w:rsidRPr="007B140B">
        <w:rPr>
          <w:rFonts w:ascii="Times New Roman" w:hAnsi="Times New Roman" w:cs="Times New Roman"/>
          <w:iCs/>
          <w:color w:val="000000" w:themeColor="text1"/>
          <w:sz w:val="24"/>
          <w:szCs w:val="24"/>
          <w:lang w:val="en-US"/>
        </w:rPr>
        <w:t xml:space="preserve">Cox </w:t>
      </w:r>
      <w:r w:rsidR="00306BC7" w:rsidRPr="007B140B">
        <w:rPr>
          <w:rFonts w:ascii="Times New Roman" w:hAnsi="Times New Roman" w:cs="Times New Roman"/>
          <w:iCs/>
          <w:color w:val="000000" w:themeColor="text1"/>
          <w:sz w:val="24"/>
          <w:szCs w:val="24"/>
          <w:lang w:val="en-US"/>
        </w:rPr>
        <w:t>model</w:t>
      </w:r>
      <w:r w:rsidR="00971385" w:rsidRPr="007B140B">
        <w:rPr>
          <w:rFonts w:ascii="Times New Roman" w:hAnsi="Times New Roman" w:cs="Times New Roman"/>
          <w:iCs/>
          <w:color w:val="000000" w:themeColor="text1"/>
          <w:sz w:val="24"/>
          <w:szCs w:val="24"/>
          <w:lang w:val="en-US"/>
        </w:rPr>
        <w:t xml:space="preserve"> for recurrent events</w:t>
      </w:r>
      <w:r w:rsidR="00F21B38">
        <w:rPr>
          <w:rFonts w:ascii="Times New Roman" w:hAnsi="Times New Roman" w:cs="Times New Roman"/>
          <w:iCs/>
          <w:color w:val="000000" w:themeColor="text1"/>
          <w:sz w:val="24"/>
          <w:szCs w:val="24"/>
          <w:lang w:val="en-US"/>
        </w:rPr>
        <w:t>,</w:t>
      </w:r>
      <w:r w:rsidR="00A21F54" w:rsidRPr="007B140B">
        <w:rPr>
          <w:rFonts w:ascii="Times New Roman" w:hAnsi="Times New Roman" w:cs="Times New Roman"/>
          <w:iCs/>
          <w:color w:val="000000" w:themeColor="text1"/>
          <w:sz w:val="24"/>
          <w:szCs w:val="24"/>
          <w:lang w:val="en-US"/>
        </w:rPr>
        <w:fldChar w:fldCharType="begin" w:fldLock="1"/>
      </w:r>
      <w:r w:rsidR="00E85D18">
        <w:rPr>
          <w:rFonts w:ascii="Times New Roman" w:hAnsi="Times New Roman" w:cs="Times New Roman"/>
          <w:iCs/>
          <w:color w:val="000000" w:themeColor="text1"/>
          <w:sz w:val="24"/>
          <w:szCs w:val="24"/>
          <w:lang w:val="en-US"/>
        </w:rPr>
        <w:instrText>ADDIN CSL_CITATION {"citationItems":[{"id":"ITEM-1","itemData":{"author":[{"dropping-particle":"","family":"Hosmer","given":"D W","non-dropping-particle":"","parse-names":false,"suffix":""},{"dropping-particle":"","family":"Lemeshow","given":"S","non-dropping-particle":"","parse-names":false,"suffix":""},{"dropping-particle":"","family":"May","given":"S","non-dropping-particle":"","parse-names":false,"suffix":""}],"edition":"2","id":"ITEM-1","issued":{"date-parts":[["2008"]]},"number-of-pages":"1-416","publisher":"Wiley-Interscience","publisher-place":"Hoboken","title":"Applied survival analysis: regression modeling of time-to-event data","type":"book"},"uris":["http://www.mendeley.com/documents/?uuid=3c537023-750a-4f28-9e97-bba80b061425"]}],"mendeley":{"formattedCitation":"&lt;sup&gt;&lt;sup&gt;62&lt;/sup&gt;&lt;/sup&gt;","plainTextFormattedCitation":"62","previouslyFormattedCitation":"&lt;sup&gt;&lt;sup&gt;63&lt;/sup&gt;&lt;/sup&gt;"},"properties":{"noteIndex":0},"schema":"https://github.com/citation-style-language/schema/raw/master/csl-citation.json"}</w:instrText>
      </w:r>
      <w:r w:rsidR="00A21F54" w:rsidRPr="007B140B">
        <w:rPr>
          <w:rFonts w:ascii="Times New Roman" w:hAnsi="Times New Roman" w:cs="Times New Roman"/>
          <w:iCs/>
          <w:color w:val="000000" w:themeColor="text1"/>
          <w:sz w:val="24"/>
          <w:szCs w:val="24"/>
          <w:lang w:val="en-US"/>
        </w:rPr>
        <w:fldChar w:fldCharType="separate"/>
      </w:r>
      <w:r w:rsidR="00E85D18" w:rsidRPr="00E85D18">
        <w:rPr>
          <w:rFonts w:ascii="Times New Roman" w:hAnsi="Times New Roman" w:cs="Times New Roman"/>
          <w:iCs/>
          <w:noProof/>
          <w:color w:val="000000" w:themeColor="text1"/>
          <w:sz w:val="24"/>
          <w:szCs w:val="24"/>
          <w:vertAlign w:val="superscript"/>
          <w:lang w:val="en-US"/>
        </w:rPr>
        <w:t>62</w:t>
      </w:r>
      <w:r w:rsidR="00A21F54" w:rsidRPr="007B140B">
        <w:rPr>
          <w:rFonts w:ascii="Times New Roman" w:hAnsi="Times New Roman" w:cs="Times New Roman"/>
          <w:iCs/>
          <w:color w:val="000000" w:themeColor="text1"/>
          <w:sz w:val="24"/>
          <w:szCs w:val="24"/>
          <w:lang w:val="en-US"/>
        </w:rPr>
        <w:fldChar w:fldCharType="end"/>
      </w:r>
      <w:r w:rsidR="00F21B38">
        <w:rPr>
          <w:rFonts w:ascii="Times New Roman" w:hAnsi="Times New Roman" w:cs="Times New Roman"/>
          <w:iCs/>
          <w:color w:val="000000" w:themeColor="text1"/>
          <w:sz w:val="24"/>
          <w:szCs w:val="24"/>
          <w:lang w:val="en-US"/>
        </w:rPr>
        <w:t xml:space="preserve"> with stratification by study center.</w:t>
      </w:r>
      <w:r w:rsidR="00062A23" w:rsidRPr="007B140B">
        <w:rPr>
          <w:rFonts w:ascii="Times New Roman" w:hAnsi="Times New Roman" w:cs="Times New Roman"/>
          <w:iCs/>
          <w:color w:val="000000" w:themeColor="text1"/>
          <w:sz w:val="24"/>
          <w:szCs w:val="24"/>
          <w:lang w:val="en-US"/>
        </w:rPr>
        <w:t xml:space="preserve"> Fourth,</w:t>
      </w:r>
      <w:r w:rsidR="005248E2" w:rsidRPr="007B140B">
        <w:rPr>
          <w:rFonts w:ascii="Times New Roman" w:hAnsi="Times New Roman" w:cs="Times New Roman"/>
          <w:iCs/>
          <w:color w:val="000000" w:themeColor="text1"/>
          <w:sz w:val="24"/>
          <w:szCs w:val="24"/>
          <w:lang w:val="en-US"/>
        </w:rPr>
        <w:t xml:space="preserve"> </w:t>
      </w:r>
      <w:r w:rsidR="00372CB8" w:rsidRPr="007B140B">
        <w:rPr>
          <w:rFonts w:ascii="Times New Roman" w:hAnsi="Times New Roman" w:cs="Times New Roman"/>
          <w:iCs/>
          <w:color w:val="000000" w:themeColor="text1"/>
          <w:sz w:val="24"/>
          <w:szCs w:val="24"/>
          <w:lang w:val="en-US"/>
        </w:rPr>
        <w:t>in the analysis</w:t>
      </w:r>
      <w:r w:rsidR="00316F79" w:rsidRPr="007B140B">
        <w:rPr>
          <w:rFonts w:ascii="Times New Roman" w:hAnsi="Times New Roman" w:cs="Times New Roman"/>
          <w:iCs/>
          <w:color w:val="000000" w:themeColor="text1"/>
          <w:sz w:val="24"/>
          <w:szCs w:val="24"/>
          <w:lang w:val="en-US"/>
        </w:rPr>
        <w:t xml:space="preserve"> of the primary outcome</w:t>
      </w:r>
      <w:r w:rsidR="00372CB8" w:rsidRPr="007B140B">
        <w:rPr>
          <w:rFonts w:ascii="Times New Roman" w:hAnsi="Times New Roman" w:cs="Times New Roman"/>
          <w:iCs/>
          <w:color w:val="000000" w:themeColor="text1"/>
          <w:sz w:val="24"/>
          <w:szCs w:val="24"/>
          <w:lang w:val="en-US"/>
        </w:rPr>
        <w:t xml:space="preserve">, the </w:t>
      </w:r>
      <w:r w:rsidR="002753A9" w:rsidRPr="007B140B">
        <w:rPr>
          <w:rFonts w:ascii="Times New Roman" w:hAnsi="Times New Roman" w:cs="Times New Roman"/>
          <w:iCs/>
          <w:color w:val="000000" w:themeColor="text1"/>
          <w:sz w:val="24"/>
          <w:szCs w:val="24"/>
          <w:lang w:val="en-US"/>
        </w:rPr>
        <w:t>potential effect</w:t>
      </w:r>
      <w:r w:rsidR="00372CB8" w:rsidRPr="007B140B">
        <w:rPr>
          <w:rFonts w:ascii="Times New Roman" w:hAnsi="Times New Roman" w:cs="Times New Roman"/>
          <w:iCs/>
          <w:color w:val="000000" w:themeColor="text1"/>
          <w:sz w:val="24"/>
          <w:szCs w:val="24"/>
          <w:lang w:val="en-US"/>
        </w:rPr>
        <w:t xml:space="preserve"> of informative censoring (</w:t>
      </w:r>
      <w:r w:rsidR="00841BE7" w:rsidRPr="007B140B">
        <w:rPr>
          <w:rFonts w:ascii="Times New Roman" w:hAnsi="Times New Roman" w:cs="Times New Roman"/>
          <w:iCs/>
          <w:color w:val="000000" w:themeColor="text1"/>
          <w:sz w:val="24"/>
          <w:szCs w:val="24"/>
          <w:lang w:val="en-US"/>
        </w:rPr>
        <w:t>including the competing risk of death</w:t>
      </w:r>
      <w:r w:rsidR="00372CB8" w:rsidRPr="007B140B">
        <w:rPr>
          <w:rFonts w:ascii="Times New Roman" w:hAnsi="Times New Roman" w:cs="Times New Roman"/>
          <w:iCs/>
          <w:color w:val="000000" w:themeColor="text1"/>
          <w:sz w:val="24"/>
          <w:szCs w:val="24"/>
          <w:lang w:val="en-US"/>
        </w:rPr>
        <w:t>) will be assessed by rerunning</w:t>
      </w:r>
      <w:r w:rsidR="00054850" w:rsidRPr="007B140B">
        <w:rPr>
          <w:rFonts w:ascii="Times New Roman" w:hAnsi="Times New Roman" w:cs="Times New Roman"/>
          <w:iCs/>
          <w:color w:val="000000" w:themeColor="text1"/>
          <w:sz w:val="24"/>
          <w:szCs w:val="24"/>
          <w:lang w:val="en-US"/>
        </w:rPr>
        <w:t xml:space="preserve"> </w:t>
      </w:r>
      <w:r w:rsidR="00D11604" w:rsidRPr="007B140B">
        <w:rPr>
          <w:rFonts w:ascii="Times New Roman" w:hAnsi="Times New Roman" w:cs="Times New Roman"/>
          <w:iCs/>
          <w:color w:val="000000" w:themeColor="text1"/>
          <w:sz w:val="24"/>
          <w:szCs w:val="24"/>
          <w:lang w:val="en-US"/>
        </w:rPr>
        <w:t>Cox model</w:t>
      </w:r>
      <w:r w:rsidR="00054850" w:rsidRPr="007B140B">
        <w:rPr>
          <w:rFonts w:ascii="Times New Roman" w:hAnsi="Times New Roman" w:cs="Times New Roman"/>
          <w:iCs/>
          <w:color w:val="000000" w:themeColor="text1"/>
          <w:sz w:val="24"/>
          <w:szCs w:val="24"/>
          <w:lang w:val="en-US"/>
        </w:rPr>
        <w:t>s</w:t>
      </w:r>
      <w:r w:rsidR="00372CB8" w:rsidRPr="007B140B">
        <w:rPr>
          <w:rFonts w:ascii="Times New Roman" w:hAnsi="Times New Roman" w:cs="Times New Roman"/>
          <w:iCs/>
          <w:color w:val="000000" w:themeColor="text1"/>
          <w:sz w:val="24"/>
          <w:szCs w:val="24"/>
          <w:lang w:val="en-US"/>
        </w:rPr>
        <w:t xml:space="preserve"> under t</w:t>
      </w:r>
      <w:r w:rsidR="005248E2" w:rsidRPr="007B140B">
        <w:rPr>
          <w:rFonts w:ascii="Times New Roman" w:hAnsi="Times New Roman" w:cs="Times New Roman"/>
          <w:iCs/>
          <w:color w:val="000000" w:themeColor="text1"/>
          <w:sz w:val="24"/>
          <w:szCs w:val="24"/>
          <w:lang w:val="en-US"/>
        </w:rPr>
        <w:t xml:space="preserve">he extreme </w:t>
      </w:r>
      <w:r w:rsidR="002166C5" w:rsidRPr="007B140B">
        <w:rPr>
          <w:rFonts w:ascii="Times New Roman" w:hAnsi="Times New Roman" w:cs="Times New Roman"/>
          <w:iCs/>
          <w:color w:val="000000" w:themeColor="text1"/>
          <w:sz w:val="24"/>
          <w:szCs w:val="24"/>
          <w:lang w:val="en-US"/>
        </w:rPr>
        <w:t>scenario</w:t>
      </w:r>
      <w:r w:rsidR="00982F09" w:rsidRPr="007B140B">
        <w:rPr>
          <w:rFonts w:ascii="Times New Roman" w:hAnsi="Times New Roman" w:cs="Times New Roman"/>
          <w:iCs/>
          <w:color w:val="000000" w:themeColor="text1"/>
          <w:sz w:val="24"/>
          <w:szCs w:val="24"/>
          <w:lang w:val="en-US"/>
        </w:rPr>
        <w:t>s</w:t>
      </w:r>
      <w:r w:rsidR="005248E2" w:rsidRPr="007B140B">
        <w:rPr>
          <w:rFonts w:ascii="Times New Roman" w:hAnsi="Times New Roman" w:cs="Times New Roman"/>
          <w:iCs/>
          <w:color w:val="000000" w:themeColor="text1"/>
          <w:sz w:val="24"/>
          <w:szCs w:val="24"/>
          <w:lang w:val="en-US"/>
        </w:rPr>
        <w:t xml:space="preserve"> that all participants who </w:t>
      </w:r>
      <w:r w:rsidR="007C009B" w:rsidRPr="007B140B">
        <w:rPr>
          <w:rFonts w:ascii="Times New Roman" w:hAnsi="Times New Roman" w:cs="Times New Roman"/>
          <w:iCs/>
          <w:color w:val="000000" w:themeColor="text1"/>
          <w:sz w:val="24"/>
          <w:szCs w:val="24"/>
          <w:lang w:val="en-US"/>
        </w:rPr>
        <w:t>did not complete</w:t>
      </w:r>
      <w:r w:rsidR="00C00024" w:rsidRPr="007B140B">
        <w:rPr>
          <w:rFonts w:ascii="Times New Roman" w:hAnsi="Times New Roman" w:cs="Times New Roman"/>
          <w:iCs/>
          <w:color w:val="000000" w:themeColor="text1"/>
          <w:sz w:val="24"/>
          <w:szCs w:val="24"/>
          <w:lang w:val="en-US"/>
        </w:rPr>
        <w:t xml:space="preserve"> follow-up </w:t>
      </w:r>
      <w:r w:rsidR="00982F09" w:rsidRPr="007B140B">
        <w:rPr>
          <w:rFonts w:ascii="Times New Roman" w:hAnsi="Times New Roman" w:cs="Times New Roman"/>
          <w:iCs/>
          <w:color w:val="000000" w:themeColor="text1"/>
          <w:sz w:val="24"/>
          <w:szCs w:val="24"/>
          <w:lang w:val="en-US"/>
        </w:rPr>
        <w:t xml:space="preserve">either (1) </w:t>
      </w:r>
      <w:r w:rsidR="00E625B6" w:rsidRPr="007B140B">
        <w:rPr>
          <w:rFonts w:ascii="Times New Roman" w:hAnsi="Times New Roman" w:cs="Times New Roman"/>
          <w:iCs/>
          <w:color w:val="000000" w:themeColor="text1"/>
          <w:sz w:val="24"/>
          <w:szCs w:val="24"/>
          <w:lang w:val="en-US"/>
        </w:rPr>
        <w:t xml:space="preserve">sustained a fracture </w:t>
      </w:r>
      <w:r w:rsidR="007C009B" w:rsidRPr="007B140B">
        <w:rPr>
          <w:rFonts w:ascii="Times New Roman" w:hAnsi="Times New Roman" w:cs="Times New Roman"/>
          <w:iCs/>
          <w:color w:val="000000" w:themeColor="text1"/>
          <w:sz w:val="24"/>
          <w:szCs w:val="24"/>
          <w:lang w:val="en-US"/>
        </w:rPr>
        <w:t>at the time of censoring</w:t>
      </w:r>
      <w:r w:rsidR="0083418D" w:rsidRPr="007B140B">
        <w:rPr>
          <w:rFonts w:ascii="Times New Roman" w:hAnsi="Times New Roman" w:cs="Times New Roman"/>
          <w:iCs/>
          <w:color w:val="000000" w:themeColor="text1"/>
          <w:sz w:val="24"/>
          <w:szCs w:val="24"/>
          <w:lang w:val="en-US"/>
        </w:rPr>
        <w:t xml:space="preserve"> (i.e., were at high risk of fracture)</w:t>
      </w:r>
      <w:r w:rsidR="007C009B" w:rsidRPr="007B140B">
        <w:rPr>
          <w:rFonts w:ascii="Times New Roman" w:hAnsi="Times New Roman" w:cs="Times New Roman"/>
          <w:iCs/>
          <w:color w:val="000000" w:themeColor="text1"/>
          <w:sz w:val="24"/>
          <w:szCs w:val="24"/>
          <w:lang w:val="en-US"/>
        </w:rPr>
        <w:t xml:space="preserve"> </w:t>
      </w:r>
      <w:r w:rsidR="005248E2" w:rsidRPr="007B140B">
        <w:rPr>
          <w:rFonts w:ascii="Times New Roman" w:hAnsi="Times New Roman" w:cs="Times New Roman"/>
          <w:iCs/>
          <w:color w:val="000000" w:themeColor="text1"/>
          <w:sz w:val="24"/>
          <w:szCs w:val="24"/>
          <w:lang w:val="en-US"/>
        </w:rPr>
        <w:t>or (2) had complete follow-up with no event</w:t>
      </w:r>
      <w:r w:rsidR="0083418D" w:rsidRPr="007B140B">
        <w:rPr>
          <w:rFonts w:ascii="Times New Roman" w:hAnsi="Times New Roman" w:cs="Times New Roman"/>
          <w:iCs/>
          <w:color w:val="000000" w:themeColor="text1"/>
          <w:sz w:val="24"/>
          <w:szCs w:val="24"/>
          <w:lang w:val="en-US"/>
        </w:rPr>
        <w:t xml:space="preserve"> (i.e., were at low risk of fracture)</w:t>
      </w:r>
      <w:r w:rsidR="005248E2" w:rsidRPr="007B140B">
        <w:rPr>
          <w:rFonts w:ascii="Times New Roman" w:hAnsi="Times New Roman" w:cs="Times New Roman"/>
          <w:iCs/>
          <w:color w:val="000000" w:themeColor="text1"/>
          <w:sz w:val="24"/>
          <w:szCs w:val="24"/>
          <w:lang w:val="en-US"/>
        </w:rPr>
        <w:t>.</w:t>
      </w:r>
      <w:r w:rsidR="007F0908" w:rsidRPr="007B140B">
        <w:rPr>
          <w:rFonts w:ascii="Times New Roman" w:hAnsi="Times New Roman" w:cs="Times New Roman"/>
          <w:iCs/>
          <w:color w:val="000000" w:themeColor="text1"/>
          <w:sz w:val="24"/>
          <w:szCs w:val="24"/>
          <w:lang w:val="en-US"/>
        </w:rPr>
        <w:fldChar w:fldCharType="begin" w:fldLock="1"/>
      </w:r>
      <w:r w:rsidR="008D4E94">
        <w:rPr>
          <w:rFonts w:ascii="Times New Roman" w:hAnsi="Times New Roman" w:cs="Times New Roman"/>
          <w:iCs/>
          <w:color w:val="000000" w:themeColor="text1"/>
          <w:sz w:val="24"/>
          <w:szCs w:val="24"/>
          <w:lang w:val="en-US"/>
        </w:rPr>
        <w:instrText>ADDIN CSL_CITATION {"citationItems":[{"id":"ITEM-1","itemData":{"ISBN":"9780387239187","author":[{"dropping-particle":"","family":"Kleinbaum","given":"D","non-dropping-particle":"","parse-names":false,"suffix":""},{"dropping-particle":"","family":"Klien","given":"M","non-dropping-particle":"","parse-names":false,"suffix":""}],"id":"ITEM-1","issued":{"date-parts":[["2005"]]},"publisher":"Springer","publisher-place":"New York","title":"Survival analysis: a self-learning text","type":"book"},"uris":["http://www.mendeley.com/documents/?uuid=ea8b81e2-ed3d-48bb-b830-41d555a70e88"]}],"mendeley":{"formattedCitation":"&lt;sup&gt;&lt;sup&gt;58&lt;/sup&gt;&lt;/sup&gt;","plainTextFormattedCitation":"58","previouslyFormattedCitation":"&lt;sup&gt;&lt;sup&gt;58&lt;/sup&gt;&lt;/sup&gt;"},"properties":{"noteIndex":0},"schema":"https://github.com/citation-style-language/schema/raw/master/csl-citation.json"}</w:instrText>
      </w:r>
      <w:r w:rsidR="007F0908" w:rsidRPr="007B140B">
        <w:rPr>
          <w:rFonts w:ascii="Times New Roman" w:hAnsi="Times New Roman" w:cs="Times New Roman"/>
          <w:iCs/>
          <w:color w:val="000000" w:themeColor="text1"/>
          <w:sz w:val="24"/>
          <w:szCs w:val="24"/>
          <w:lang w:val="en-US"/>
        </w:rPr>
        <w:fldChar w:fldCharType="separate"/>
      </w:r>
      <w:r w:rsidR="003B34FA" w:rsidRPr="003B34FA">
        <w:rPr>
          <w:rFonts w:ascii="Times New Roman" w:hAnsi="Times New Roman" w:cs="Times New Roman"/>
          <w:iCs/>
          <w:noProof/>
          <w:color w:val="000000" w:themeColor="text1"/>
          <w:sz w:val="24"/>
          <w:szCs w:val="24"/>
          <w:vertAlign w:val="superscript"/>
          <w:lang w:val="en-US"/>
        </w:rPr>
        <w:t>58</w:t>
      </w:r>
      <w:r w:rsidR="007F0908" w:rsidRPr="007B140B">
        <w:rPr>
          <w:rFonts w:ascii="Times New Roman" w:hAnsi="Times New Roman" w:cs="Times New Roman"/>
          <w:iCs/>
          <w:color w:val="000000" w:themeColor="text1"/>
          <w:sz w:val="24"/>
          <w:szCs w:val="24"/>
          <w:lang w:val="en-US"/>
        </w:rPr>
        <w:fldChar w:fldCharType="end"/>
      </w:r>
      <w:r w:rsidR="005248E2" w:rsidRPr="007B140B">
        <w:rPr>
          <w:rFonts w:ascii="Times New Roman" w:hAnsi="Times New Roman" w:cs="Times New Roman"/>
          <w:iCs/>
          <w:color w:val="000000" w:themeColor="text1"/>
          <w:sz w:val="24"/>
          <w:szCs w:val="24"/>
          <w:lang w:val="en-US"/>
        </w:rPr>
        <w:t xml:space="preserve"> </w:t>
      </w:r>
      <w:r w:rsidR="00715FF4" w:rsidRPr="007B140B">
        <w:rPr>
          <w:rFonts w:ascii="Times New Roman" w:hAnsi="Times New Roman" w:cs="Times New Roman"/>
          <w:iCs/>
          <w:color w:val="000000" w:themeColor="text1"/>
          <w:sz w:val="24"/>
          <w:szCs w:val="24"/>
          <w:lang w:val="en-US"/>
        </w:rPr>
        <w:t xml:space="preserve">Fifth, participants with a history of cancer at baseline will be excluded from the </w:t>
      </w:r>
      <w:r w:rsidR="0030483A" w:rsidRPr="007B140B">
        <w:rPr>
          <w:rFonts w:ascii="Times New Roman" w:hAnsi="Times New Roman" w:cs="Times New Roman"/>
          <w:iCs/>
          <w:color w:val="000000" w:themeColor="text1"/>
          <w:sz w:val="24"/>
          <w:szCs w:val="24"/>
          <w:lang w:val="en-US"/>
        </w:rPr>
        <w:t xml:space="preserve">efficacy </w:t>
      </w:r>
      <w:r w:rsidR="00715FF4" w:rsidRPr="007B140B">
        <w:rPr>
          <w:rFonts w:ascii="Times New Roman" w:hAnsi="Times New Roman" w:cs="Times New Roman"/>
          <w:iCs/>
          <w:color w:val="000000" w:themeColor="text1"/>
          <w:sz w:val="24"/>
          <w:szCs w:val="24"/>
          <w:lang w:val="en-US"/>
        </w:rPr>
        <w:t>analysis of new cancers diagnosed during follow-up.</w:t>
      </w:r>
      <w:r w:rsidR="001D36A8">
        <w:rPr>
          <w:rFonts w:ascii="Times New Roman" w:hAnsi="Times New Roman" w:cs="Times New Roman"/>
          <w:iCs/>
          <w:color w:val="000000" w:themeColor="text1"/>
          <w:sz w:val="24"/>
          <w:szCs w:val="24"/>
          <w:lang w:val="en-US"/>
        </w:rPr>
        <w:t xml:space="preserve"> The same will be done for cardiovascular disease.</w:t>
      </w:r>
      <w:r w:rsidRPr="007B140B">
        <w:rPr>
          <w:rFonts w:ascii="Times New Roman" w:hAnsi="Times New Roman" w:cs="Times New Roman"/>
          <w:iCs/>
          <w:color w:val="000000" w:themeColor="text1"/>
          <w:sz w:val="24"/>
          <w:szCs w:val="24"/>
          <w:lang w:val="en-US"/>
        </w:rPr>
        <w:t xml:space="preserve"> Sixth,</w:t>
      </w:r>
      <w:r w:rsidR="005E7045">
        <w:rPr>
          <w:rFonts w:ascii="Times New Roman" w:hAnsi="Times New Roman" w:cs="Times New Roman"/>
          <w:iCs/>
          <w:color w:val="000000" w:themeColor="text1"/>
          <w:sz w:val="24"/>
          <w:szCs w:val="24"/>
          <w:lang w:val="en-US"/>
        </w:rPr>
        <w:t xml:space="preserve"> fractures </w:t>
      </w:r>
      <w:r w:rsidRPr="007B140B">
        <w:rPr>
          <w:rFonts w:ascii="Times New Roman" w:hAnsi="Times New Roman" w:cs="Times New Roman"/>
          <w:iCs/>
          <w:color w:val="000000" w:themeColor="text1"/>
          <w:sz w:val="24"/>
          <w:szCs w:val="24"/>
          <w:lang w:val="en-US"/>
        </w:rPr>
        <w:t xml:space="preserve">not verified by medical records will be included </w:t>
      </w:r>
      <w:r w:rsidR="00EF6C4E" w:rsidRPr="007B140B">
        <w:rPr>
          <w:rFonts w:ascii="Times New Roman" w:hAnsi="Times New Roman" w:cs="Times New Roman"/>
          <w:iCs/>
          <w:color w:val="000000" w:themeColor="text1"/>
          <w:sz w:val="24"/>
          <w:szCs w:val="24"/>
          <w:lang w:val="en-US"/>
        </w:rPr>
        <w:t xml:space="preserve">in </w:t>
      </w:r>
      <w:r w:rsidRPr="007B140B">
        <w:rPr>
          <w:rFonts w:ascii="Times New Roman" w:hAnsi="Times New Roman" w:cs="Times New Roman"/>
          <w:iCs/>
          <w:color w:val="000000" w:themeColor="text1"/>
          <w:sz w:val="24"/>
          <w:szCs w:val="24"/>
          <w:lang w:val="en-US"/>
        </w:rPr>
        <w:t>the efficacy analyses.</w:t>
      </w:r>
      <w:r w:rsidR="00715FF4" w:rsidRPr="007B140B">
        <w:rPr>
          <w:rFonts w:ascii="Times New Roman" w:hAnsi="Times New Roman" w:cs="Times New Roman"/>
          <w:iCs/>
          <w:color w:val="000000" w:themeColor="text1"/>
          <w:sz w:val="24"/>
          <w:szCs w:val="24"/>
          <w:lang w:val="en-US"/>
        </w:rPr>
        <w:t xml:space="preserve"> </w:t>
      </w:r>
    </w:p>
    <w:p w14:paraId="770A2149" w14:textId="778F8622" w:rsidR="002F0375" w:rsidRPr="007B140B" w:rsidRDefault="00512223" w:rsidP="00AE696A">
      <w:pPr>
        <w:spacing w:after="0" w:line="259" w:lineRule="auto"/>
        <w:rPr>
          <w:rFonts w:ascii="Times New Roman" w:hAnsi="Times New Roman" w:cs="Times New Roman"/>
          <w:iCs/>
          <w:color w:val="000000" w:themeColor="text1"/>
          <w:sz w:val="24"/>
          <w:szCs w:val="24"/>
          <w:lang w:val="en-US"/>
        </w:rPr>
      </w:pPr>
      <w:r w:rsidRPr="007B140B">
        <w:rPr>
          <w:rFonts w:ascii="Times New Roman" w:hAnsi="Times New Roman" w:cs="Times New Roman"/>
          <w:iCs/>
          <w:color w:val="000000" w:themeColor="text1"/>
          <w:sz w:val="24"/>
          <w:szCs w:val="24"/>
          <w:lang w:val="en-US"/>
        </w:rPr>
        <w:t>T</w:t>
      </w:r>
      <w:r w:rsidRPr="007B140B">
        <w:rPr>
          <w:rFonts w:ascii="Times New Roman" w:hAnsi="Times New Roman" w:cs="Times New Roman"/>
          <w:sz w:val="24"/>
          <w:szCs w:val="24"/>
          <w:lang w:val="en-US"/>
        </w:rPr>
        <w:t>o asses</w:t>
      </w:r>
      <w:r w:rsidR="00C71640" w:rsidRPr="007B140B">
        <w:rPr>
          <w:rFonts w:ascii="Times New Roman" w:hAnsi="Times New Roman" w:cs="Times New Roman"/>
          <w:sz w:val="24"/>
          <w:szCs w:val="24"/>
          <w:lang w:val="en-US"/>
        </w:rPr>
        <w:t>s</w:t>
      </w:r>
      <w:r w:rsidRPr="007B140B">
        <w:rPr>
          <w:rFonts w:ascii="Times New Roman" w:hAnsi="Times New Roman" w:cs="Times New Roman"/>
          <w:sz w:val="24"/>
          <w:szCs w:val="24"/>
          <w:lang w:val="en-US"/>
        </w:rPr>
        <w:t xml:space="preserve"> </w:t>
      </w:r>
      <w:r w:rsidR="00340638">
        <w:rPr>
          <w:rFonts w:ascii="Times New Roman" w:hAnsi="Times New Roman" w:cs="Times New Roman"/>
          <w:sz w:val="24"/>
          <w:szCs w:val="24"/>
          <w:lang w:val="en-US"/>
        </w:rPr>
        <w:t xml:space="preserve">the </w:t>
      </w:r>
      <w:r w:rsidR="009B49F6" w:rsidRPr="007B140B">
        <w:rPr>
          <w:rFonts w:ascii="Times New Roman" w:hAnsi="Times New Roman" w:cs="Times New Roman"/>
          <w:sz w:val="24"/>
          <w:szCs w:val="24"/>
          <w:lang w:val="en-US"/>
        </w:rPr>
        <w:t>time-to-</w:t>
      </w:r>
      <w:r w:rsidRPr="007B140B">
        <w:rPr>
          <w:rFonts w:ascii="Times New Roman" w:hAnsi="Times New Roman" w:cs="Times New Roman"/>
          <w:sz w:val="24"/>
          <w:szCs w:val="24"/>
          <w:lang w:val="en-US"/>
        </w:rPr>
        <w:t xml:space="preserve">onset of </w:t>
      </w:r>
      <w:r w:rsidR="00340638">
        <w:rPr>
          <w:rFonts w:ascii="Times New Roman" w:hAnsi="Times New Roman" w:cs="Times New Roman"/>
          <w:sz w:val="24"/>
          <w:szCs w:val="24"/>
          <w:lang w:val="en-US"/>
        </w:rPr>
        <w:t xml:space="preserve">treatment </w:t>
      </w:r>
      <w:r w:rsidRPr="007B140B">
        <w:rPr>
          <w:rFonts w:ascii="Times New Roman" w:hAnsi="Times New Roman" w:cs="Times New Roman"/>
          <w:sz w:val="24"/>
          <w:szCs w:val="24"/>
          <w:lang w:val="en-US"/>
        </w:rPr>
        <w:t>effect</w:t>
      </w:r>
      <w:r w:rsidR="005D188D" w:rsidRPr="007B140B">
        <w:rPr>
          <w:rFonts w:ascii="Times New Roman" w:hAnsi="Times New Roman" w:cs="Times New Roman"/>
          <w:sz w:val="24"/>
          <w:szCs w:val="24"/>
          <w:lang w:val="en-US"/>
        </w:rPr>
        <w:t xml:space="preserve"> on the primary outcome</w:t>
      </w:r>
      <w:r w:rsidRPr="007B140B">
        <w:rPr>
          <w:rFonts w:ascii="Times New Roman" w:hAnsi="Times New Roman" w:cs="Times New Roman"/>
          <w:sz w:val="24"/>
          <w:szCs w:val="24"/>
          <w:lang w:val="en-US"/>
        </w:rPr>
        <w:t xml:space="preserve">, Kaplan-Meier </w:t>
      </w:r>
      <w:r w:rsidR="00CA56B2" w:rsidRPr="007B140B">
        <w:rPr>
          <w:rFonts w:ascii="Times New Roman" w:hAnsi="Times New Roman" w:cs="Times New Roman"/>
          <w:sz w:val="24"/>
          <w:szCs w:val="24"/>
          <w:lang w:val="en-US"/>
        </w:rPr>
        <w:t xml:space="preserve">curves will be compared using the </w:t>
      </w:r>
      <w:r w:rsidR="00AB554D">
        <w:rPr>
          <w:rFonts w:ascii="Times New Roman" w:hAnsi="Times New Roman" w:cs="Times New Roman"/>
          <w:sz w:val="24"/>
          <w:szCs w:val="24"/>
          <w:lang w:val="en-US"/>
        </w:rPr>
        <w:t xml:space="preserve">center-stratified </w:t>
      </w:r>
      <w:r w:rsidR="00CA56B2" w:rsidRPr="007B140B">
        <w:rPr>
          <w:rFonts w:ascii="Times New Roman" w:hAnsi="Times New Roman" w:cs="Times New Roman"/>
          <w:sz w:val="24"/>
          <w:szCs w:val="24"/>
          <w:lang w:val="en-US"/>
        </w:rPr>
        <w:t>log-rank test with</w:t>
      </w:r>
      <w:r w:rsidR="00340638">
        <w:rPr>
          <w:rFonts w:ascii="Times New Roman" w:hAnsi="Times New Roman" w:cs="Times New Roman"/>
          <w:sz w:val="24"/>
          <w:szCs w:val="24"/>
          <w:lang w:val="en-US"/>
        </w:rPr>
        <w:t xml:space="preserve"> </w:t>
      </w:r>
      <w:r w:rsidR="00CA56B2" w:rsidRPr="007B140B">
        <w:rPr>
          <w:rFonts w:ascii="Times New Roman" w:hAnsi="Times New Roman" w:cs="Times New Roman"/>
          <w:sz w:val="24"/>
          <w:szCs w:val="24"/>
          <w:lang w:val="en-US"/>
        </w:rPr>
        <w:t>censoring a</w:t>
      </w:r>
      <w:r w:rsidR="00916B26">
        <w:rPr>
          <w:rFonts w:ascii="Times New Roman" w:hAnsi="Times New Roman" w:cs="Times New Roman"/>
          <w:sz w:val="24"/>
          <w:szCs w:val="24"/>
          <w:lang w:val="en-US"/>
        </w:rPr>
        <w:t>t</w:t>
      </w:r>
      <w:r w:rsidR="00CA56B2" w:rsidRPr="007B140B">
        <w:rPr>
          <w:rFonts w:ascii="Times New Roman" w:hAnsi="Times New Roman" w:cs="Times New Roman"/>
          <w:sz w:val="24"/>
          <w:szCs w:val="24"/>
          <w:lang w:val="en-US"/>
        </w:rPr>
        <w:t xml:space="preserve"> month</w:t>
      </w:r>
      <w:r w:rsidR="00916B26">
        <w:rPr>
          <w:rFonts w:ascii="Times New Roman" w:hAnsi="Times New Roman" w:cs="Times New Roman"/>
          <w:sz w:val="24"/>
          <w:szCs w:val="24"/>
          <w:lang w:val="en-US"/>
        </w:rPr>
        <w:t>s</w:t>
      </w:r>
      <w:r w:rsidR="00CA56B2" w:rsidRPr="007B140B">
        <w:rPr>
          <w:rFonts w:ascii="Times New Roman" w:hAnsi="Times New Roman" w:cs="Times New Roman"/>
          <w:sz w:val="24"/>
          <w:szCs w:val="24"/>
          <w:lang w:val="en-US"/>
        </w:rPr>
        <w:t xml:space="preserve"> 48, 42, 36, and so on until month 6. </w:t>
      </w:r>
      <w:r w:rsidR="005D188D" w:rsidRPr="007B140B">
        <w:rPr>
          <w:rFonts w:ascii="Times New Roman" w:hAnsi="Times New Roman" w:cs="Times New Roman"/>
          <w:sz w:val="24"/>
          <w:szCs w:val="24"/>
          <w:lang w:val="en-US"/>
        </w:rPr>
        <w:t>To avoid the problem of multiple testing, a fixed-s</w:t>
      </w:r>
      <w:r w:rsidR="009B49F6" w:rsidRPr="007B140B">
        <w:rPr>
          <w:rFonts w:ascii="Times New Roman" w:hAnsi="Times New Roman" w:cs="Times New Roman"/>
          <w:sz w:val="24"/>
          <w:szCs w:val="24"/>
          <w:lang w:val="en-US"/>
        </w:rPr>
        <w:t xml:space="preserve">equence procedure will be used in which </w:t>
      </w:r>
      <w:r w:rsidR="005D188D" w:rsidRPr="007B140B">
        <w:rPr>
          <w:rFonts w:ascii="Times New Roman" w:hAnsi="Times New Roman" w:cs="Times New Roman"/>
          <w:sz w:val="24"/>
          <w:szCs w:val="24"/>
          <w:lang w:val="en-US"/>
        </w:rPr>
        <w:t xml:space="preserve">the test will </w:t>
      </w:r>
      <w:r w:rsidR="00C71640" w:rsidRPr="007B140B">
        <w:rPr>
          <w:rFonts w:ascii="Times New Roman" w:hAnsi="Times New Roman" w:cs="Times New Roman"/>
          <w:sz w:val="24"/>
          <w:szCs w:val="24"/>
          <w:lang w:val="en-US"/>
        </w:rPr>
        <w:t xml:space="preserve">first </w:t>
      </w:r>
      <w:r w:rsidR="005D188D" w:rsidRPr="007B140B">
        <w:rPr>
          <w:rFonts w:ascii="Times New Roman" w:hAnsi="Times New Roman" w:cs="Times New Roman"/>
          <w:sz w:val="24"/>
          <w:szCs w:val="24"/>
          <w:lang w:val="en-US"/>
        </w:rPr>
        <w:t>be</w:t>
      </w:r>
      <w:r w:rsidR="00CC3A3A" w:rsidRPr="007B140B">
        <w:rPr>
          <w:rFonts w:ascii="Times New Roman" w:hAnsi="Times New Roman" w:cs="Times New Roman"/>
          <w:sz w:val="24"/>
          <w:szCs w:val="24"/>
          <w:lang w:val="en-US"/>
        </w:rPr>
        <w:t xml:space="preserve"> performed</w:t>
      </w:r>
      <w:r w:rsidR="005D188D" w:rsidRPr="007B140B">
        <w:rPr>
          <w:rFonts w:ascii="Times New Roman" w:hAnsi="Times New Roman" w:cs="Times New Roman"/>
          <w:sz w:val="24"/>
          <w:szCs w:val="24"/>
          <w:lang w:val="en-US"/>
        </w:rPr>
        <w:t xml:space="preserve"> </w:t>
      </w:r>
      <w:r w:rsidR="00CC3A3A" w:rsidRPr="007B140B">
        <w:rPr>
          <w:rFonts w:ascii="Times New Roman" w:hAnsi="Times New Roman" w:cs="Times New Roman"/>
          <w:sz w:val="24"/>
          <w:szCs w:val="24"/>
          <w:lang w:val="en-US"/>
        </w:rPr>
        <w:t>for risk at</w:t>
      </w:r>
      <w:r w:rsidR="009B49F6" w:rsidRPr="007B140B">
        <w:rPr>
          <w:rFonts w:ascii="Times New Roman" w:hAnsi="Times New Roman" w:cs="Times New Roman"/>
          <w:sz w:val="24"/>
          <w:szCs w:val="24"/>
          <w:lang w:val="en-US"/>
        </w:rPr>
        <w:t xml:space="preserve"> month 48, then </w:t>
      </w:r>
      <w:r w:rsidR="005D188D" w:rsidRPr="007B140B">
        <w:rPr>
          <w:rFonts w:ascii="Times New Roman" w:hAnsi="Times New Roman" w:cs="Times New Roman"/>
          <w:sz w:val="24"/>
          <w:szCs w:val="24"/>
          <w:lang w:val="en-US"/>
        </w:rPr>
        <w:t xml:space="preserve">at </w:t>
      </w:r>
      <w:r w:rsidR="009B49F6" w:rsidRPr="007B140B">
        <w:rPr>
          <w:rFonts w:ascii="Times New Roman" w:hAnsi="Times New Roman" w:cs="Times New Roman"/>
          <w:sz w:val="24"/>
          <w:szCs w:val="24"/>
          <w:lang w:val="en-US"/>
        </w:rPr>
        <w:t>month</w:t>
      </w:r>
      <w:r w:rsidR="00C71640" w:rsidRPr="007B140B">
        <w:rPr>
          <w:rFonts w:ascii="Times New Roman" w:hAnsi="Times New Roman" w:cs="Times New Roman"/>
          <w:sz w:val="24"/>
          <w:szCs w:val="24"/>
          <w:lang w:val="en-US"/>
        </w:rPr>
        <w:t xml:space="preserve"> </w:t>
      </w:r>
      <w:r w:rsidR="005D188D" w:rsidRPr="007B140B">
        <w:rPr>
          <w:rFonts w:ascii="Times New Roman" w:hAnsi="Times New Roman" w:cs="Times New Roman"/>
          <w:sz w:val="24"/>
          <w:szCs w:val="24"/>
          <w:lang w:val="en-US"/>
        </w:rPr>
        <w:t xml:space="preserve">42, </w:t>
      </w:r>
      <w:r w:rsidR="00CC3A3A" w:rsidRPr="007B140B">
        <w:rPr>
          <w:rFonts w:ascii="Times New Roman" w:hAnsi="Times New Roman" w:cs="Times New Roman"/>
          <w:sz w:val="24"/>
          <w:szCs w:val="24"/>
          <w:lang w:val="en-US"/>
        </w:rPr>
        <w:t>and so on</w:t>
      </w:r>
      <w:r w:rsidR="00CC5F57" w:rsidRPr="007B140B">
        <w:rPr>
          <w:rFonts w:ascii="Times New Roman" w:hAnsi="Times New Roman" w:cs="Times New Roman"/>
          <w:sz w:val="24"/>
          <w:szCs w:val="24"/>
          <w:lang w:val="en-US"/>
        </w:rPr>
        <w:t xml:space="preserve"> until month 6.</w:t>
      </w:r>
      <w:r w:rsidR="00CC5F57" w:rsidRPr="007B140B">
        <w:rPr>
          <w:rFonts w:ascii="Times New Roman" w:hAnsi="Times New Roman" w:cs="Times New Roman"/>
          <w:sz w:val="24"/>
          <w:szCs w:val="24"/>
          <w:lang w:val="en-US"/>
        </w:rPr>
        <w:fldChar w:fldCharType="begin" w:fldLock="1"/>
      </w:r>
      <w:r w:rsidR="00E85D18">
        <w:rPr>
          <w:rFonts w:ascii="Times New Roman" w:hAnsi="Times New Roman" w:cs="Times New Roman"/>
          <w:sz w:val="24"/>
          <w:szCs w:val="24"/>
          <w:lang w:val="en-US"/>
        </w:rPr>
        <w:instrText>ADDIN CSL_CITATION {"citationItems":[{"id":"ITEM-1","itemData":{"author":[{"dropping-particle":"","family":"U.S Department of Health and Human Services","given":"","non-dropping-particle":"","parse-names":false,"suffix":""}],"id":"ITEM-1","issued":{"date-parts":[["2017"]]},"number-of-pages":"1-57","publisher-place":"Silver Spring","title":"Multiple endpoints in clinical trials: guidance for industry","type":"book"},"uris":["http://www.mendeley.com/documents/?uuid=011e56f9-0562-409b-9f1d-421a0801a007"]}],"mendeley":{"formattedCitation":"&lt;sup&gt;&lt;sup&gt;63&lt;/sup&gt;&lt;/sup&gt;","plainTextFormattedCitation":"63","previouslyFormattedCitation":"&lt;sup&gt;&lt;sup&gt;64&lt;/sup&gt;&lt;/sup&gt;"},"properties":{"noteIndex":0},"schema":"https://github.com/citation-style-language/schema/raw/master/csl-citation.json"}</w:instrText>
      </w:r>
      <w:r w:rsidR="00CC5F57" w:rsidRPr="007B140B">
        <w:rPr>
          <w:rFonts w:ascii="Times New Roman" w:hAnsi="Times New Roman" w:cs="Times New Roman"/>
          <w:sz w:val="24"/>
          <w:szCs w:val="24"/>
          <w:lang w:val="en-US"/>
        </w:rPr>
        <w:fldChar w:fldCharType="separate"/>
      </w:r>
      <w:r w:rsidR="00E85D18" w:rsidRPr="00E85D18">
        <w:rPr>
          <w:rFonts w:ascii="Times New Roman" w:hAnsi="Times New Roman" w:cs="Times New Roman"/>
          <w:noProof/>
          <w:sz w:val="24"/>
          <w:szCs w:val="24"/>
          <w:vertAlign w:val="superscript"/>
          <w:lang w:val="en-US"/>
        </w:rPr>
        <w:t>63</w:t>
      </w:r>
      <w:r w:rsidR="00CC5F57" w:rsidRPr="007B140B">
        <w:rPr>
          <w:rFonts w:ascii="Times New Roman" w:hAnsi="Times New Roman" w:cs="Times New Roman"/>
          <w:sz w:val="24"/>
          <w:szCs w:val="24"/>
          <w:lang w:val="en-US"/>
        </w:rPr>
        <w:fldChar w:fldCharType="end"/>
      </w:r>
      <w:r w:rsidR="00CC5F57" w:rsidRPr="007B140B">
        <w:rPr>
          <w:rFonts w:ascii="Times New Roman" w:hAnsi="Times New Roman" w:cs="Times New Roman"/>
          <w:sz w:val="24"/>
          <w:szCs w:val="24"/>
          <w:lang w:val="en-US"/>
        </w:rPr>
        <w:t xml:space="preserve"> If a p-value ≥0.05 is obtained, the results </w:t>
      </w:r>
      <w:r w:rsidR="00916B26">
        <w:rPr>
          <w:rFonts w:ascii="Times New Roman" w:hAnsi="Times New Roman" w:cs="Times New Roman"/>
          <w:sz w:val="24"/>
          <w:szCs w:val="24"/>
          <w:lang w:val="en-US"/>
        </w:rPr>
        <w:t xml:space="preserve">of </w:t>
      </w:r>
      <w:r w:rsidR="00CC5F57" w:rsidRPr="007B140B">
        <w:rPr>
          <w:rFonts w:ascii="Times New Roman" w:hAnsi="Times New Roman" w:cs="Times New Roman"/>
          <w:sz w:val="24"/>
          <w:szCs w:val="24"/>
          <w:lang w:val="en-US"/>
        </w:rPr>
        <w:t>all subsequent tests will be considered non-significant.</w:t>
      </w:r>
      <w:r w:rsidR="005D188D" w:rsidRPr="007B140B">
        <w:rPr>
          <w:rFonts w:ascii="Times New Roman" w:hAnsi="Times New Roman" w:cs="Times New Roman"/>
          <w:sz w:val="24"/>
          <w:szCs w:val="24"/>
          <w:lang w:val="en-US"/>
        </w:rPr>
        <w:t xml:space="preserve"> </w:t>
      </w:r>
      <w:r w:rsidR="00C71640" w:rsidRPr="007B140B">
        <w:rPr>
          <w:rFonts w:ascii="Times New Roman" w:hAnsi="Times New Roman" w:cs="Times New Roman"/>
          <w:sz w:val="24"/>
          <w:szCs w:val="24"/>
          <w:lang w:val="en-US"/>
        </w:rPr>
        <w:t xml:space="preserve">Similarly, </w:t>
      </w:r>
      <w:r w:rsidR="00AB554D">
        <w:rPr>
          <w:rFonts w:ascii="Times New Roman" w:hAnsi="Times New Roman" w:cs="Times New Roman"/>
          <w:sz w:val="24"/>
          <w:szCs w:val="24"/>
          <w:lang w:val="en-US"/>
        </w:rPr>
        <w:t xml:space="preserve">center-stratified </w:t>
      </w:r>
      <w:r w:rsidR="00B25BC7" w:rsidRPr="007B140B">
        <w:rPr>
          <w:rFonts w:ascii="Times New Roman" w:hAnsi="Times New Roman" w:cs="Times New Roman"/>
          <w:sz w:val="24"/>
          <w:szCs w:val="24"/>
          <w:lang w:val="en-US"/>
        </w:rPr>
        <w:t xml:space="preserve">Cox </w:t>
      </w:r>
      <w:r w:rsidR="005170A0">
        <w:rPr>
          <w:rFonts w:ascii="Times New Roman" w:hAnsi="Times New Roman" w:cs="Times New Roman"/>
          <w:sz w:val="24"/>
          <w:szCs w:val="24"/>
          <w:lang w:val="en-US"/>
        </w:rPr>
        <w:t>models</w:t>
      </w:r>
      <w:r w:rsidR="005170A0" w:rsidRPr="007B140B">
        <w:rPr>
          <w:rFonts w:ascii="Times New Roman" w:hAnsi="Times New Roman" w:cs="Times New Roman"/>
          <w:sz w:val="24"/>
          <w:szCs w:val="24"/>
          <w:lang w:val="en-US"/>
        </w:rPr>
        <w:t xml:space="preserve"> </w:t>
      </w:r>
      <w:r w:rsidR="00B25BC7" w:rsidRPr="007B140B">
        <w:rPr>
          <w:rFonts w:ascii="Times New Roman" w:hAnsi="Times New Roman" w:cs="Times New Roman"/>
          <w:sz w:val="24"/>
          <w:szCs w:val="24"/>
          <w:lang w:val="en-US"/>
        </w:rPr>
        <w:t>will be used to estimate ha</w:t>
      </w:r>
      <w:r w:rsidR="005D188D" w:rsidRPr="007B140B">
        <w:rPr>
          <w:rFonts w:ascii="Times New Roman" w:hAnsi="Times New Roman" w:cs="Times New Roman"/>
          <w:sz w:val="24"/>
          <w:szCs w:val="24"/>
          <w:lang w:val="en-US"/>
        </w:rPr>
        <w:t>zard ratios</w:t>
      </w:r>
      <w:r w:rsidR="00C71640" w:rsidRPr="007B140B">
        <w:rPr>
          <w:rFonts w:ascii="Times New Roman" w:hAnsi="Times New Roman" w:cs="Times New Roman"/>
          <w:sz w:val="24"/>
          <w:szCs w:val="24"/>
          <w:lang w:val="en-US"/>
        </w:rPr>
        <w:t xml:space="preserve"> </w:t>
      </w:r>
      <w:r w:rsidR="00962FDD" w:rsidRPr="007B140B">
        <w:rPr>
          <w:rFonts w:ascii="Times New Roman" w:hAnsi="Times New Roman" w:cs="Times New Roman"/>
          <w:sz w:val="24"/>
          <w:szCs w:val="24"/>
          <w:lang w:val="en-US"/>
        </w:rPr>
        <w:t>and 95% confidence intervals</w:t>
      </w:r>
      <w:r w:rsidR="00982F09" w:rsidRPr="007B140B">
        <w:rPr>
          <w:rFonts w:ascii="Times New Roman" w:hAnsi="Times New Roman" w:cs="Times New Roman"/>
          <w:sz w:val="24"/>
          <w:szCs w:val="24"/>
          <w:lang w:val="en-US"/>
        </w:rPr>
        <w:t>,</w:t>
      </w:r>
      <w:r w:rsidR="00962FDD" w:rsidRPr="007B140B">
        <w:rPr>
          <w:rFonts w:ascii="Times New Roman" w:hAnsi="Times New Roman" w:cs="Times New Roman"/>
          <w:sz w:val="24"/>
          <w:szCs w:val="24"/>
          <w:lang w:val="en-US"/>
        </w:rPr>
        <w:t xml:space="preserve"> </w:t>
      </w:r>
      <w:r w:rsidR="00B25BC7" w:rsidRPr="007B140B">
        <w:rPr>
          <w:rFonts w:ascii="Times New Roman" w:hAnsi="Times New Roman" w:cs="Times New Roman"/>
          <w:sz w:val="24"/>
          <w:szCs w:val="24"/>
          <w:lang w:val="en-US"/>
        </w:rPr>
        <w:t>with</w:t>
      </w:r>
      <w:r w:rsidR="001D36A8">
        <w:rPr>
          <w:rFonts w:ascii="Times New Roman" w:hAnsi="Times New Roman" w:cs="Times New Roman"/>
          <w:sz w:val="24"/>
          <w:szCs w:val="24"/>
          <w:lang w:val="en-US"/>
        </w:rPr>
        <w:t xml:space="preserve"> administrative</w:t>
      </w:r>
      <w:r w:rsidR="00B25BC7" w:rsidRPr="007B140B">
        <w:rPr>
          <w:rFonts w:ascii="Times New Roman" w:hAnsi="Times New Roman" w:cs="Times New Roman"/>
          <w:sz w:val="24"/>
          <w:szCs w:val="24"/>
          <w:lang w:val="en-US"/>
        </w:rPr>
        <w:t xml:space="preserve"> censoring at </w:t>
      </w:r>
      <w:r w:rsidR="00C71640" w:rsidRPr="007B140B">
        <w:rPr>
          <w:rFonts w:ascii="Times New Roman" w:hAnsi="Times New Roman" w:cs="Times New Roman"/>
          <w:sz w:val="24"/>
          <w:szCs w:val="24"/>
          <w:lang w:val="en-US"/>
        </w:rPr>
        <w:t>month 48, 42,</w:t>
      </w:r>
      <w:r w:rsidR="005A6DA9" w:rsidRPr="007B140B">
        <w:rPr>
          <w:rFonts w:ascii="Times New Roman" w:hAnsi="Times New Roman" w:cs="Times New Roman"/>
          <w:sz w:val="24"/>
          <w:szCs w:val="24"/>
          <w:lang w:val="en-US"/>
        </w:rPr>
        <w:t xml:space="preserve"> </w:t>
      </w:r>
      <w:r w:rsidR="00C71640" w:rsidRPr="007B140B">
        <w:rPr>
          <w:rFonts w:ascii="Times New Roman" w:hAnsi="Times New Roman" w:cs="Times New Roman"/>
          <w:sz w:val="24"/>
          <w:szCs w:val="24"/>
          <w:lang w:val="en-US"/>
        </w:rPr>
        <w:t>and so on</w:t>
      </w:r>
      <w:r w:rsidR="00122299" w:rsidRPr="007B140B">
        <w:rPr>
          <w:rFonts w:ascii="Times New Roman" w:hAnsi="Times New Roman" w:cs="Times New Roman"/>
          <w:sz w:val="24"/>
          <w:szCs w:val="24"/>
          <w:lang w:val="en-US"/>
        </w:rPr>
        <w:t xml:space="preserve"> until month 6</w:t>
      </w:r>
      <w:r w:rsidR="00C219B6" w:rsidRPr="007B140B">
        <w:rPr>
          <w:rFonts w:ascii="Times New Roman" w:hAnsi="Times New Roman" w:cs="Times New Roman"/>
          <w:sz w:val="24"/>
          <w:szCs w:val="24"/>
          <w:lang w:val="en-US"/>
        </w:rPr>
        <w:t>.</w:t>
      </w:r>
    </w:p>
    <w:p w14:paraId="7276FF47" w14:textId="56972B66" w:rsidR="00560787" w:rsidRPr="007B140B" w:rsidRDefault="00560787" w:rsidP="00AE696A">
      <w:pPr>
        <w:spacing w:after="0" w:line="259" w:lineRule="auto"/>
        <w:rPr>
          <w:rFonts w:ascii="Times New Roman" w:hAnsi="Times New Roman" w:cs="Times New Roman"/>
          <w:sz w:val="24"/>
          <w:szCs w:val="24"/>
          <w:lang w:val="en-US"/>
        </w:rPr>
      </w:pPr>
    </w:p>
    <w:p w14:paraId="0068D8AD" w14:textId="783E810C" w:rsidR="00560787" w:rsidRPr="007B140B" w:rsidRDefault="00560787" w:rsidP="00D36611">
      <w:pPr>
        <w:pStyle w:val="Formatmall3"/>
        <w:rPr>
          <w:rFonts w:cs="Times New Roman"/>
          <w:lang w:val="en-US"/>
        </w:rPr>
      </w:pPr>
      <w:bookmarkStart w:id="96" w:name="_Toc99001435"/>
      <w:r w:rsidRPr="007B140B">
        <w:rPr>
          <w:rFonts w:cs="Times New Roman"/>
          <w:lang w:val="en-US"/>
        </w:rPr>
        <w:lastRenderedPageBreak/>
        <w:t>Interim analysis</w:t>
      </w:r>
      <w:bookmarkEnd w:id="96"/>
    </w:p>
    <w:p w14:paraId="07512D55" w14:textId="6CC00FE3" w:rsidR="00942B8C" w:rsidRPr="007B140B" w:rsidRDefault="00844D15" w:rsidP="00AE696A">
      <w:pPr>
        <w:spacing w:after="0" w:line="259" w:lineRule="auto"/>
        <w:rPr>
          <w:rFonts w:ascii="Times New Roman" w:hAnsi="Times New Roman" w:cs="Times New Roman"/>
          <w:iCs/>
          <w:color w:val="000000" w:themeColor="text1"/>
          <w:sz w:val="24"/>
          <w:szCs w:val="24"/>
          <w:lang w:val="en-US"/>
        </w:rPr>
      </w:pPr>
      <w:r w:rsidRPr="007B140B">
        <w:rPr>
          <w:rFonts w:ascii="Times New Roman" w:hAnsi="Times New Roman" w:cs="Times New Roman"/>
          <w:iCs/>
          <w:color w:val="000000" w:themeColor="text1"/>
          <w:sz w:val="24"/>
          <w:szCs w:val="24"/>
          <w:lang w:val="en-US"/>
        </w:rPr>
        <w:t>No interim analysis</w:t>
      </w:r>
      <w:r w:rsidR="00ED54BD" w:rsidRPr="007B140B">
        <w:rPr>
          <w:rFonts w:ascii="Times New Roman" w:hAnsi="Times New Roman" w:cs="Times New Roman"/>
          <w:iCs/>
          <w:color w:val="000000" w:themeColor="text1"/>
          <w:sz w:val="24"/>
          <w:szCs w:val="24"/>
          <w:lang w:val="en-US"/>
        </w:rPr>
        <w:t xml:space="preserve"> will be performed</w:t>
      </w:r>
      <w:r w:rsidRPr="007B140B">
        <w:rPr>
          <w:rFonts w:ascii="Times New Roman" w:hAnsi="Times New Roman" w:cs="Times New Roman"/>
          <w:iCs/>
          <w:color w:val="000000" w:themeColor="text1"/>
          <w:sz w:val="24"/>
          <w:szCs w:val="24"/>
          <w:lang w:val="en-US"/>
        </w:rPr>
        <w:t xml:space="preserve"> t</w:t>
      </w:r>
      <w:r w:rsidR="00B25961" w:rsidRPr="007B140B">
        <w:rPr>
          <w:rFonts w:ascii="Times New Roman" w:hAnsi="Times New Roman" w:cs="Times New Roman"/>
          <w:iCs/>
          <w:color w:val="000000" w:themeColor="text1"/>
          <w:sz w:val="24"/>
          <w:szCs w:val="24"/>
          <w:lang w:val="en-US"/>
        </w:rPr>
        <w:t>o determine</w:t>
      </w:r>
      <w:r w:rsidR="00560787" w:rsidRPr="007B140B">
        <w:rPr>
          <w:rFonts w:ascii="Times New Roman" w:hAnsi="Times New Roman" w:cs="Times New Roman"/>
          <w:iCs/>
          <w:color w:val="000000" w:themeColor="text1"/>
          <w:sz w:val="24"/>
          <w:szCs w:val="24"/>
          <w:lang w:val="en-US"/>
        </w:rPr>
        <w:t xml:space="preserve"> </w:t>
      </w:r>
      <w:r w:rsidR="006C27B8" w:rsidRPr="007B140B">
        <w:rPr>
          <w:rFonts w:ascii="Times New Roman" w:hAnsi="Times New Roman" w:cs="Times New Roman"/>
          <w:iCs/>
          <w:color w:val="000000" w:themeColor="text1"/>
          <w:sz w:val="24"/>
          <w:szCs w:val="24"/>
          <w:lang w:val="en-US"/>
        </w:rPr>
        <w:t>whether the t</w:t>
      </w:r>
      <w:r w:rsidR="00ED54BD" w:rsidRPr="007B140B">
        <w:rPr>
          <w:rFonts w:ascii="Times New Roman" w:hAnsi="Times New Roman" w:cs="Times New Roman"/>
          <w:iCs/>
          <w:color w:val="000000" w:themeColor="text1"/>
          <w:sz w:val="24"/>
          <w:szCs w:val="24"/>
          <w:lang w:val="en-US"/>
        </w:rPr>
        <w:t xml:space="preserve">rial should be terminated early. There are </w:t>
      </w:r>
      <w:r w:rsidR="005E50F6" w:rsidRPr="007B140B">
        <w:rPr>
          <w:rFonts w:ascii="Times New Roman" w:hAnsi="Times New Roman" w:cs="Times New Roman"/>
          <w:iCs/>
          <w:color w:val="000000" w:themeColor="text1"/>
          <w:sz w:val="24"/>
          <w:szCs w:val="24"/>
          <w:lang w:val="en-US"/>
        </w:rPr>
        <w:t>four</w:t>
      </w:r>
      <w:r w:rsidR="00B25961" w:rsidRPr="007B140B">
        <w:rPr>
          <w:rFonts w:ascii="Times New Roman" w:hAnsi="Times New Roman" w:cs="Times New Roman"/>
          <w:iCs/>
          <w:color w:val="000000" w:themeColor="text1"/>
          <w:sz w:val="24"/>
          <w:szCs w:val="24"/>
          <w:lang w:val="en-US"/>
        </w:rPr>
        <w:t xml:space="preserve"> reasons</w:t>
      </w:r>
      <w:r w:rsidR="00ED54BD" w:rsidRPr="007B140B">
        <w:rPr>
          <w:rFonts w:ascii="Times New Roman" w:hAnsi="Times New Roman" w:cs="Times New Roman"/>
          <w:iCs/>
          <w:color w:val="000000" w:themeColor="text1"/>
          <w:sz w:val="24"/>
          <w:szCs w:val="24"/>
          <w:lang w:val="en-US"/>
        </w:rPr>
        <w:t xml:space="preserve"> for this</w:t>
      </w:r>
      <w:r w:rsidR="005A1D05">
        <w:rPr>
          <w:rFonts w:ascii="Times New Roman" w:hAnsi="Times New Roman" w:cs="Times New Roman"/>
          <w:iCs/>
          <w:color w:val="000000" w:themeColor="text1"/>
          <w:sz w:val="24"/>
          <w:szCs w:val="24"/>
          <w:lang w:val="en-US"/>
        </w:rPr>
        <w:t xml:space="preserve"> choice</w:t>
      </w:r>
      <w:r w:rsidR="00FB6E15" w:rsidRPr="00FB6E15">
        <w:rPr>
          <w:rFonts w:ascii="Times New Roman" w:hAnsi="Times New Roman" w:cs="Times New Roman"/>
          <w:iCs/>
          <w:color w:val="000000" w:themeColor="text1"/>
          <w:sz w:val="24"/>
          <w:szCs w:val="24"/>
          <w:lang w:val="en-US"/>
        </w:rPr>
        <w:t xml:space="preserve"> </w:t>
      </w:r>
      <w:r w:rsidR="00FB6E15">
        <w:rPr>
          <w:rFonts w:ascii="Times New Roman" w:hAnsi="Times New Roman" w:cs="Times New Roman"/>
          <w:iCs/>
          <w:color w:val="000000" w:themeColor="text1"/>
          <w:sz w:val="24"/>
          <w:szCs w:val="24"/>
          <w:lang w:val="en-US"/>
        </w:rPr>
        <w:t>in design</w:t>
      </w:r>
      <w:r w:rsidR="00B25961" w:rsidRPr="007B140B">
        <w:rPr>
          <w:rFonts w:ascii="Times New Roman" w:hAnsi="Times New Roman" w:cs="Times New Roman"/>
          <w:iCs/>
          <w:color w:val="000000" w:themeColor="text1"/>
          <w:sz w:val="24"/>
          <w:szCs w:val="24"/>
          <w:lang w:val="en-US"/>
        </w:rPr>
        <w:t>. First</w:t>
      </w:r>
      <w:r w:rsidR="00560787" w:rsidRPr="007B140B">
        <w:rPr>
          <w:rFonts w:ascii="Times New Roman" w:hAnsi="Times New Roman" w:cs="Times New Roman"/>
          <w:iCs/>
          <w:color w:val="000000" w:themeColor="text1"/>
          <w:sz w:val="24"/>
          <w:szCs w:val="24"/>
          <w:lang w:val="en-US"/>
        </w:rPr>
        <w:t xml:space="preserve">, the risk of large safety concerns is low due to the fact that </w:t>
      </w:r>
      <w:r w:rsidR="002961E1" w:rsidRPr="007B140B">
        <w:rPr>
          <w:rFonts w:ascii="Times New Roman" w:hAnsi="Times New Roman" w:cs="Times New Roman"/>
          <w:iCs/>
          <w:color w:val="000000" w:themeColor="text1"/>
          <w:sz w:val="24"/>
          <w:szCs w:val="24"/>
          <w:lang w:val="en-US"/>
        </w:rPr>
        <w:t xml:space="preserve">the effects of </w:t>
      </w:r>
      <w:r w:rsidR="00555E07" w:rsidRPr="007B140B">
        <w:rPr>
          <w:rFonts w:ascii="Times New Roman" w:hAnsi="Times New Roman" w:cs="Times New Roman"/>
          <w:iCs/>
          <w:color w:val="000000" w:themeColor="text1"/>
          <w:sz w:val="24"/>
          <w:szCs w:val="24"/>
          <w:lang w:val="en-US"/>
        </w:rPr>
        <w:t>zoledronic acid have already</w:t>
      </w:r>
      <w:r w:rsidR="00560787" w:rsidRPr="007B140B">
        <w:rPr>
          <w:rFonts w:ascii="Times New Roman" w:hAnsi="Times New Roman" w:cs="Times New Roman"/>
          <w:iCs/>
          <w:color w:val="000000" w:themeColor="text1"/>
          <w:sz w:val="24"/>
          <w:szCs w:val="24"/>
          <w:lang w:val="en-US"/>
        </w:rPr>
        <w:t xml:space="preserve"> been studied</w:t>
      </w:r>
      <w:r w:rsidR="008668D6" w:rsidRPr="007B140B">
        <w:rPr>
          <w:rFonts w:ascii="Times New Roman" w:hAnsi="Times New Roman" w:cs="Times New Roman"/>
          <w:iCs/>
          <w:color w:val="000000" w:themeColor="text1"/>
          <w:sz w:val="24"/>
          <w:szCs w:val="24"/>
          <w:lang w:val="en-US"/>
        </w:rPr>
        <w:t>,</w:t>
      </w:r>
      <w:r w:rsidR="00560787" w:rsidRPr="007B140B">
        <w:rPr>
          <w:rFonts w:ascii="Times New Roman" w:hAnsi="Times New Roman" w:cs="Times New Roman"/>
          <w:iCs/>
          <w:color w:val="000000" w:themeColor="text1"/>
          <w:sz w:val="24"/>
          <w:szCs w:val="24"/>
          <w:lang w:val="en-US"/>
        </w:rPr>
        <w:t xml:space="preserve"> </w:t>
      </w:r>
      <w:r w:rsidR="002961E1" w:rsidRPr="007B140B">
        <w:rPr>
          <w:rFonts w:ascii="Times New Roman" w:hAnsi="Times New Roman" w:cs="Times New Roman"/>
          <w:iCs/>
          <w:color w:val="000000" w:themeColor="text1"/>
          <w:sz w:val="24"/>
          <w:szCs w:val="24"/>
          <w:lang w:val="en-US"/>
        </w:rPr>
        <w:t>without major safety concerns</w:t>
      </w:r>
      <w:r w:rsidR="008668D6" w:rsidRPr="007B140B">
        <w:rPr>
          <w:rFonts w:ascii="Times New Roman" w:hAnsi="Times New Roman" w:cs="Times New Roman"/>
          <w:iCs/>
          <w:color w:val="000000" w:themeColor="text1"/>
          <w:sz w:val="24"/>
          <w:szCs w:val="24"/>
          <w:lang w:val="en-US"/>
        </w:rPr>
        <w:t>,</w:t>
      </w:r>
      <w:r w:rsidR="002961E1" w:rsidRPr="007B140B">
        <w:rPr>
          <w:rFonts w:ascii="Times New Roman" w:hAnsi="Times New Roman" w:cs="Times New Roman"/>
          <w:iCs/>
          <w:color w:val="000000" w:themeColor="text1"/>
          <w:sz w:val="24"/>
          <w:szCs w:val="24"/>
          <w:lang w:val="en-US"/>
        </w:rPr>
        <w:t xml:space="preserve"> </w:t>
      </w:r>
      <w:r w:rsidR="00560787" w:rsidRPr="007B140B">
        <w:rPr>
          <w:rFonts w:ascii="Times New Roman" w:hAnsi="Times New Roman" w:cs="Times New Roman"/>
          <w:iCs/>
          <w:color w:val="000000" w:themeColor="text1"/>
          <w:sz w:val="24"/>
          <w:szCs w:val="24"/>
          <w:lang w:val="en-US"/>
        </w:rPr>
        <w:t xml:space="preserve">in </w:t>
      </w:r>
      <w:r w:rsidR="002961E1" w:rsidRPr="007B140B">
        <w:rPr>
          <w:rFonts w:ascii="Times New Roman" w:hAnsi="Times New Roman" w:cs="Times New Roman"/>
          <w:iCs/>
          <w:color w:val="000000" w:themeColor="text1"/>
          <w:sz w:val="24"/>
          <w:szCs w:val="24"/>
          <w:lang w:val="en-US"/>
        </w:rPr>
        <w:t>four</w:t>
      </w:r>
      <w:r w:rsidR="00560787" w:rsidRPr="007B140B">
        <w:rPr>
          <w:rFonts w:ascii="Times New Roman" w:hAnsi="Times New Roman" w:cs="Times New Roman"/>
          <w:iCs/>
          <w:color w:val="000000" w:themeColor="text1"/>
          <w:sz w:val="24"/>
          <w:szCs w:val="24"/>
          <w:lang w:val="en-US"/>
        </w:rPr>
        <w:t xml:space="preserve"> large trials</w:t>
      </w:r>
      <w:r w:rsidR="006316D1">
        <w:rPr>
          <w:rFonts w:ascii="Times New Roman" w:hAnsi="Times New Roman" w:cs="Times New Roman"/>
          <w:iCs/>
          <w:color w:val="000000" w:themeColor="text1"/>
          <w:sz w:val="24"/>
          <w:szCs w:val="24"/>
          <w:lang w:val="en-US"/>
        </w:rPr>
        <w:t>.</w:t>
      </w:r>
      <w:r w:rsidR="006316D1" w:rsidRPr="007B140B">
        <w:rPr>
          <w:rFonts w:ascii="Times New Roman" w:hAnsi="Times New Roman" w:cs="Times New Roman"/>
          <w:iCs/>
          <w:color w:val="000000" w:themeColor="text1"/>
          <w:sz w:val="24"/>
          <w:szCs w:val="24"/>
          <w:lang w:val="en-US"/>
        </w:rPr>
        <w:fldChar w:fldCharType="begin" w:fldLock="1"/>
      </w:r>
      <w:r w:rsidR="00D361C2">
        <w:rPr>
          <w:rFonts w:ascii="Times New Roman" w:hAnsi="Times New Roman" w:cs="Times New Roman"/>
          <w:iCs/>
          <w:color w:val="000000" w:themeColor="text1"/>
          <w:sz w:val="24"/>
          <w:szCs w:val="24"/>
          <w:lang w:val="en-US"/>
        </w:rPr>
        <w:instrText>ADDIN CSL_CITATION {"citationItems":[{"id":"ITEM-1","itemData":{"DOI":"10.1056/NEJMoa067312","author":[{"dropping-particle":"","family":"Black","given":"D M","non-dropping-particle":"","parse-names":false,"suffix":""},{"dropping-particle":"","family":"Delmas","given":"P D","non-dropping-particle":"","parse-names":false,"suffix":""},{"dropping-particle":"","family":"Eastell","given":"R","non-dropping-particle":"","parse-names":false,"suffix":""},{"dropping-particle":"","family":"Reid","given":"I R","non-dropping-particle":"","parse-names":false,"suffix":""},{"dropping-particle":"","family":"Boonen","given":"S","non-dropping-particle":"","parse-names":false,"suffix":""},{"dropping-particle":"","family":"Cauley","given":"J A","non-dropping-particle":"","parse-names":false,"suffix":""},{"dropping-particle":"","family":"Cosman","given":"F","non-dropping-particle":"","parse-names":false,"suffix":""},{"dropping-particle":"","family":"Lakatos","given":"P","non-dropping-particle":"","parse-names":false,"suffix":""},{"dropping-particle":"","family":"Leung","given":"P C","non-dropping-particle":"","parse-names":false,"suffix":""},{"dropping-particle":"","family":"Man","given":"Z","non-dropping-particle":"","parse-names":false,"suffix":""},{"dropping-particle":"","family":"Mautalen","given":"C","non-dropping-particle":"","parse-names":false,"suffix":""},{"dropping-particle":"","family":"Mesenbrink","given":"P","non-dropping-particle":"","parse-names":false,"suffix":""},{"dropping-particle":"","family":"Hu","given":"H","non-dropping-particle":"","parse-names":false,"suffix":""},{"dropping-particle":"","family":"Caminis","given":"J","non-dropping-particle":"","parse-names":false,"suffix":""},{"dropping-particle":"","family":"Tong","given":"K","non-dropping-particle":"","parse-names":false,"suffix":""},{"dropping-particle":"","family":"Rosario-Jansen","given":"T","non-dropping-particle":"","parse-names":false,"suffix":""},{"dropping-particle":"","family":"Krasnow","given":"J","non-dropping-particle":"","parse-names":false,"suffix":""},{"dropping-particle":"","family":"Hue","given":"T F","non-dropping-particle":"","parse-names":false,"suffix":""},{"dropping-particle":"","family":"Sellmeyer","given":"D","non-dropping-particle":"","parse-names":false,"suffix":""},{"dropping-particle":"","family":"Eriksen","given":"E F","non-dropping-particle":"","parse-names":false,"suffix":""},{"dropping-particle":"","family":"Cummings","given":"S R","non-dropping-particle":"","parse-names":false,"suffix":""}],"container-title":"N Engl J Med","id":"ITEM-1","issue":"18","issued":{"date-parts":[["2007"]]},"page":"1809-1822","title":"Once-yearly zoledronic acid for treatment of postmenopausal osteoporosis","type":"article-journal","volume":"356"},"uris":["http://www.mendeley.com/documents/?uuid=0f13fad4-b5f5-42f7-873f-7dd2216502be"]},{"id":"ITEM-2","itemData":{"DOI":"10.1056/NEJMoa074941","author":[{"dropping-particle":"","family":"Lyles","given":"Kenneth W.","non-dropping-particle":"","parse-names":false,"suffix":""},{"dropping-particle":"","family":"Colón-Emeric","given":"Cathleen S.","non-dropping-particle":"","parse-names":false,"suffix":""},{"dropping-particle":"","family":"Magaziner","given":"Jay S.","non-dropping-particle":"","parse-names":false,"suffix":""},{"dropping-particle":"","family":"Adachi","given":"Jonathan D.","non-dropping-particle":"","parse-names":false,"suffix":""},{"dropping-particle":"","family":"Pieper","given":"Carl F.","non-dropping-particle":"","parse-names":false,"suffix":""},{"dropping-particle":"","family":"Mautalen","given":"Carlos","non-dropping-particle":"","parse-names":false,"suffix":""},{"dropping-particle":"","family":"Hyldstrup","given":"Lars","non-dropping-particle":"","parse-names":false,"suffix":""},{"dropping-particle":"","family":"Recknor","given":"Chris","non-dropping-particle":"","parse-names":false,"suffix":""},{"dropping-particle":"","family":"Nordsletten","given":"Lars","non-dropping-particle":"","parse-names":false,"suffix":""},{"dropping-particle":"","family":"Moore","given":"Kathy A.","non-dropping-particle":"","parse-names":false,"suffix":""},{"dropping-particle":"","family":"Lavecchia","given":"Catherine","non-dropping-particle":"","parse-names":false,"suffix":""},{"dropping-particle":"","family":"Zhang","given":"Jie","non-dropping-particle":"","parse-names":false,"suffix":""},{"dropping-particle":"","family":"Mesenbrink","given":"Peter","non-dropping-particle":"","parse-names":false,"suffix":""},{"dropping-particle":"","family":"Hodgson","given":"Patricia K.","non-dropping-particle":"","parse-names":false,"suffix":""},{"dropping-particle":"","family":"Abrams","given":"Ken","non-dropping-particle":"","parse-names":false,"suffix":""},{"dropping-particle":"","family":"Orloff","given":"John J.","non-dropping-particle":"","parse-names":false,"suffix":""},{"dropping-particle":"","family":"Horowitz","given":"Zebulun","non-dropping-particle":"","parse-names":false,"suffix":""},{"dropping-particle":"","family":"Eriksen","given":"Erik Fink","non-dropping-particle":"","parse-names":false,"suffix":""},{"dropping-particle":"","family":"Boonen","given":"Steven","non-dropping-particle":"","parse-names":false,"suffix":""}],"container-title":"New England Journal of Medicine","id":"ITEM-2","issue":"18","issued":{"date-parts":[["2007"]]},"page":"1799-1809","title":"Zoledronic acid and clinical fractures and mortality after hip fracture","type":"article-journal","volume":"357"},"uris":["http://www.mendeley.com/documents/?uuid=fdc4eb3b-a387-4743-a233-680ae590c2cf"]},{"id":"ITEM-3","itemData":{"DOI":"10.1056/NEJMoa1204061","ISBN":"0028-4793","ISSN":"1533-4406","PMID":"23113482","abstract":"Fractures in men are a major health issue, and data on the antifracture efficacy of therapies for osteoporosis in men are limited. We studied the effect of zoledronic acid on fracture risk among men with osteoporosis.","author":[{"dropping-particle":"","family":"Boonen","given":"Steven","non-dropping-particle":"","parse-names":false,"suffix":""},{"dropping-particle":"","family":"Reginster","given":"Jean Yves","non-dropping-particle":"","parse-names":false,"suffix":""},{"dropping-particle":"","family":"Kaufman","given":"Jean Marc","non-dropping-particle":"","parse-names":false,"suffix":""},{"dropping-particle":"","family":"Lippuner","given":"Kurt","non-dropping-particle":"","parse-names":false,"suffix":""},{"dropping-particle":"","family":"Zanchetta","given":"Jose","non-dropping-particle":"","parse-names":false,"suffix":""},{"dropping-particle":"","family":"Langdahl","given":"Bente","non-dropping-particle":"","parse-names":false,"suffix":""},{"dropping-particle":"","family":"Rizzoli","given":"Rene","non-dropping-particle":"","parse-names":false,"suffix":""},{"dropping-particle":"","family":"Lipschitz","given":"Stanley","non-dropping-particle":"","parse-names":false,"suffix":""},{"dropping-particle":"","family":"Dimai","given":"Hans Peter","non-dropping-particle":"","parse-names":false,"suffix":""},{"dropping-particle":"","family":"Witvrouw","given":"Richard","non-dropping-particle":"","parse-names":false,"suffix":""},{"dropping-particle":"","family":"Eriksen","given":"Erik","non-dropping-particle":"","parse-names":false,"suffix":""},{"dropping-particle":"","family":"Brixen","given":"Kim","non-dropping-particle":"","parse-names":false,"suffix":""},{"dropping-particle":"","family":"Russo","given":"Luis","non-dropping-particle":"","parse-names":false,"suffix":""},{"dropping-particle":"","family":"Claessens","given":"Frank","non-dropping-particle":"","parse-names":false,"suffix":""},{"dropping-particle":"","family":"Papanastasiou","given":"Philemon","non-dropping-particle":"","parse-names":false,"suffix":""},{"dropping-particle":"","family":"Antunez","given":"Oscar","non-dropping-particle":"","parse-names":false,"suffix":""},{"dropping-particle":"","family":"Su","given":"Guoqin","non-dropping-particle":"","parse-names":false,"suffix":""},{"dropping-particle":"","family":"Bucci-Rechtweg","given":"Christina","non-dropping-particle":"","parse-names":false,"suffix":""},{"dropping-particle":"","family":"Hruska","given":"Josef","non-dropping-particle":"","parse-names":false,"suffix":""},{"dropping-particle":"","family":"Incera","given":"Elodie","non-dropping-particle":"","parse-names":false,"suffix":""},{"dropping-particle":"","family":"Vanderschueren","given":"Dirk","non-dropping-particle":"","parse-names":false,"suffix":""},{"dropping-particle":"","family":"Orwoll","given":"Eric","non-dropping-particle":"","parse-names":false,"suffix":""}],"container-title":"New England Journal of Medicine","id":"ITEM-3","issued":{"date-parts":[["2012"]]},"page":"1714-23","title":"Fracture risk and zoledronic acid therapy in men with osteoporosis.","type":"article-journal","volume":"367"},"uris":["http://www.mendeley.com/documents/?uuid=468f639f-e766-4ff9-83b2-83686de955c1"]},{"id":"ITEM-4","itemData":{"DOI":"10.1056/NEJMoa1808082","ISSN":"0028-4793","author":[{"dropping-particle":"","family":"Reid","given":"Ian R.","non-dropping-particle":"","parse-names":false,"suffix":""},{"dropping-particle":"","family":"Horne","given":"Anne M.","non-dropping-particle":"","parse-names":false,"suffix":""},{"dropping-particle":"","family":"Mihov","given":"Borislav","non-dropping-particle":"","parse-names":false,"suffix":""},{"dropping-particle":"","family":"Stewart","given":"Angela","non-dropping-particle":"","parse-names":false,"suffix":""},{"dropping-particle":"","family":"Garratt","given":"Elizabeth","non-dropping-particle":"","parse-names":false,"suffix":""},{"dropping-particle":"","family":"Wong","given":"Sumwai","non-dropping-particle":"","parse-names":false,"suffix":""},{"dropping-particle":"","family":"Wiessing","given":"Katy R.","non-dropping-particle":"","parse-names":false,"suffix":""},{"dropping-particle":"","family":"Bolland","given":"Mark J.","non-dropping-particle":"","parse-names":false,"suffix":""},{"dropping-particle":"","family":"Bastin","given":"Sonja","non-dropping-particle":"","parse-names":false,"suffix":""},{"dropping-particle":"","family":"Gamble","given":"Gregory D.","non-dropping-particle":"","parse-names":false,"suffix":""}],"container-title":"New England Journal of Medicine","id":"ITEM-4","issue":"25","issued":{"date-parts":[["2018"]]},"page":"2407-2416","title":"Fracture prevention with zoledronate in older women with osteopenia","type":"article-journal","volume":"379"},"uris":["http://www.mendeley.com/documents/?uuid=69cbf6db-0dca-4f28-87bb-02a266b0d7ef"]}],"mendeley":{"formattedCitation":"&lt;sup&gt;&lt;sup&gt;19&lt;/sup&gt;–&lt;sup&gt;22&lt;/sup&gt;&lt;/sup&gt;","plainTextFormattedCitation":"19–22","previouslyFormattedCitation":"&lt;sup&gt;&lt;sup&gt;19&lt;/sup&gt;–&lt;sup&gt;22&lt;/sup&gt;&lt;/sup&gt;"},"properties":{"noteIndex":0},"schema":"https://github.com/citation-style-language/schema/raw/master/csl-citation.json"}</w:instrText>
      </w:r>
      <w:r w:rsidR="006316D1" w:rsidRPr="007B140B">
        <w:rPr>
          <w:rFonts w:ascii="Times New Roman" w:hAnsi="Times New Roman" w:cs="Times New Roman"/>
          <w:iCs/>
          <w:color w:val="000000" w:themeColor="text1"/>
          <w:sz w:val="24"/>
          <w:szCs w:val="24"/>
          <w:lang w:val="en-US"/>
        </w:rPr>
        <w:fldChar w:fldCharType="separate"/>
      </w:r>
      <w:r w:rsidR="006316D1" w:rsidRPr="006316D1">
        <w:rPr>
          <w:rFonts w:ascii="Times New Roman" w:hAnsi="Times New Roman" w:cs="Times New Roman"/>
          <w:iCs/>
          <w:noProof/>
          <w:color w:val="000000" w:themeColor="text1"/>
          <w:sz w:val="24"/>
          <w:szCs w:val="24"/>
          <w:vertAlign w:val="superscript"/>
          <w:lang w:val="en-US"/>
        </w:rPr>
        <w:t>19–22</w:t>
      </w:r>
      <w:r w:rsidR="006316D1" w:rsidRPr="007B140B">
        <w:rPr>
          <w:rFonts w:ascii="Times New Roman" w:hAnsi="Times New Roman" w:cs="Times New Roman"/>
          <w:iCs/>
          <w:color w:val="000000" w:themeColor="text1"/>
          <w:sz w:val="24"/>
          <w:szCs w:val="24"/>
          <w:lang w:val="en-US"/>
        </w:rPr>
        <w:fldChar w:fldCharType="end"/>
      </w:r>
      <w:r w:rsidR="006316D1">
        <w:rPr>
          <w:rFonts w:ascii="Times New Roman" w:hAnsi="Times New Roman" w:cs="Times New Roman"/>
          <w:iCs/>
          <w:color w:val="000000" w:themeColor="text1"/>
          <w:sz w:val="24"/>
          <w:szCs w:val="24"/>
          <w:lang w:val="en-US"/>
        </w:rPr>
        <w:t xml:space="preserve"> </w:t>
      </w:r>
      <w:r w:rsidR="006316D1" w:rsidRPr="007B140B">
        <w:rPr>
          <w:rFonts w:ascii="Times New Roman" w:hAnsi="Times New Roman" w:cs="Times New Roman"/>
          <w:iCs/>
          <w:color w:val="000000" w:themeColor="text1"/>
          <w:sz w:val="24"/>
          <w:szCs w:val="24"/>
          <w:lang w:val="en-US"/>
        </w:rPr>
        <w:t>In addition, zoledronic acid will be administered only twice, which is less than is commonly done in clinical practice.</w:t>
      </w:r>
      <w:r w:rsidR="006316D1" w:rsidRPr="007B140B">
        <w:rPr>
          <w:rFonts w:ascii="Times New Roman" w:hAnsi="Times New Roman" w:cs="Times New Roman"/>
          <w:iCs/>
          <w:color w:val="000000" w:themeColor="text1"/>
          <w:sz w:val="24"/>
          <w:szCs w:val="24"/>
          <w:lang w:val="en-US"/>
        </w:rPr>
        <w:fldChar w:fldCharType="begin" w:fldLock="1"/>
      </w:r>
      <w:r w:rsidR="006316D1">
        <w:rPr>
          <w:rFonts w:ascii="Times New Roman" w:hAnsi="Times New Roman" w:cs="Times New Roman"/>
          <w:iCs/>
          <w:color w:val="000000" w:themeColor="text1"/>
          <w:sz w:val="24"/>
          <w:szCs w:val="24"/>
          <w:lang w:val="en-US"/>
        </w:rPr>
        <w:instrText>ADDIN CSL_CITATION {"citationItems":[{"id":"ITEM-1","itemData":{"DOI":"10.1201/9780203971093.bmatt","id":"ITEM-1","issued":{"date-parts":[["0"]]},"title":"Aclasta: European Public Assessment Report (EPAR) - Product Information, Annex 1 - Summary of product characteristics (31/07/2019 Aclasta - EMEA/H/C/000595 - II/0072)","type":"article"},"uris":["http://www.mendeley.com/documents/?uuid=649b59e6-52cf-4c90-80d7-152dde40c643"]}],"mendeley":{"formattedCitation":"&lt;sup&gt;&lt;sup&gt;17&lt;/sup&gt;&lt;/sup&gt;","plainTextFormattedCitation":"17","previouslyFormattedCitation":"&lt;sup&gt;&lt;sup&gt;17&lt;/sup&gt;&lt;/sup&gt;"},"properties":{"noteIndex":0},"schema":"https://github.com/citation-style-language/schema/raw/master/csl-citation.json"}</w:instrText>
      </w:r>
      <w:r w:rsidR="006316D1" w:rsidRPr="007B140B">
        <w:rPr>
          <w:rFonts w:ascii="Times New Roman" w:hAnsi="Times New Roman" w:cs="Times New Roman"/>
          <w:iCs/>
          <w:color w:val="000000" w:themeColor="text1"/>
          <w:sz w:val="24"/>
          <w:szCs w:val="24"/>
          <w:lang w:val="en-US"/>
        </w:rPr>
        <w:fldChar w:fldCharType="separate"/>
      </w:r>
      <w:r w:rsidR="006316D1" w:rsidRPr="00D2485C">
        <w:rPr>
          <w:rFonts w:ascii="Times New Roman" w:hAnsi="Times New Roman" w:cs="Times New Roman"/>
          <w:iCs/>
          <w:noProof/>
          <w:color w:val="000000" w:themeColor="text1"/>
          <w:sz w:val="24"/>
          <w:szCs w:val="24"/>
          <w:vertAlign w:val="superscript"/>
          <w:lang w:val="en-US"/>
        </w:rPr>
        <w:t>17</w:t>
      </w:r>
      <w:r w:rsidR="006316D1" w:rsidRPr="007B140B">
        <w:rPr>
          <w:rFonts w:ascii="Times New Roman" w:hAnsi="Times New Roman" w:cs="Times New Roman"/>
          <w:iCs/>
          <w:color w:val="000000" w:themeColor="text1"/>
          <w:sz w:val="24"/>
          <w:szCs w:val="24"/>
          <w:lang w:val="en-US"/>
        </w:rPr>
        <w:fldChar w:fldCharType="end"/>
      </w:r>
      <w:r w:rsidR="006316D1" w:rsidRPr="007B140B">
        <w:rPr>
          <w:rFonts w:ascii="Times New Roman" w:hAnsi="Times New Roman" w:cs="Times New Roman"/>
          <w:iCs/>
          <w:color w:val="000000" w:themeColor="text1"/>
          <w:sz w:val="24"/>
          <w:szCs w:val="24"/>
          <w:lang w:val="en-US"/>
        </w:rPr>
        <w:t xml:space="preserve"> </w:t>
      </w:r>
      <w:r w:rsidR="006316D1">
        <w:rPr>
          <w:rFonts w:ascii="Times New Roman" w:hAnsi="Times New Roman" w:cs="Times New Roman"/>
          <w:iCs/>
          <w:color w:val="000000" w:themeColor="text1"/>
          <w:sz w:val="24"/>
          <w:szCs w:val="24"/>
          <w:lang w:val="en-US"/>
        </w:rPr>
        <w:t>It should also be noted that</w:t>
      </w:r>
      <w:r w:rsidR="005A1D05">
        <w:rPr>
          <w:rFonts w:ascii="Times New Roman" w:hAnsi="Times New Roman" w:cs="Times New Roman"/>
          <w:iCs/>
          <w:color w:val="000000" w:themeColor="text1"/>
          <w:sz w:val="24"/>
          <w:szCs w:val="24"/>
          <w:lang w:val="en-US"/>
        </w:rPr>
        <w:t xml:space="preserve"> zoledronic</w:t>
      </w:r>
      <w:r w:rsidR="006316D1">
        <w:rPr>
          <w:rFonts w:ascii="Times New Roman" w:hAnsi="Times New Roman" w:cs="Times New Roman"/>
          <w:iCs/>
          <w:color w:val="000000" w:themeColor="text1"/>
          <w:sz w:val="24"/>
          <w:szCs w:val="24"/>
          <w:lang w:val="en-US"/>
        </w:rPr>
        <w:t xml:space="preserve"> </w:t>
      </w:r>
      <w:r w:rsidR="008D2304" w:rsidRPr="007B140B">
        <w:rPr>
          <w:rFonts w:ascii="Times New Roman" w:hAnsi="Times New Roman" w:cs="Times New Roman"/>
          <w:iCs/>
          <w:color w:val="000000" w:themeColor="text1"/>
          <w:sz w:val="24"/>
          <w:szCs w:val="24"/>
          <w:lang w:val="en-US"/>
        </w:rPr>
        <w:t>acid</w:t>
      </w:r>
      <w:r w:rsidR="008668D6" w:rsidRPr="007B140B">
        <w:rPr>
          <w:rFonts w:ascii="Times New Roman" w:hAnsi="Times New Roman" w:cs="Times New Roman"/>
          <w:iCs/>
          <w:color w:val="000000" w:themeColor="text1"/>
          <w:sz w:val="24"/>
          <w:szCs w:val="24"/>
          <w:lang w:val="en-US"/>
        </w:rPr>
        <w:t xml:space="preserve"> </w:t>
      </w:r>
      <w:r w:rsidR="008D2304" w:rsidRPr="007B140B">
        <w:rPr>
          <w:rFonts w:ascii="Times New Roman" w:hAnsi="Times New Roman" w:cs="Times New Roman"/>
          <w:iCs/>
          <w:color w:val="000000" w:themeColor="text1"/>
          <w:sz w:val="24"/>
          <w:szCs w:val="24"/>
          <w:lang w:val="en-US"/>
        </w:rPr>
        <w:t>was approved</w:t>
      </w:r>
      <w:r w:rsidR="002961E1" w:rsidRPr="007B140B">
        <w:rPr>
          <w:rFonts w:ascii="Times New Roman" w:hAnsi="Times New Roman" w:cs="Times New Roman"/>
          <w:iCs/>
          <w:color w:val="000000" w:themeColor="text1"/>
          <w:sz w:val="24"/>
          <w:szCs w:val="24"/>
          <w:lang w:val="en-US"/>
        </w:rPr>
        <w:t xml:space="preserve"> </w:t>
      </w:r>
      <w:r w:rsidR="00311C48" w:rsidRPr="007B140B">
        <w:rPr>
          <w:rFonts w:ascii="Times New Roman" w:hAnsi="Times New Roman" w:cs="Times New Roman"/>
          <w:iCs/>
          <w:color w:val="000000" w:themeColor="text1"/>
          <w:sz w:val="24"/>
          <w:szCs w:val="24"/>
          <w:lang w:val="en-US"/>
        </w:rPr>
        <w:t xml:space="preserve">in the European Union </w:t>
      </w:r>
      <w:r w:rsidR="005A1D05">
        <w:rPr>
          <w:rFonts w:ascii="Times New Roman" w:hAnsi="Times New Roman" w:cs="Times New Roman"/>
          <w:iCs/>
          <w:color w:val="000000" w:themeColor="text1"/>
          <w:sz w:val="24"/>
          <w:szCs w:val="24"/>
          <w:lang w:val="en-US"/>
        </w:rPr>
        <w:t xml:space="preserve">back </w:t>
      </w:r>
      <w:r w:rsidR="00311C48" w:rsidRPr="007B140B">
        <w:rPr>
          <w:rFonts w:ascii="Times New Roman" w:hAnsi="Times New Roman" w:cs="Times New Roman"/>
          <w:iCs/>
          <w:color w:val="000000" w:themeColor="text1"/>
          <w:sz w:val="24"/>
          <w:szCs w:val="24"/>
          <w:lang w:val="en-US"/>
        </w:rPr>
        <w:t>in 2005</w:t>
      </w:r>
      <w:r w:rsidR="002961E1" w:rsidRPr="007B140B">
        <w:rPr>
          <w:rFonts w:ascii="Times New Roman" w:hAnsi="Times New Roman" w:cs="Times New Roman"/>
          <w:iCs/>
          <w:color w:val="000000" w:themeColor="text1"/>
          <w:sz w:val="24"/>
          <w:szCs w:val="24"/>
          <w:lang w:val="en-US"/>
        </w:rPr>
        <w:t>.</w:t>
      </w:r>
      <w:r w:rsidR="006316D1" w:rsidRPr="007B140B">
        <w:rPr>
          <w:rFonts w:ascii="Times New Roman" w:hAnsi="Times New Roman" w:cs="Times New Roman"/>
          <w:iCs/>
          <w:color w:val="000000" w:themeColor="text1"/>
          <w:sz w:val="24"/>
          <w:szCs w:val="24"/>
          <w:lang w:val="en-US"/>
        </w:rPr>
        <w:fldChar w:fldCharType="begin" w:fldLock="1"/>
      </w:r>
      <w:r w:rsidR="006316D1">
        <w:rPr>
          <w:rFonts w:ascii="Times New Roman" w:hAnsi="Times New Roman" w:cs="Times New Roman"/>
          <w:iCs/>
          <w:color w:val="000000" w:themeColor="text1"/>
          <w:sz w:val="24"/>
          <w:szCs w:val="24"/>
          <w:lang w:val="en-US"/>
        </w:rPr>
        <w:instrText>ADDIN CSL_CITATION {"citationItems":[{"id":"ITEM-1","itemData":{"DOI":"10.1201/9780203971093.bmatt","id":"ITEM-1","issued":{"date-parts":[["0"]]},"title":"Aclasta: European Public Assessment Report (EPAR) - Product Information, Annex 1 - Summary of product characteristics (31/07/2019 Aclasta - EMEA/H/C/000595 - II/0072)","type":"article"},"uris":["http://www.mendeley.com/documents/?uuid=649b59e6-52cf-4c90-80d7-152dde40c643"]}],"mendeley":{"formattedCitation":"&lt;sup&gt;&lt;sup&gt;17&lt;/sup&gt;&lt;/sup&gt;","plainTextFormattedCitation":"17","previouslyFormattedCitation":"&lt;sup&gt;&lt;sup&gt;17&lt;/sup&gt;&lt;/sup&gt;"},"properties":{"noteIndex":0},"schema":"https://github.com/citation-style-language/schema/raw/master/csl-citation.json"}</w:instrText>
      </w:r>
      <w:r w:rsidR="006316D1" w:rsidRPr="007B140B">
        <w:rPr>
          <w:rFonts w:ascii="Times New Roman" w:hAnsi="Times New Roman" w:cs="Times New Roman"/>
          <w:iCs/>
          <w:color w:val="000000" w:themeColor="text1"/>
          <w:sz w:val="24"/>
          <w:szCs w:val="24"/>
          <w:lang w:val="en-US"/>
        </w:rPr>
        <w:fldChar w:fldCharType="separate"/>
      </w:r>
      <w:r w:rsidR="006316D1" w:rsidRPr="00D2485C">
        <w:rPr>
          <w:rFonts w:ascii="Times New Roman" w:hAnsi="Times New Roman" w:cs="Times New Roman"/>
          <w:iCs/>
          <w:noProof/>
          <w:color w:val="000000" w:themeColor="text1"/>
          <w:sz w:val="24"/>
          <w:szCs w:val="24"/>
          <w:vertAlign w:val="superscript"/>
          <w:lang w:val="en-US"/>
        </w:rPr>
        <w:t>17</w:t>
      </w:r>
      <w:r w:rsidR="006316D1" w:rsidRPr="007B140B">
        <w:rPr>
          <w:rFonts w:ascii="Times New Roman" w:hAnsi="Times New Roman" w:cs="Times New Roman"/>
          <w:iCs/>
          <w:color w:val="000000" w:themeColor="text1"/>
          <w:sz w:val="24"/>
          <w:szCs w:val="24"/>
          <w:lang w:val="en-US"/>
        </w:rPr>
        <w:fldChar w:fldCharType="end"/>
      </w:r>
      <w:r w:rsidR="00560787" w:rsidRPr="007B140B">
        <w:rPr>
          <w:rFonts w:ascii="Times New Roman" w:hAnsi="Times New Roman" w:cs="Times New Roman"/>
          <w:iCs/>
          <w:color w:val="000000" w:themeColor="text1"/>
          <w:sz w:val="24"/>
          <w:szCs w:val="24"/>
          <w:lang w:val="en-US"/>
        </w:rPr>
        <w:t xml:space="preserve"> </w:t>
      </w:r>
      <w:r w:rsidR="00F62468" w:rsidRPr="007B140B">
        <w:rPr>
          <w:rFonts w:ascii="Times New Roman" w:hAnsi="Times New Roman" w:cs="Times New Roman"/>
          <w:iCs/>
          <w:color w:val="000000" w:themeColor="text1"/>
          <w:sz w:val="24"/>
          <w:szCs w:val="24"/>
          <w:lang w:val="en-US"/>
        </w:rPr>
        <w:t>Second</w:t>
      </w:r>
      <w:r w:rsidR="00030EEC" w:rsidRPr="007B140B">
        <w:rPr>
          <w:rFonts w:ascii="Times New Roman" w:hAnsi="Times New Roman" w:cs="Times New Roman"/>
          <w:iCs/>
          <w:color w:val="000000" w:themeColor="text1"/>
          <w:sz w:val="24"/>
          <w:szCs w:val="24"/>
          <w:lang w:val="en-US"/>
        </w:rPr>
        <w:t xml:space="preserve">, </w:t>
      </w:r>
      <w:r w:rsidR="00AE5428" w:rsidRPr="007B140B">
        <w:rPr>
          <w:rFonts w:ascii="Times New Roman" w:hAnsi="Times New Roman" w:cs="Times New Roman"/>
          <w:iCs/>
          <w:color w:val="000000" w:themeColor="text1"/>
          <w:sz w:val="24"/>
          <w:szCs w:val="24"/>
          <w:lang w:val="en-US"/>
        </w:rPr>
        <w:t xml:space="preserve">the </w:t>
      </w:r>
      <w:r w:rsidR="00AC1447" w:rsidRPr="007B140B">
        <w:rPr>
          <w:rFonts w:ascii="Times New Roman" w:hAnsi="Times New Roman" w:cs="Times New Roman"/>
          <w:iCs/>
          <w:color w:val="000000" w:themeColor="text1"/>
          <w:sz w:val="24"/>
          <w:szCs w:val="24"/>
          <w:lang w:val="en-US"/>
        </w:rPr>
        <w:t xml:space="preserve">risk of </w:t>
      </w:r>
      <w:r w:rsidR="00AE5428" w:rsidRPr="007B140B">
        <w:rPr>
          <w:rFonts w:ascii="Times New Roman" w:hAnsi="Times New Roman" w:cs="Times New Roman"/>
          <w:iCs/>
          <w:color w:val="000000" w:themeColor="text1"/>
          <w:sz w:val="24"/>
          <w:szCs w:val="24"/>
          <w:lang w:val="en-US"/>
        </w:rPr>
        <w:t>need</w:t>
      </w:r>
      <w:r w:rsidR="00AC1447" w:rsidRPr="007B140B">
        <w:rPr>
          <w:rFonts w:ascii="Times New Roman" w:hAnsi="Times New Roman" w:cs="Times New Roman"/>
          <w:iCs/>
          <w:color w:val="000000" w:themeColor="text1"/>
          <w:sz w:val="24"/>
          <w:szCs w:val="24"/>
          <w:lang w:val="en-US"/>
        </w:rPr>
        <w:t>ing to stop</w:t>
      </w:r>
      <w:r w:rsidR="00D4071D">
        <w:rPr>
          <w:rFonts w:ascii="Times New Roman" w:hAnsi="Times New Roman" w:cs="Times New Roman"/>
          <w:iCs/>
          <w:color w:val="000000" w:themeColor="text1"/>
          <w:sz w:val="24"/>
          <w:szCs w:val="24"/>
          <w:lang w:val="en-US"/>
        </w:rPr>
        <w:t xml:space="preserve"> the trial</w:t>
      </w:r>
      <w:r w:rsidR="00AC1447" w:rsidRPr="007B140B">
        <w:rPr>
          <w:rFonts w:ascii="Times New Roman" w:hAnsi="Times New Roman" w:cs="Times New Roman"/>
          <w:iCs/>
          <w:color w:val="000000" w:themeColor="text1"/>
          <w:sz w:val="24"/>
          <w:szCs w:val="24"/>
          <w:lang w:val="en-US"/>
        </w:rPr>
        <w:t xml:space="preserve"> </w:t>
      </w:r>
      <w:r w:rsidR="00030EEC" w:rsidRPr="007B140B">
        <w:rPr>
          <w:rFonts w:ascii="Times New Roman" w:hAnsi="Times New Roman" w:cs="Times New Roman"/>
          <w:iCs/>
          <w:color w:val="000000" w:themeColor="text1"/>
          <w:sz w:val="24"/>
          <w:szCs w:val="24"/>
          <w:lang w:val="en-US"/>
        </w:rPr>
        <w:t xml:space="preserve">due to futility is </w:t>
      </w:r>
      <w:r w:rsidR="00AE5428" w:rsidRPr="007B140B">
        <w:rPr>
          <w:rFonts w:ascii="Times New Roman" w:hAnsi="Times New Roman" w:cs="Times New Roman"/>
          <w:iCs/>
          <w:color w:val="000000" w:themeColor="text1"/>
          <w:sz w:val="24"/>
          <w:szCs w:val="24"/>
          <w:lang w:val="en-US"/>
        </w:rPr>
        <w:t>low</w:t>
      </w:r>
      <w:r w:rsidR="00F532EC" w:rsidRPr="007B140B">
        <w:rPr>
          <w:rFonts w:ascii="Times New Roman" w:hAnsi="Times New Roman" w:cs="Times New Roman"/>
          <w:iCs/>
          <w:color w:val="000000" w:themeColor="text1"/>
          <w:sz w:val="24"/>
          <w:szCs w:val="24"/>
          <w:lang w:val="en-US"/>
        </w:rPr>
        <w:t xml:space="preserve">, because zoledronic acid </w:t>
      </w:r>
      <w:r w:rsidR="00AC1447" w:rsidRPr="007B140B">
        <w:rPr>
          <w:rFonts w:ascii="Times New Roman" w:hAnsi="Times New Roman" w:cs="Times New Roman"/>
          <w:iCs/>
          <w:color w:val="000000" w:themeColor="text1"/>
          <w:sz w:val="24"/>
          <w:szCs w:val="24"/>
          <w:lang w:val="en-US"/>
        </w:rPr>
        <w:t>has been shown</w:t>
      </w:r>
      <w:r w:rsidR="00F532EC" w:rsidRPr="007B140B">
        <w:rPr>
          <w:rFonts w:ascii="Times New Roman" w:hAnsi="Times New Roman" w:cs="Times New Roman"/>
          <w:iCs/>
          <w:color w:val="000000" w:themeColor="text1"/>
          <w:sz w:val="24"/>
          <w:szCs w:val="24"/>
          <w:lang w:val="en-US"/>
        </w:rPr>
        <w:t xml:space="preserve"> effective </w:t>
      </w:r>
      <w:r w:rsidR="00555E07" w:rsidRPr="007B140B">
        <w:rPr>
          <w:rFonts w:ascii="Times New Roman" w:hAnsi="Times New Roman" w:cs="Times New Roman"/>
          <w:iCs/>
          <w:color w:val="000000" w:themeColor="text1"/>
          <w:sz w:val="24"/>
          <w:szCs w:val="24"/>
          <w:lang w:val="en-US"/>
        </w:rPr>
        <w:t xml:space="preserve">in </w:t>
      </w:r>
      <w:r w:rsidR="00AC1447" w:rsidRPr="007B140B">
        <w:rPr>
          <w:rFonts w:ascii="Times New Roman" w:hAnsi="Times New Roman" w:cs="Times New Roman"/>
          <w:iCs/>
          <w:color w:val="000000" w:themeColor="text1"/>
          <w:sz w:val="24"/>
          <w:szCs w:val="24"/>
          <w:lang w:val="en-US"/>
        </w:rPr>
        <w:t>multiple studies</w:t>
      </w:r>
      <w:r w:rsidR="00F532EC" w:rsidRPr="007B140B">
        <w:rPr>
          <w:rFonts w:ascii="Times New Roman" w:hAnsi="Times New Roman" w:cs="Times New Roman"/>
          <w:iCs/>
          <w:color w:val="000000" w:themeColor="text1"/>
          <w:sz w:val="24"/>
          <w:szCs w:val="24"/>
          <w:lang w:val="en-US"/>
        </w:rPr>
        <w:t>.</w:t>
      </w:r>
      <w:r w:rsidR="00AC1447" w:rsidRPr="007B140B">
        <w:rPr>
          <w:rFonts w:ascii="Times New Roman" w:hAnsi="Times New Roman" w:cs="Times New Roman"/>
          <w:iCs/>
          <w:color w:val="000000" w:themeColor="text1"/>
          <w:sz w:val="24"/>
          <w:szCs w:val="24"/>
          <w:lang w:val="en-US"/>
        </w:rPr>
        <w:fldChar w:fldCharType="begin" w:fldLock="1"/>
      </w:r>
      <w:r w:rsidR="00D2485C">
        <w:rPr>
          <w:rFonts w:ascii="Times New Roman" w:hAnsi="Times New Roman" w:cs="Times New Roman"/>
          <w:iCs/>
          <w:color w:val="000000" w:themeColor="text1"/>
          <w:sz w:val="24"/>
          <w:szCs w:val="24"/>
          <w:lang w:val="en-US"/>
        </w:rPr>
        <w:instrText>ADDIN CSL_CITATION {"citationItems":[{"id":"ITEM-1","itemData":{"DOI":"10.1056/NEJMoa067312","author":[{"dropping-particle":"","family":"Black","given":"D M","non-dropping-particle":"","parse-names":false,"suffix":""},{"dropping-particle":"","family":"Delmas","given":"P D","non-dropping-particle":"","parse-names":false,"suffix":""},{"dropping-particle":"","family":"Eastell","given":"R","non-dropping-particle":"","parse-names":false,"suffix":""},{"dropping-particle":"","family":"Reid","given":"I R","non-dropping-particle":"","parse-names":false,"suffix":""},{"dropping-particle":"","family":"Boonen","given":"S","non-dropping-particle":"","parse-names":false,"suffix":""},{"dropping-particle":"","family":"Cauley","given":"J A","non-dropping-particle":"","parse-names":false,"suffix":""},{"dropping-particle":"","family":"Cosman","given":"F","non-dropping-particle":"","parse-names":false,"suffix":""},{"dropping-particle":"","family":"Lakatos","given":"P","non-dropping-particle":"","parse-names":false,"suffix":""},{"dropping-particle":"","family":"Leung","given":"P C","non-dropping-particle":"","parse-names":false,"suffix":""},{"dropping-particle":"","family":"Man","given":"Z","non-dropping-particle":"","parse-names":false,"suffix":""},{"dropping-particle":"","family":"Mautalen","given":"C","non-dropping-particle":"","parse-names":false,"suffix":""},{"dropping-particle":"","family":"Mesenbrink","given":"P","non-dropping-particle":"","parse-names":false,"suffix":""},{"dropping-particle":"","family":"Hu","given":"H","non-dropping-particle":"","parse-names":false,"suffix":""},{"dropping-particle":"","family":"Caminis","given":"J","non-dropping-particle":"","parse-names":false,"suffix":""},{"dropping-particle":"","family":"Tong","given":"K","non-dropping-particle":"","parse-names":false,"suffix":""},{"dropping-particle":"","family":"Rosario-Jansen","given":"T","non-dropping-particle":"","parse-names":false,"suffix":""},{"dropping-particle":"","family":"Krasnow","given":"J","non-dropping-particle":"","parse-names":false,"suffix":""},{"dropping-particle":"","family":"Hue","given":"T F","non-dropping-particle":"","parse-names":false,"suffix":""},{"dropping-particle":"","family":"Sellmeyer","given":"D","non-dropping-particle":"","parse-names":false,"suffix":""},{"dropping-particle":"","family":"Eriksen","given":"E F","non-dropping-particle":"","parse-names":false,"suffix":""},{"dropping-particle":"","family":"Cummings","given":"S R","non-dropping-particle":"","parse-names":false,"suffix":""}],"container-title":"N Engl J Med","id":"ITEM-1","issue":"18","issued":{"date-parts":[["2007"]]},"page":"1809-1822","title":"Once-yearly zoledronic acid for treatment of postmenopausal osteoporosis","type":"article-journal","volume":"356"},"uris":["http://www.mendeley.com/documents/?uuid=0f13fad4-b5f5-42f7-873f-7dd2216502be"]},{"id":"ITEM-2","itemData":{"DOI":"10.1056/NEJMoa074941","author":[{"dropping-particle":"","family":"Lyles","given":"Kenneth W.","non-dropping-particle":"","parse-names":false,"suffix":""},{"dropping-particle":"","family":"Colón-Emeric","given":"Cathleen S.","non-dropping-particle":"","parse-names":false,"suffix":""},{"dropping-particle":"","family":"Magaziner","given":"Jay S.","non-dropping-particle":"","parse-names":false,"suffix":""},{"dropping-particle":"","family":"Adachi","given":"Jonathan D.","non-dropping-particle":"","parse-names":false,"suffix":""},{"dropping-particle":"","family":"Pieper","given":"Carl F.","non-dropping-particle":"","parse-names":false,"suffix":""},{"dropping-particle":"","family":"Mautalen","given":"Carlos","non-dropping-particle":"","parse-names":false,"suffix":""},{"dropping-particle":"","family":"Hyldstrup","given":"Lars","non-dropping-particle":"","parse-names":false,"suffix":""},{"dropping-particle":"","family":"Recknor","given":"Chris","non-dropping-particle":"","parse-names":false,"suffix":""},{"dropping-particle":"","family":"Nordsletten","given":"Lars","non-dropping-particle":"","parse-names":false,"suffix":""},{"dropping-particle":"","family":"Moore","given":"Kathy A.","non-dropping-particle":"","parse-names":false,"suffix":""},{"dropping-particle":"","family":"Lavecchia","given":"Catherine","non-dropping-particle":"","parse-names":false,"suffix":""},{"dropping-particle":"","family":"Zhang","given":"Jie","non-dropping-particle":"","parse-names":false,"suffix":""},{"dropping-particle":"","family":"Mesenbrink","given":"Peter","non-dropping-particle":"","parse-names":false,"suffix":""},{"dropping-particle":"","family":"Hodgson","given":"Patricia K.","non-dropping-particle":"","parse-names":false,"suffix":""},{"dropping-particle":"","family":"Abrams","given":"Ken","non-dropping-particle":"","parse-names":false,"suffix":""},{"dropping-particle":"","family":"Orloff","given":"John J.","non-dropping-particle":"","parse-names":false,"suffix":""},{"dropping-particle":"","family":"Horowitz","given":"Zebulun","non-dropping-particle":"","parse-names":false,"suffix":""},{"dropping-particle":"","family":"Eriksen","given":"Erik Fink","non-dropping-particle":"","parse-names":false,"suffix":""},{"dropping-particle":"","family":"Boonen","given":"Steven","non-dropping-particle":"","parse-names":false,"suffix":""}],"container-title":"New England Journal of Medicine","id":"ITEM-2","issue":"18","issued":{"date-parts":[["2007"]]},"page":"1799-1809","title":"Zoledronic acid and clinical fractures and mortality after hip fracture","type":"article-journal","volume":"357"},"uris":["http://www.mendeley.com/documents/?uuid=fdc4eb3b-a387-4743-a233-680ae590c2cf"]},{"id":"ITEM-3","itemData":{"DOI":"10.1056/NEJMoa1204061","ISBN":"0028-4793","ISSN":"1533-4406","PMID":"23113482","abstract":"Fractures in men are a major health issue, and data on the antifracture efficacy of therapies for osteoporosis in men are limited. We studied the effect of zoledronic acid on fracture risk among men with osteoporosis.","author":[{"dropping-particle":"","family":"Boonen","given":"Steven","non-dropping-particle":"","parse-names":false,"suffix":""},{"dropping-particle":"","family":"Reginster","given":"Jean Yves","non-dropping-particle":"","parse-names":false,"suffix":""},{"dropping-particle":"","family":"Kaufman","given":"Jean Marc","non-dropping-particle":"","parse-names":false,"suffix":""},{"dropping-particle":"","family":"Lippuner","given":"Kurt","non-dropping-particle":"","parse-names":false,"suffix":""},{"dropping-particle":"","family":"Zanchetta","given":"Jose","non-dropping-particle":"","parse-names":false,"suffix":""},{"dropping-particle":"","family":"Langdahl","given":"Bente","non-dropping-particle":"","parse-names":false,"suffix":""},{"dropping-particle":"","family":"Rizzoli","given":"Rene","non-dropping-particle":"","parse-names":false,"suffix":""},{"dropping-particle":"","family":"Lipschitz","given":"Stanley","non-dropping-particle":"","parse-names":false,"suffix":""},{"dropping-particle":"","family":"Dimai","given":"Hans Peter","non-dropping-particle":"","parse-names":false,"suffix":""},{"dropping-particle":"","family":"Witvrouw","given":"Richard","non-dropping-particle":"","parse-names":false,"suffix":""},{"dropping-particle":"","family":"Eriksen","given":"Erik","non-dropping-particle":"","parse-names":false,"suffix":""},{"dropping-particle":"","family":"Brixen","given":"Kim","non-dropping-particle":"","parse-names":false,"suffix":""},{"dropping-particle":"","family":"Russo","given":"Luis","non-dropping-particle":"","parse-names":false,"suffix":""},{"dropping-particle":"","family":"Claessens","given":"Frank","non-dropping-particle":"","parse-names":false,"suffix":""},{"dropping-particle":"","family":"Papanastasiou","given":"Philemon","non-dropping-particle":"","parse-names":false,"suffix":""},{"dropping-particle":"","family":"Antunez","given":"Oscar","non-dropping-particle":"","parse-names":false,"suffix":""},{"dropping-particle":"","family":"Su","given":"Guoqin","non-dropping-particle":"","parse-names":false,"suffix":""},{"dropping-particle":"","family":"Bucci-Rechtweg","given":"Christina","non-dropping-particle":"","parse-names":false,"suffix":""},{"dropping-particle":"","family":"Hruska","given":"Josef","non-dropping-particle":"","parse-names":false,"suffix":""},{"dropping-particle":"","family":"Incera","given":"Elodie","non-dropping-particle":"","parse-names":false,"suffix":""},{"dropping-particle":"","family":"Vanderschueren","given":"Dirk","non-dropping-particle":"","parse-names":false,"suffix":""},{"dropping-particle":"","family":"Orwoll","given":"Eric","non-dropping-particle":"","parse-names":false,"suffix":""}],"container-title":"New England Journal of Medicine","id":"ITEM-3","issued":{"date-parts":[["2012"]]},"page":"1714-23","title":"Fracture risk and zoledronic acid therapy in men with osteoporosis.","type":"article-journal","volume":"367"},"uris":["http://www.mendeley.com/documents/?uuid=468f639f-e766-4ff9-83b2-83686de955c1"]},{"id":"ITEM-4","itemData":{"DOI":"10.1056/NEJMoa1808082","ISSN":"0028-4793","author":[{"dropping-particle":"","family":"Reid","given":"Ian R.","non-dropping-particle":"","parse-names":false,"suffix":""},{"dropping-particle":"","family":"Horne","given":"Anne M.","non-dropping-particle":"","parse-names":false,"suffix":""},{"dropping-particle":"","family":"Mihov","given":"Borislav","non-dropping-particle":"","parse-names":false,"suffix":""},{"dropping-particle":"","family":"Stewart","given":"Angela","non-dropping-particle":"","parse-names":false,"suffix":""},{"dropping-particle":"","family":"Garratt","given":"Elizabeth","non-dropping-particle":"","parse-names":false,"suffix":""},{"dropping-particle":"","family":"Wong","given":"Sumwai","non-dropping-particle":"","parse-names":false,"suffix":""},{"dropping-particle":"","family":"Wiessing","given":"Katy R.","non-dropping-particle":"","parse-names":false,"suffix":""},{"dropping-particle":"","family":"Bolland","given":"Mark J.","non-dropping-particle":"","parse-names":false,"suffix":""},{"dropping-particle":"","family":"Bastin","given":"Sonja","non-dropping-particle":"","parse-names":false,"suffix":""},{"dropping-particle":"","family":"Gamble","given":"Gregory D.","non-dropping-particle":"","parse-names":false,"suffix":""}],"container-title":"New England Journal of Medicine","id":"ITEM-4","issue":"25","issued":{"date-parts":[["2018"]]},"page":"2407-2416","title":"Fracture prevention with zoledronate in older women with osteopenia","type":"article-journal","volume":"379"},"uris":["http://www.mendeley.com/documents/?uuid=69cbf6db-0dca-4f28-87bb-02a266b0d7ef"]}],"mendeley":{"formattedCitation":"&lt;sup&gt;&lt;sup&gt;19&lt;/sup&gt;–&lt;sup&gt;22&lt;/sup&gt;&lt;/sup&gt;","plainTextFormattedCitation":"19–22","previouslyFormattedCitation":"&lt;sup&gt;&lt;sup&gt;19&lt;/sup&gt;–&lt;sup&gt;22&lt;/sup&gt;&lt;/sup&gt;"},"properties":{"noteIndex":0},"schema":"https://github.com/citation-style-language/schema/raw/master/csl-citation.json"}</w:instrText>
      </w:r>
      <w:r w:rsidR="00AC1447" w:rsidRPr="007B140B">
        <w:rPr>
          <w:rFonts w:ascii="Times New Roman" w:hAnsi="Times New Roman" w:cs="Times New Roman"/>
          <w:iCs/>
          <w:color w:val="000000" w:themeColor="text1"/>
          <w:sz w:val="24"/>
          <w:szCs w:val="24"/>
          <w:lang w:val="en-US"/>
        </w:rPr>
        <w:fldChar w:fldCharType="separate"/>
      </w:r>
      <w:r w:rsidR="00D2485C" w:rsidRPr="00D2485C">
        <w:rPr>
          <w:rFonts w:ascii="Times New Roman" w:hAnsi="Times New Roman" w:cs="Times New Roman"/>
          <w:iCs/>
          <w:noProof/>
          <w:color w:val="000000" w:themeColor="text1"/>
          <w:sz w:val="24"/>
          <w:szCs w:val="24"/>
          <w:vertAlign w:val="superscript"/>
          <w:lang w:val="en-US"/>
        </w:rPr>
        <w:t>19–22</w:t>
      </w:r>
      <w:r w:rsidR="00AC1447" w:rsidRPr="007B140B">
        <w:rPr>
          <w:rFonts w:ascii="Times New Roman" w:hAnsi="Times New Roman" w:cs="Times New Roman"/>
          <w:iCs/>
          <w:color w:val="000000" w:themeColor="text1"/>
          <w:sz w:val="24"/>
          <w:szCs w:val="24"/>
          <w:lang w:val="en-US"/>
        </w:rPr>
        <w:fldChar w:fldCharType="end"/>
      </w:r>
      <w:r w:rsidR="00F532EC" w:rsidRPr="007B140B">
        <w:rPr>
          <w:rFonts w:ascii="Times New Roman" w:hAnsi="Times New Roman" w:cs="Times New Roman"/>
          <w:iCs/>
          <w:color w:val="000000" w:themeColor="text1"/>
          <w:sz w:val="24"/>
          <w:szCs w:val="24"/>
          <w:lang w:val="en-US"/>
        </w:rPr>
        <w:t xml:space="preserve"> </w:t>
      </w:r>
      <w:r w:rsidR="00F62468" w:rsidRPr="007B140B">
        <w:rPr>
          <w:rFonts w:ascii="Times New Roman" w:hAnsi="Times New Roman" w:cs="Times New Roman"/>
          <w:iCs/>
          <w:color w:val="000000" w:themeColor="text1"/>
          <w:sz w:val="24"/>
          <w:szCs w:val="24"/>
          <w:lang w:val="en-US"/>
        </w:rPr>
        <w:t xml:space="preserve">Third, </w:t>
      </w:r>
      <w:r w:rsidR="000746D6" w:rsidRPr="007B140B">
        <w:rPr>
          <w:rFonts w:ascii="Times New Roman" w:hAnsi="Times New Roman" w:cs="Times New Roman"/>
          <w:iCs/>
          <w:color w:val="000000" w:themeColor="text1"/>
          <w:sz w:val="24"/>
          <w:szCs w:val="24"/>
          <w:lang w:val="en-US"/>
        </w:rPr>
        <w:t xml:space="preserve">early termination for efficacy is unlikely to result in a substantial increase in the number of patients who receive treatment, as treatment </w:t>
      </w:r>
      <w:r w:rsidR="00555E07" w:rsidRPr="007B140B">
        <w:rPr>
          <w:rFonts w:ascii="Times New Roman" w:hAnsi="Times New Roman" w:cs="Times New Roman"/>
          <w:iCs/>
          <w:color w:val="000000" w:themeColor="text1"/>
          <w:sz w:val="24"/>
          <w:szCs w:val="24"/>
          <w:lang w:val="en-US"/>
        </w:rPr>
        <w:t>rates are currently low</w:t>
      </w:r>
      <w:r w:rsidR="00555E07" w:rsidRPr="007B140B">
        <w:rPr>
          <w:rFonts w:ascii="Times New Roman" w:hAnsi="Times New Roman" w:cs="Times New Roman"/>
          <w:iCs/>
          <w:color w:val="000000" w:themeColor="text1"/>
          <w:sz w:val="24"/>
          <w:szCs w:val="24"/>
          <w:lang w:val="en-US"/>
        </w:rPr>
        <w:fldChar w:fldCharType="begin" w:fldLock="1"/>
      </w:r>
      <w:r w:rsidR="00D2485C">
        <w:rPr>
          <w:rFonts w:ascii="Times New Roman" w:hAnsi="Times New Roman" w:cs="Times New Roman"/>
          <w:iCs/>
          <w:color w:val="000000" w:themeColor="text1"/>
          <w:sz w:val="24"/>
          <w:szCs w:val="24"/>
          <w:lang w:val="en-US"/>
        </w:rPr>
        <w:instrText>ADDIN CSL_CITATION {"citationItems":[{"id":"ITEM-1","itemData":{"DOI":"10.1007/s00198-017-4367-7.","author":[{"dropping-particle":"","family":"Bergman","given":"J","non-dropping-particle":"","parse-names":false,"suffix":""},{"dropping-particle":"","family":"Nordström","given":"A","non-dropping-particle":"","parse-names":false,"suffix":""},{"dropping-particle":"","family":"Nordström","given":"P","non-dropping-particle":"","parse-names":false,"suffix":""}],"container-title":"Osteoporosis International","id":"ITEM-1","issue":"4","issued":{"date-parts":[["2018"]]},"page":"937-945","title":"Bisphosphonate use after clinical fracture and risk of new fracture","type":"article-journal","volume":"29"},"uris":["http://www.mendeley.com/documents/?uuid=eb7ca692-5558-44cd-b470-46cf0e5c1d73"]},{"id":"ITEM-2","itemData":{"author":[{"dropping-particle":"","family":"Socialstyrelsen","given":"","non-dropping-particle":"","parse-names":false,"suffix":""},{"dropping-particle":"","family":"Sveriges kommuner och landsting","given":"","non-dropping-particle":"","parse-names":false,"suffix":""}],"id":"ITEM-2","issued":{"date-parts":[["2014"]]},"number-of-pages":"223","publisher-place":"Stockholm","title":"Öppna jämförelser 2014: Hälso- och sjukvård - jämförelser mellan landsting. Del 2. Indikatorer om sjukdomar och behandlingar","type":"book"},"uris":["http://www.mendeley.com/documents/?uuid=cf48489f-97b1-49f8-8e97-ef99b2f367d9"]}],"mendeley":{"formattedCitation":"&lt;sup&gt;&lt;sup&gt;15&lt;/sup&gt;,&lt;sup&gt;16&lt;/sup&gt;&lt;/sup&gt;","plainTextFormattedCitation":"15,16","previouslyFormattedCitation":"&lt;sup&gt;&lt;sup&gt;15&lt;/sup&gt;,&lt;sup&gt;16&lt;/sup&gt;&lt;/sup&gt;"},"properties":{"noteIndex":0},"schema":"https://github.com/citation-style-language/schema/raw/master/csl-citation.json"}</w:instrText>
      </w:r>
      <w:r w:rsidR="00555E07" w:rsidRPr="007B140B">
        <w:rPr>
          <w:rFonts w:ascii="Times New Roman" w:hAnsi="Times New Roman" w:cs="Times New Roman"/>
          <w:iCs/>
          <w:color w:val="000000" w:themeColor="text1"/>
          <w:sz w:val="24"/>
          <w:szCs w:val="24"/>
          <w:lang w:val="en-US"/>
        </w:rPr>
        <w:fldChar w:fldCharType="separate"/>
      </w:r>
      <w:r w:rsidR="00D2485C" w:rsidRPr="00D2485C">
        <w:rPr>
          <w:rFonts w:ascii="Times New Roman" w:hAnsi="Times New Roman" w:cs="Times New Roman"/>
          <w:iCs/>
          <w:noProof/>
          <w:color w:val="000000" w:themeColor="text1"/>
          <w:sz w:val="24"/>
          <w:szCs w:val="24"/>
          <w:vertAlign w:val="superscript"/>
          <w:lang w:val="en-US"/>
        </w:rPr>
        <w:t>15,16</w:t>
      </w:r>
      <w:r w:rsidR="00555E07" w:rsidRPr="007B140B">
        <w:rPr>
          <w:rFonts w:ascii="Times New Roman" w:hAnsi="Times New Roman" w:cs="Times New Roman"/>
          <w:iCs/>
          <w:color w:val="000000" w:themeColor="text1"/>
          <w:sz w:val="24"/>
          <w:szCs w:val="24"/>
          <w:lang w:val="en-US"/>
        </w:rPr>
        <w:fldChar w:fldCharType="end"/>
      </w:r>
      <w:r w:rsidR="00555E07" w:rsidRPr="007B140B">
        <w:rPr>
          <w:rFonts w:ascii="Times New Roman" w:hAnsi="Times New Roman" w:cs="Times New Roman"/>
          <w:iCs/>
          <w:color w:val="000000" w:themeColor="text1"/>
          <w:sz w:val="24"/>
          <w:szCs w:val="24"/>
          <w:lang w:val="en-US"/>
        </w:rPr>
        <w:t xml:space="preserve"> and treatment </w:t>
      </w:r>
      <w:r w:rsidR="000746D6" w:rsidRPr="007B140B">
        <w:rPr>
          <w:rFonts w:ascii="Times New Roman" w:hAnsi="Times New Roman" w:cs="Times New Roman"/>
          <w:iCs/>
          <w:color w:val="000000" w:themeColor="text1"/>
          <w:sz w:val="24"/>
          <w:szCs w:val="24"/>
          <w:lang w:val="en-US"/>
        </w:rPr>
        <w:t xml:space="preserve">decisions are based on local guidelines, which take time to update. </w:t>
      </w:r>
      <w:r w:rsidR="00EC71A8">
        <w:rPr>
          <w:rFonts w:ascii="Times New Roman" w:hAnsi="Times New Roman" w:cs="Times New Roman"/>
          <w:iCs/>
          <w:color w:val="000000" w:themeColor="text1"/>
          <w:sz w:val="24"/>
          <w:szCs w:val="24"/>
          <w:lang w:val="en-US"/>
        </w:rPr>
        <w:t xml:space="preserve">Furthermore, this would reduce the power of the trial to detect effects on secondary outcomes. </w:t>
      </w:r>
      <w:r w:rsidR="000746D6" w:rsidRPr="007B140B">
        <w:rPr>
          <w:rFonts w:ascii="Times New Roman" w:hAnsi="Times New Roman" w:cs="Times New Roman"/>
          <w:iCs/>
          <w:color w:val="000000" w:themeColor="text1"/>
          <w:sz w:val="24"/>
          <w:szCs w:val="24"/>
          <w:lang w:val="en-US"/>
        </w:rPr>
        <w:t xml:space="preserve">Fourth, </w:t>
      </w:r>
      <w:r w:rsidR="00F62468" w:rsidRPr="007B140B">
        <w:rPr>
          <w:rFonts w:ascii="Times New Roman" w:hAnsi="Times New Roman" w:cs="Times New Roman"/>
          <w:iCs/>
          <w:color w:val="000000" w:themeColor="text1"/>
          <w:sz w:val="24"/>
          <w:szCs w:val="24"/>
          <w:lang w:val="en-US"/>
        </w:rPr>
        <w:t xml:space="preserve">interim analyses are complicated to carry out, as they require </w:t>
      </w:r>
      <w:r w:rsidR="000746D6" w:rsidRPr="007B140B">
        <w:rPr>
          <w:rFonts w:ascii="Times New Roman" w:hAnsi="Times New Roman" w:cs="Times New Roman"/>
          <w:iCs/>
          <w:color w:val="000000" w:themeColor="text1"/>
          <w:sz w:val="24"/>
          <w:szCs w:val="24"/>
          <w:lang w:val="en-US"/>
        </w:rPr>
        <w:t>unblinding of the data</w:t>
      </w:r>
      <w:r w:rsidR="00F62468" w:rsidRPr="007B140B">
        <w:rPr>
          <w:rFonts w:ascii="Times New Roman" w:hAnsi="Times New Roman" w:cs="Times New Roman"/>
          <w:iCs/>
          <w:color w:val="000000" w:themeColor="text1"/>
          <w:sz w:val="24"/>
          <w:szCs w:val="24"/>
          <w:lang w:val="en-US"/>
        </w:rPr>
        <w:t>.</w:t>
      </w:r>
      <w:r w:rsidR="00F62468" w:rsidRPr="007B140B">
        <w:rPr>
          <w:rFonts w:ascii="Times New Roman" w:hAnsi="Times New Roman" w:cs="Times New Roman"/>
          <w:iCs/>
          <w:color w:val="000000" w:themeColor="text1"/>
          <w:sz w:val="24"/>
          <w:szCs w:val="24"/>
          <w:lang w:val="en-US"/>
        </w:rPr>
        <w:fldChar w:fldCharType="begin" w:fldLock="1"/>
      </w:r>
      <w:r w:rsidR="00E85D18">
        <w:rPr>
          <w:rFonts w:ascii="Times New Roman" w:hAnsi="Times New Roman" w:cs="Times New Roman"/>
          <w:iCs/>
          <w:color w:val="000000" w:themeColor="text1"/>
          <w:sz w:val="24"/>
          <w:szCs w:val="24"/>
          <w:lang w:val="en-US"/>
        </w:rPr>
        <w:instrText>ADDIN CSL_CITATION {"citationItems":[{"id":"ITEM-1","itemData":{"author":[{"dropping-particle":"","family":"International Conference on Harmonisation of Technical Requirements for Registration of Pharmaceuticals for Human Use","given":"","non-dropping-particle":"","parse-names":false,"suffix":""}],"id":"ITEM-1","issued":{"date-parts":[["1998"]]},"title":"ICH harmonised tripartite guideline E9: statistical principles for clinical trials","type":"book"},"uris":["http://www.mendeley.com/documents/?uuid=1ca974e9-dae6-4663-b770-00d1619b00fe"]}],"mendeley":{"formattedCitation":"&lt;sup&gt;&lt;sup&gt;64&lt;/sup&gt;&lt;/sup&gt;","plainTextFormattedCitation":"64","previouslyFormattedCitation":"&lt;sup&gt;&lt;sup&gt;65&lt;/sup&gt;&lt;/sup&gt;"},"properties":{"noteIndex":0},"schema":"https://github.com/citation-style-language/schema/raw/master/csl-citation.json"}</w:instrText>
      </w:r>
      <w:r w:rsidR="00F62468" w:rsidRPr="007B140B">
        <w:rPr>
          <w:rFonts w:ascii="Times New Roman" w:hAnsi="Times New Roman" w:cs="Times New Roman"/>
          <w:iCs/>
          <w:color w:val="000000" w:themeColor="text1"/>
          <w:sz w:val="24"/>
          <w:szCs w:val="24"/>
          <w:lang w:val="en-US"/>
        </w:rPr>
        <w:fldChar w:fldCharType="separate"/>
      </w:r>
      <w:r w:rsidR="00E85D18" w:rsidRPr="00E85D18">
        <w:rPr>
          <w:rFonts w:ascii="Times New Roman" w:hAnsi="Times New Roman" w:cs="Times New Roman"/>
          <w:iCs/>
          <w:noProof/>
          <w:color w:val="000000" w:themeColor="text1"/>
          <w:sz w:val="24"/>
          <w:szCs w:val="24"/>
          <w:vertAlign w:val="superscript"/>
          <w:lang w:val="en-US"/>
        </w:rPr>
        <w:t>64</w:t>
      </w:r>
      <w:r w:rsidR="00F62468" w:rsidRPr="007B140B">
        <w:rPr>
          <w:rFonts w:ascii="Times New Roman" w:hAnsi="Times New Roman" w:cs="Times New Roman"/>
          <w:iCs/>
          <w:color w:val="000000" w:themeColor="text1"/>
          <w:sz w:val="24"/>
          <w:szCs w:val="24"/>
          <w:lang w:val="en-US"/>
        </w:rPr>
        <w:fldChar w:fldCharType="end"/>
      </w:r>
    </w:p>
    <w:p w14:paraId="3EC93E95" w14:textId="77777777" w:rsidR="00942B8C" w:rsidRPr="007B140B" w:rsidRDefault="00942B8C" w:rsidP="00AE696A">
      <w:pPr>
        <w:spacing w:after="0" w:line="259" w:lineRule="auto"/>
        <w:rPr>
          <w:rFonts w:ascii="Times New Roman" w:hAnsi="Times New Roman" w:cs="Times New Roman"/>
          <w:iCs/>
          <w:color w:val="000000" w:themeColor="text1"/>
          <w:sz w:val="24"/>
          <w:szCs w:val="24"/>
          <w:lang w:val="en-US"/>
        </w:rPr>
      </w:pPr>
    </w:p>
    <w:p w14:paraId="2B83B343" w14:textId="019BC93C" w:rsidR="00560787" w:rsidRPr="007B140B" w:rsidRDefault="00F532EC" w:rsidP="00AE696A">
      <w:pPr>
        <w:spacing w:after="0" w:line="259" w:lineRule="auto"/>
        <w:rPr>
          <w:rFonts w:ascii="Times New Roman" w:hAnsi="Times New Roman" w:cs="Times New Roman"/>
          <w:iCs/>
          <w:color w:val="000000" w:themeColor="text1"/>
          <w:sz w:val="24"/>
          <w:szCs w:val="24"/>
          <w:lang w:val="en-US"/>
        </w:rPr>
      </w:pPr>
      <w:r w:rsidRPr="007B140B">
        <w:rPr>
          <w:rFonts w:ascii="Times New Roman" w:hAnsi="Times New Roman" w:cs="Times New Roman"/>
          <w:iCs/>
          <w:color w:val="000000" w:themeColor="text1"/>
          <w:sz w:val="24"/>
          <w:szCs w:val="24"/>
          <w:lang w:val="en-US"/>
        </w:rPr>
        <w:t>No interim analysis will be performed for the purpose of adjusting the sample size</w:t>
      </w:r>
      <w:r w:rsidR="00A04838" w:rsidRPr="007B140B">
        <w:rPr>
          <w:rFonts w:ascii="Times New Roman" w:hAnsi="Times New Roman" w:cs="Times New Roman"/>
          <w:iCs/>
          <w:color w:val="000000" w:themeColor="text1"/>
          <w:sz w:val="24"/>
          <w:szCs w:val="24"/>
          <w:lang w:val="en-US"/>
        </w:rPr>
        <w:t xml:space="preserve"> upward</w:t>
      </w:r>
      <w:r w:rsidR="00942B8C" w:rsidRPr="007B140B">
        <w:rPr>
          <w:rFonts w:ascii="Times New Roman" w:hAnsi="Times New Roman" w:cs="Times New Roman"/>
          <w:iCs/>
          <w:color w:val="000000" w:themeColor="text1"/>
          <w:sz w:val="24"/>
          <w:szCs w:val="24"/>
          <w:lang w:val="en-US"/>
        </w:rPr>
        <w:t>,</w:t>
      </w:r>
      <w:r w:rsidRPr="007B140B">
        <w:rPr>
          <w:rFonts w:ascii="Times New Roman" w:hAnsi="Times New Roman" w:cs="Times New Roman"/>
          <w:iCs/>
          <w:color w:val="000000" w:themeColor="text1"/>
          <w:sz w:val="24"/>
          <w:szCs w:val="24"/>
          <w:lang w:val="en-US"/>
        </w:rPr>
        <w:t xml:space="preserve"> because </w:t>
      </w:r>
      <w:r w:rsidR="00A04838" w:rsidRPr="007B140B">
        <w:rPr>
          <w:rFonts w:ascii="Times New Roman" w:hAnsi="Times New Roman" w:cs="Times New Roman"/>
          <w:iCs/>
          <w:color w:val="000000" w:themeColor="text1"/>
          <w:sz w:val="24"/>
          <w:szCs w:val="24"/>
          <w:lang w:val="en-US"/>
        </w:rPr>
        <w:t>this would</w:t>
      </w:r>
      <w:r w:rsidRPr="007B140B">
        <w:rPr>
          <w:rFonts w:ascii="Times New Roman" w:hAnsi="Times New Roman" w:cs="Times New Roman"/>
          <w:iCs/>
          <w:color w:val="000000" w:themeColor="text1"/>
          <w:sz w:val="24"/>
          <w:szCs w:val="24"/>
          <w:lang w:val="en-US"/>
        </w:rPr>
        <w:t xml:space="preserve"> not</w:t>
      </w:r>
      <w:r w:rsidR="00942B8C" w:rsidRPr="007B140B">
        <w:rPr>
          <w:rFonts w:ascii="Times New Roman" w:hAnsi="Times New Roman" w:cs="Times New Roman"/>
          <w:iCs/>
          <w:color w:val="000000" w:themeColor="text1"/>
          <w:sz w:val="24"/>
          <w:szCs w:val="24"/>
          <w:lang w:val="en-US"/>
        </w:rPr>
        <w:t xml:space="preserve"> be</w:t>
      </w:r>
      <w:r w:rsidRPr="007B140B">
        <w:rPr>
          <w:rFonts w:ascii="Times New Roman" w:hAnsi="Times New Roman" w:cs="Times New Roman"/>
          <w:iCs/>
          <w:color w:val="000000" w:themeColor="text1"/>
          <w:sz w:val="24"/>
          <w:szCs w:val="24"/>
          <w:lang w:val="en-US"/>
        </w:rPr>
        <w:t xml:space="preserve"> feasible due to budget constraints.</w:t>
      </w:r>
    </w:p>
    <w:p w14:paraId="5234C86B" w14:textId="77777777" w:rsidR="00560787" w:rsidRPr="007B140B" w:rsidRDefault="00560787" w:rsidP="00AE696A">
      <w:pPr>
        <w:spacing w:after="0" w:line="259" w:lineRule="auto"/>
        <w:rPr>
          <w:rFonts w:ascii="Times New Roman" w:hAnsi="Times New Roman" w:cs="Times New Roman"/>
          <w:iCs/>
          <w:color w:val="000000" w:themeColor="text1"/>
          <w:sz w:val="24"/>
          <w:szCs w:val="24"/>
          <w:lang w:val="en-US"/>
        </w:rPr>
      </w:pPr>
    </w:p>
    <w:p w14:paraId="39B8972D" w14:textId="3E5452AC" w:rsidR="00AE696A" w:rsidRPr="007B140B" w:rsidRDefault="00AE696A" w:rsidP="00D36611">
      <w:pPr>
        <w:pStyle w:val="Formatmall3"/>
        <w:rPr>
          <w:rFonts w:cs="Times New Roman"/>
          <w:lang w:val="en-US"/>
        </w:rPr>
      </w:pPr>
      <w:bookmarkStart w:id="97" w:name="_Toc99001436"/>
      <w:r w:rsidRPr="007B140B">
        <w:rPr>
          <w:rFonts w:cs="Times New Roman"/>
          <w:lang w:val="en-US"/>
        </w:rPr>
        <w:t>Sample size and power calculations</w:t>
      </w:r>
      <w:bookmarkEnd w:id="97"/>
    </w:p>
    <w:p w14:paraId="1088C0C1" w14:textId="28AE368D" w:rsidR="00790F73" w:rsidRPr="007B140B" w:rsidRDefault="009D02C0" w:rsidP="009D02C0">
      <w:p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The </w:t>
      </w:r>
      <w:r w:rsidR="009A4A47" w:rsidRPr="007B140B">
        <w:rPr>
          <w:rFonts w:ascii="Times New Roman" w:hAnsi="Times New Roman" w:cs="Times New Roman"/>
          <w:sz w:val="24"/>
          <w:szCs w:val="24"/>
          <w:lang w:val="en-US"/>
        </w:rPr>
        <w:t>trial</w:t>
      </w:r>
      <w:r w:rsidRPr="007B140B">
        <w:rPr>
          <w:rFonts w:ascii="Times New Roman" w:hAnsi="Times New Roman" w:cs="Times New Roman"/>
          <w:sz w:val="24"/>
          <w:szCs w:val="24"/>
          <w:lang w:val="en-US"/>
        </w:rPr>
        <w:t xml:space="preserve"> will enroll 2900 </w:t>
      </w:r>
      <w:r w:rsidR="00973B33">
        <w:rPr>
          <w:rFonts w:ascii="Times New Roman" w:hAnsi="Times New Roman" w:cs="Times New Roman"/>
          <w:sz w:val="24"/>
          <w:szCs w:val="24"/>
          <w:lang w:val="en-US"/>
        </w:rPr>
        <w:t>participants</w:t>
      </w:r>
      <w:r w:rsidR="00BE6963" w:rsidRPr="007B140B">
        <w:rPr>
          <w:rFonts w:ascii="Times New Roman" w:hAnsi="Times New Roman" w:cs="Times New Roman"/>
          <w:sz w:val="24"/>
          <w:szCs w:val="24"/>
          <w:lang w:val="en-US"/>
        </w:rPr>
        <w:t xml:space="preserve">, of whom 227 will need to sustain a clinical fracture during follow-up for the study to achieve </w:t>
      </w:r>
      <w:r w:rsidRPr="007B140B">
        <w:rPr>
          <w:rFonts w:ascii="Times New Roman" w:hAnsi="Times New Roman" w:cs="Times New Roman"/>
          <w:sz w:val="24"/>
          <w:szCs w:val="24"/>
          <w:lang w:val="en-US"/>
        </w:rPr>
        <w:t>90% power to detect a 35% reduction in clinical fractures</w:t>
      </w:r>
      <w:r w:rsidR="00946A82" w:rsidRPr="007B140B">
        <w:rPr>
          <w:rFonts w:ascii="Times New Roman" w:hAnsi="Times New Roman" w:cs="Times New Roman"/>
          <w:sz w:val="24"/>
          <w:szCs w:val="24"/>
          <w:lang w:val="en-US"/>
        </w:rPr>
        <w:t xml:space="preserve"> </w:t>
      </w:r>
      <w:r w:rsidR="0009223C" w:rsidRPr="007B140B">
        <w:rPr>
          <w:rFonts w:ascii="Times New Roman" w:hAnsi="Times New Roman" w:cs="Times New Roman"/>
          <w:sz w:val="24"/>
          <w:szCs w:val="24"/>
          <w:lang w:val="en-US"/>
        </w:rPr>
        <w:t xml:space="preserve">with the log-rank test </w:t>
      </w:r>
      <w:r w:rsidR="00946A82" w:rsidRPr="007B140B">
        <w:rPr>
          <w:rFonts w:ascii="Times New Roman" w:hAnsi="Times New Roman" w:cs="Times New Roman"/>
          <w:sz w:val="24"/>
          <w:szCs w:val="24"/>
          <w:lang w:val="en-US"/>
        </w:rPr>
        <w:t>(2-sided significance level of 5%)</w:t>
      </w:r>
      <w:r w:rsidR="00BE6963" w:rsidRPr="007B140B">
        <w:rPr>
          <w:rFonts w:ascii="Times New Roman" w:hAnsi="Times New Roman" w:cs="Times New Roman"/>
          <w:sz w:val="24"/>
          <w:szCs w:val="24"/>
          <w:lang w:val="en-US"/>
        </w:rPr>
        <w:t>. T</w:t>
      </w:r>
      <w:r w:rsidR="00946A82" w:rsidRPr="007B140B">
        <w:rPr>
          <w:rFonts w:ascii="Times New Roman" w:hAnsi="Times New Roman" w:cs="Times New Roman"/>
          <w:sz w:val="24"/>
          <w:szCs w:val="24"/>
          <w:lang w:val="en-US"/>
        </w:rPr>
        <w:t xml:space="preserve">his calculation assumes </w:t>
      </w:r>
      <w:r w:rsidR="00BC6D69" w:rsidRPr="007B140B">
        <w:rPr>
          <w:rFonts w:ascii="Times New Roman" w:hAnsi="Times New Roman" w:cs="Times New Roman"/>
          <w:sz w:val="24"/>
          <w:szCs w:val="24"/>
          <w:lang w:val="en-US"/>
        </w:rPr>
        <w:t>a</w:t>
      </w:r>
      <w:r w:rsidR="00946A82" w:rsidRPr="007B140B">
        <w:rPr>
          <w:rFonts w:ascii="Times New Roman" w:hAnsi="Times New Roman" w:cs="Times New Roman"/>
          <w:sz w:val="24"/>
          <w:szCs w:val="24"/>
          <w:lang w:val="en-US"/>
        </w:rPr>
        <w:t xml:space="preserve"> </w:t>
      </w:r>
      <w:r w:rsidRPr="007B140B">
        <w:rPr>
          <w:rFonts w:ascii="Times New Roman" w:hAnsi="Times New Roman" w:cs="Times New Roman"/>
          <w:sz w:val="24"/>
          <w:szCs w:val="24"/>
          <w:lang w:val="en-US"/>
        </w:rPr>
        <w:t>4-year fracture risk</w:t>
      </w:r>
      <w:r w:rsidR="00946A82" w:rsidRPr="007B140B">
        <w:rPr>
          <w:rFonts w:ascii="Times New Roman" w:hAnsi="Times New Roman" w:cs="Times New Roman"/>
          <w:sz w:val="24"/>
          <w:szCs w:val="24"/>
          <w:lang w:val="en-US"/>
        </w:rPr>
        <w:t xml:space="preserve"> of 10%</w:t>
      </w:r>
      <w:r w:rsidRPr="007B140B">
        <w:rPr>
          <w:rFonts w:ascii="Times New Roman" w:hAnsi="Times New Roman" w:cs="Times New Roman"/>
          <w:sz w:val="24"/>
          <w:szCs w:val="24"/>
          <w:lang w:val="en-US"/>
        </w:rPr>
        <w:t xml:space="preserve"> in the placebo group and a</w:t>
      </w:r>
      <w:r w:rsidR="00946A82" w:rsidRPr="007B140B">
        <w:rPr>
          <w:rFonts w:ascii="Times New Roman" w:hAnsi="Times New Roman" w:cs="Times New Roman"/>
          <w:sz w:val="24"/>
          <w:szCs w:val="24"/>
          <w:lang w:val="en-US"/>
        </w:rPr>
        <w:t xml:space="preserve">n </w:t>
      </w:r>
      <w:r w:rsidR="003D595D" w:rsidRPr="007B140B">
        <w:rPr>
          <w:rFonts w:ascii="Times New Roman" w:hAnsi="Times New Roman" w:cs="Times New Roman"/>
          <w:sz w:val="24"/>
          <w:szCs w:val="24"/>
          <w:lang w:val="en-US"/>
        </w:rPr>
        <w:t xml:space="preserve">overall </w:t>
      </w:r>
      <w:r w:rsidRPr="007B140B">
        <w:rPr>
          <w:rFonts w:ascii="Times New Roman" w:hAnsi="Times New Roman" w:cs="Times New Roman"/>
          <w:sz w:val="24"/>
          <w:szCs w:val="24"/>
          <w:lang w:val="en-US"/>
        </w:rPr>
        <w:t>dropout rate</w:t>
      </w:r>
      <w:r w:rsidR="00946A82" w:rsidRPr="007B140B">
        <w:rPr>
          <w:rFonts w:ascii="Times New Roman" w:hAnsi="Times New Roman" w:cs="Times New Roman"/>
          <w:sz w:val="24"/>
          <w:szCs w:val="24"/>
          <w:lang w:val="en-US"/>
        </w:rPr>
        <w:t xml:space="preserve"> of 5%</w:t>
      </w:r>
      <w:r w:rsidR="005B5A74" w:rsidRPr="007B140B">
        <w:rPr>
          <w:rFonts w:ascii="Times New Roman" w:hAnsi="Times New Roman" w:cs="Times New Roman"/>
          <w:sz w:val="24"/>
          <w:szCs w:val="24"/>
          <w:lang w:val="en-US"/>
        </w:rPr>
        <w:t xml:space="preserve"> (due to withdrawal</w:t>
      </w:r>
      <w:r w:rsidR="007077BC" w:rsidRPr="007B140B">
        <w:rPr>
          <w:rFonts w:ascii="Times New Roman" w:hAnsi="Times New Roman" w:cs="Times New Roman"/>
          <w:sz w:val="24"/>
          <w:szCs w:val="24"/>
          <w:lang w:val="en-US"/>
        </w:rPr>
        <w:t xml:space="preserve"> or loss to follow-up</w:t>
      </w:r>
      <w:r w:rsidR="0054133B">
        <w:rPr>
          <w:rFonts w:ascii="Times New Roman" w:hAnsi="Times New Roman" w:cs="Times New Roman"/>
          <w:sz w:val="24"/>
          <w:szCs w:val="24"/>
          <w:lang w:val="en-US"/>
        </w:rPr>
        <w:t>, i.e.,</w:t>
      </w:r>
      <w:r w:rsidR="006C3727">
        <w:rPr>
          <w:rFonts w:ascii="Times New Roman" w:hAnsi="Times New Roman" w:cs="Times New Roman"/>
          <w:sz w:val="24"/>
          <w:szCs w:val="24"/>
          <w:lang w:val="en-US"/>
        </w:rPr>
        <w:t xml:space="preserve"> deaths excluded</w:t>
      </w:r>
      <w:r w:rsidR="005B5A74" w:rsidRPr="007B140B">
        <w:rPr>
          <w:rFonts w:ascii="Times New Roman" w:hAnsi="Times New Roman" w:cs="Times New Roman"/>
          <w:sz w:val="24"/>
          <w:szCs w:val="24"/>
          <w:lang w:val="en-US"/>
        </w:rPr>
        <w:t>)</w:t>
      </w:r>
      <w:r w:rsidRPr="007B140B">
        <w:rPr>
          <w:rFonts w:ascii="Times New Roman" w:hAnsi="Times New Roman" w:cs="Times New Roman"/>
          <w:sz w:val="24"/>
          <w:szCs w:val="24"/>
          <w:lang w:val="en-US"/>
        </w:rPr>
        <w:t>.</w:t>
      </w:r>
      <w:r w:rsidR="00A708FB" w:rsidRPr="007B140B">
        <w:rPr>
          <w:rFonts w:ascii="Times New Roman" w:hAnsi="Times New Roman" w:cs="Times New Roman"/>
          <w:sz w:val="24"/>
          <w:szCs w:val="24"/>
          <w:lang w:val="en-US"/>
        </w:rPr>
        <w:t xml:space="preserve"> </w:t>
      </w:r>
      <w:r w:rsidR="00946A82" w:rsidRPr="007B140B">
        <w:rPr>
          <w:rFonts w:ascii="Times New Roman" w:hAnsi="Times New Roman" w:cs="Times New Roman"/>
          <w:sz w:val="24"/>
          <w:szCs w:val="24"/>
          <w:lang w:val="en-US"/>
        </w:rPr>
        <w:t>The details of the calculation can be found in Appendix 1.</w:t>
      </w:r>
      <w:r w:rsidR="00095127" w:rsidRPr="007B140B">
        <w:rPr>
          <w:rFonts w:ascii="Times New Roman" w:hAnsi="Times New Roman" w:cs="Times New Roman"/>
          <w:sz w:val="24"/>
          <w:szCs w:val="24"/>
          <w:lang w:val="en-US"/>
        </w:rPr>
        <w:t xml:space="preserve"> </w:t>
      </w:r>
      <w:r w:rsidR="005B6791" w:rsidRPr="007B140B">
        <w:rPr>
          <w:rFonts w:ascii="Times New Roman" w:hAnsi="Times New Roman" w:cs="Times New Roman"/>
          <w:sz w:val="24"/>
          <w:szCs w:val="24"/>
          <w:lang w:val="en-US"/>
        </w:rPr>
        <w:t>Appendix 2 provides a</w:t>
      </w:r>
      <w:r w:rsidR="00095127" w:rsidRPr="007B140B">
        <w:rPr>
          <w:rFonts w:ascii="Times New Roman" w:hAnsi="Times New Roman" w:cs="Times New Roman"/>
          <w:sz w:val="24"/>
          <w:szCs w:val="24"/>
          <w:lang w:val="en-US"/>
        </w:rPr>
        <w:t xml:space="preserve"> table of required sample sizes under varying assumptions.</w:t>
      </w:r>
      <w:r w:rsidR="00C56643" w:rsidRPr="007B140B">
        <w:rPr>
          <w:rFonts w:ascii="Times New Roman" w:hAnsi="Times New Roman" w:cs="Times New Roman"/>
          <w:sz w:val="24"/>
          <w:szCs w:val="24"/>
          <w:lang w:val="en-US"/>
        </w:rPr>
        <w:t xml:space="preserve"> As shown, the </w:t>
      </w:r>
      <w:r w:rsidR="001E2225" w:rsidRPr="007B140B">
        <w:rPr>
          <w:rFonts w:ascii="Times New Roman" w:hAnsi="Times New Roman" w:cs="Times New Roman"/>
          <w:sz w:val="24"/>
          <w:szCs w:val="24"/>
          <w:lang w:val="en-US"/>
        </w:rPr>
        <w:t xml:space="preserve">required </w:t>
      </w:r>
      <w:r w:rsidR="00C56643" w:rsidRPr="007B140B">
        <w:rPr>
          <w:rFonts w:ascii="Times New Roman" w:hAnsi="Times New Roman" w:cs="Times New Roman"/>
          <w:sz w:val="24"/>
          <w:szCs w:val="24"/>
          <w:lang w:val="en-US"/>
        </w:rPr>
        <w:t>sample size is sensitive to changes in the assume</w:t>
      </w:r>
      <w:r w:rsidR="001148D2" w:rsidRPr="007B140B">
        <w:rPr>
          <w:rFonts w:ascii="Times New Roman" w:hAnsi="Times New Roman" w:cs="Times New Roman"/>
          <w:sz w:val="24"/>
          <w:szCs w:val="24"/>
          <w:lang w:val="en-US"/>
        </w:rPr>
        <w:t>d</w:t>
      </w:r>
      <w:r w:rsidR="00C56643" w:rsidRPr="007B140B">
        <w:rPr>
          <w:rFonts w:ascii="Times New Roman" w:hAnsi="Times New Roman" w:cs="Times New Roman"/>
          <w:sz w:val="24"/>
          <w:szCs w:val="24"/>
          <w:lang w:val="en-US"/>
        </w:rPr>
        <w:t xml:space="preserve"> hazard ratio</w:t>
      </w:r>
      <w:r w:rsidR="00A433FC" w:rsidRPr="007B140B">
        <w:rPr>
          <w:rFonts w:ascii="Times New Roman" w:hAnsi="Times New Roman" w:cs="Times New Roman"/>
          <w:sz w:val="24"/>
          <w:szCs w:val="24"/>
          <w:lang w:val="en-US"/>
        </w:rPr>
        <w:t xml:space="preserve"> and </w:t>
      </w:r>
      <w:r w:rsidR="005B6791" w:rsidRPr="007B140B">
        <w:rPr>
          <w:rFonts w:ascii="Times New Roman" w:hAnsi="Times New Roman" w:cs="Times New Roman"/>
          <w:sz w:val="24"/>
          <w:szCs w:val="24"/>
          <w:lang w:val="en-US"/>
        </w:rPr>
        <w:t xml:space="preserve">the assumed </w:t>
      </w:r>
      <w:r w:rsidR="001148D2" w:rsidRPr="007B140B">
        <w:rPr>
          <w:rFonts w:ascii="Times New Roman" w:hAnsi="Times New Roman" w:cs="Times New Roman"/>
          <w:sz w:val="24"/>
          <w:szCs w:val="24"/>
          <w:lang w:val="en-US"/>
        </w:rPr>
        <w:t xml:space="preserve">fracture risk </w:t>
      </w:r>
      <w:r w:rsidR="00C56643" w:rsidRPr="007B140B">
        <w:rPr>
          <w:rFonts w:ascii="Times New Roman" w:hAnsi="Times New Roman" w:cs="Times New Roman"/>
          <w:sz w:val="24"/>
          <w:szCs w:val="24"/>
          <w:lang w:val="en-US"/>
        </w:rPr>
        <w:t xml:space="preserve">in the placebo group, but it is relatively insensitive to </w:t>
      </w:r>
      <w:r w:rsidR="006D2AB4" w:rsidRPr="007B140B">
        <w:rPr>
          <w:rFonts w:ascii="Times New Roman" w:hAnsi="Times New Roman" w:cs="Times New Roman"/>
          <w:sz w:val="24"/>
          <w:szCs w:val="24"/>
          <w:lang w:val="en-US"/>
        </w:rPr>
        <w:t xml:space="preserve">changes </w:t>
      </w:r>
      <w:r w:rsidR="00AA7883" w:rsidRPr="007B140B">
        <w:rPr>
          <w:rFonts w:ascii="Times New Roman" w:hAnsi="Times New Roman" w:cs="Times New Roman"/>
          <w:sz w:val="24"/>
          <w:szCs w:val="24"/>
          <w:lang w:val="en-US"/>
        </w:rPr>
        <w:t xml:space="preserve">in </w:t>
      </w:r>
      <w:r w:rsidR="00C56643" w:rsidRPr="007B140B">
        <w:rPr>
          <w:rFonts w:ascii="Times New Roman" w:hAnsi="Times New Roman" w:cs="Times New Roman"/>
          <w:sz w:val="24"/>
          <w:szCs w:val="24"/>
          <w:lang w:val="en-US"/>
        </w:rPr>
        <w:t>dropout</w:t>
      </w:r>
      <w:r w:rsidR="006D2AB4" w:rsidRPr="007B140B">
        <w:rPr>
          <w:rFonts w:ascii="Times New Roman" w:hAnsi="Times New Roman" w:cs="Times New Roman"/>
          <w:sz w:val="24"/>
          <w:szCs w:val="24"/>
          <w:lang w:val="en-US"/>
        </w:rPr>
        <w:t xml:space="preserve"> rate</w:t>
      </w:r>
      <w:r w:rsidR="00C56643" w:rsidRPr="007B140B">
        <w:rPr>
          <w:rFonts w:ascii="Times New Roman" w:hAnsi="Times New Roman" w:cs="Times New Roman"/>
          <w:sz w:val="24"/>
          <w:szCs w:val="24"/>
          <w:lang w:val="en-US"/>
        </w:rPr>
        <w:t>.</w:t>
      </w:r>
      <w:r w:rsidR="00095127" w:rsidRPr="007B140B">
        <w:rPr>
          <w:rFonts w:ascii="Times New Roman" w:hAnsi="Times New Roman" w:cs="Times New Roman"/>
          <w:sz w:val="24"/>
          <w:szCs w:val="24"/>
          <w:lang w:val="en-US"/>
        </w:rPr>
        <w:t xml:space="preserve"> </w:t>
      </w:r>
    </w:p>
    <w:p w14:paraId="4CD6B7BA" w14:textId="07736869" w:rsidR="009D02C0" w:rsidRPr="007B140B" w:rsidRDefault="009D02C0" w:rsidP="0086160F">
      <w:p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To put the assumptions of the sample-size calculation in perspective, we note that 3 of 4 previous large trials of zoledronic acid had </w:t>
      </w:r>
      <w:r w:rsidR="00CE18D5" w:rsidRPr="007B140B">
        <w:rPr>
          <w:rFonts w:ascii="Times New Roman" w:hAnsi="Times New Roman" w:cs="Times New Roman"/>
          <w:sz w:val="24"/>
          <w:szCs w:val="24"/>
          <w:lang w:val="en-US"/>
        </w:rPr>
        <w:t>90% power,</w:t>
      </w:r>
      <w:r w:rsidR="008A6FB4" w:rsidRPr="007B140B">
        <w:rPr>
          <w:rFonts w:ascii="Times New Roman" w:hAnsi="Times New Roman" w:cs="Times New Roman"/>
          <w:sz w:val="24"/>
          <w:szCs w:val="24"/>
          <w:lang w:val="en-US"/>
        </w:rPr>
        <w:fldChar w:fldCharType="begin" w:fldLock="1"/>
      </w:r>
      <w:r w:rsidR="00D2485C">
        <w:rPr>
          <w:rFonts w:ascii="Times New Roman" w:hAnsi="Times New Roman" w:cs="Times New Roman"/>
          <w:sz w:val="24"/>
          <w:szCs w:val="24"/>
          <w:lang w:val="en-US"/>
        </w:rPr>
        <w:instrText>ADDIN CSL_CITATION {"citationItems":[{"id":"ITEM-1","itemData":{"DOI":"10.1056/NEJMoa067312","author":[{"dropping-particle":"","family":"Black","given":"D M","non-dropping-particle":"","parse-names":false,"suffix":""},{"dropping-particle":"","family":"Delmas","given":"P D","non-dropping-particle":"","parse-names":false,"suffix":""},{"dropping-particle":"","family":"Eastell","given":"R","non-dropping-particle":"","parse-names":false,"suffix":""},{"dropping-particle":"","family":"Reid","given":"I R","non-dropping-particle":"","parse-names":false,"suffix":""},{"dropping-particle":"","family":"Boonen","given":"S","non-dropping-particle":"","parse-names":false,"suffix":""},{"dropping-particle":"","family":"Cauley","given":"J A","non-dropping-particle":"","parse-names":false,"suffix":""},{"dropping-particle":"","family":"Cosman","given":"F","non-dropping-particle":"","parse-names":false,"suffix":""},{"dropping-particle":"","family":"Lakatos","given":"P","non-dropping-particle":"","parse-names":false,"suffix":""},{"dropping-particle":"","family":"Leung","given":"P C","non-dropping-particle":"","parse-names":false,"suffix":""},{"dropping-particle":"","family":"Man","given":"Z","non-dropping-particle":"","parse-names":false,"suffix":""},{"dropping-particle":"","family":"Mautalen","given":"C","non-dropping-particle":"","parse-names":false,"suffix":""},{"dropping-particle":"","family":"Mesenbrink","given":"P","non-dropping-particle":"","parse-names":false,"suffix":""},{"dropping-particle":"","family":"Hu","given":"H","non-dropping-particle":"","parse-names":false,"suffix":""},{"dropping-particle":"","family":"Caminis","given":"J","non-dropping-particle":"","parse-names":false,"suffix":""},{"dropping-particle":"","family":"Tong","given":"K","non-dropping-particle":"","parse-names":false,"suffix":""},{"dropping-particle":"","family":"Rosario-Jansen","given":"T","non-dropping-particle":"","parse-names":false,"suffix":""},{"dropping-particle":"","family":"Krasnow","given":"J","non-dropping-particle":"","parse-names":false,"suffix":""},{"dropping-particle":"","family":"Hue","given":"T F","non-dropping-particle":"","parse-names":false,"suffix":""},{"dropping-particle":"","family":"Sellmeyer","given":"D","non-dropping-particle":"","parse-names":false,"suffix":""},{"dropping-particle":"","family":"Eriksen","given":"E F","non-dropping-particle":"","parse-names":false,"suffix":""},{"dropping-particle":"","family":"Cummings","given":"S R","non-dropping-particle":"","parse-names":false,"suffix":""}],"container-title":"N Engl J Med","id":"ITEM-1","issue":"18","issued":{"date-parts":[["2007"]]},"page":"1809-1822","title":"Once-yearly zoledronic acid for treatment of postmenopausal osteoporosis","type":"article-journal","volume":"356"},"uris":["http://www.mendeley.com/documents/?uuid=0f13fad4-b5f5-42f7-873f-7dd2216502be"]},{"id":"ITEM-2","itemData":{"DOI":"10.1056/NEJMoa074941","author":[{"dropping-particle":"","family":"Lyles","given":"Kenneth W.","non-dropping-particle":"","parse-names":false,"suffix":""},{"dropping-particle":"","family":"Colón-Emeric","given":"Cathleen S.","non-dropping-particle":"","parse-names":false,"suffix":""},{"dropping-particle":"","family":"Magaziner","given":"Jay S.","non-dropping-particle":"","parse-names":false,"suffix":""},{"dropping-particle":"","family":"Adachi","given":"Jonathan D.","non-dropping-particle":"","parse-names":false,"suffix":""},{"dropping-particle":"","family":"Pieper","given":"Carl F.","non-dropping-particle":"","parse-names":false,"suffix":""},{"dropping-particle":"","family":"Mautalen","given":"Carlos","non-dropping-particle":"","parse-names":false,"suffix":""},{"dropping-particle":"","family":"Hyldstrup","given":"Lars","non-dropping-particle":"","parse-names":false,"suffix":""},{"dropping-particle":"","family":"Recknor","given":"Chris","non-dropping-particle":"","parse-names":false,"suffix":""},{"dropping-particle":"","family":"Nordsletten","given":"Lars","non-dropping-particle":"","parse-names":false,"suffix":""},{"dropping-particle":"","family":"Moore","given":"Kathy A.","non-dropping-particle":"","parse-names":false,"suffix":""},{"dropping-particle":"","family":"Lavecchia","given":"Catherine","non-dropping-particle":"","parse-names":false,"suffix":""},{"dropping-particle":"","family":"Zhang","given":"Jie","non-dropping-particle":"","parse-names":false,"suffix":""},{"dropping-particle":"","family":"Mesenbrink","given":"Peter","non-dropping-particle":"","parse-names":false,"suffix":""},{"dropping-particle":"","family":"Hodgson","given":"Patricia K.","non-dropping-particle":"","parse-names":false,"suffix":""},{"dropping-particle":"","family":"Abrams","given":"Ken","non-dropping-particle":"","parse-names":false,"suffix":""},{"dropping-particle":"","family":"Orloff","given":"John J.","non-dropping-particle":"","parse-names":false,"suffix":""},{"dropping-particle":"","family":"Horowitz","given":"Zebulun","non-dropping-particle":"","parse-names":false,"suffix":""},{"dropping-particle":"","family":"Eriksen","given":"Erik Fink","non-dropping-particle":"","parse-names":false,"suffix":""},{"dropping-particle":"","family":"Boonen","given":"Steven","non-dropping-particle":"","parse-names":false,"suffix":""}],"container-title":"New England Journal of Medicine","id":"ITEM-2","issue":"18","issued":{"date-parts":[["2007"]]},"page":"1799-1809","title":"Zoledronic acid and clinical fractures and mortality after hip fracture","type":"article-journal","volume":"357"},"uris":["http://www.mendeley.com/documents/?uuid=fdc4eb3b-a387-4743-a233-680ae590c2cf"]},{"id":"ITEM-3","itemData":{"DOI":"10.1056/NEJMoa1204061","ISBN":"0028-4793","ISSN":"1533-4406","PMID":"23113482","abstract":"Fractures in men are a major health issue, and data on the antifracture efficacy of therapies for osteoporosis in men are limited. We studied the effect of zoledronic acid on fracture risk among men with osteoporosis.","author":[{"dropping-particle":"","family":"Boonen","given":"Steven","non-dropping-particle":"","parse-names":false,"suffix":""},{"dropping-particle":"","family":"Reginster","given":"Jean Yves","non-dropping-particle":"","parse-names":false,"suffix":""},{"dropping-particle":"","family":"Kaufman","given":"Jean Marc","non-dropping-particle":"","parse-names":false,"suffix":""},{"dropping-particle":"","family":"Lippuner","given":"Kurt","non-dropping-particle":"","parse-names":false,"suffix":""},{"dropping-particle":"","family":"Zanchetta","given":"Jose","non-dropping-particle":"","parse-names":false,"suffix":""},{"dropping-particle":"","family":"Langdahl","given":"Bente","non-dropping-particle":"","parse-names":false,"suffix":""},{"dropping-particle":"","family":"Rizzoli","given":"Rene","non-dropping-particle":"","parse-names":false,"suffix":""},{"dropping-particle":"","family":"Lipschitz","given":"Stanley","non-dropping-particle":"","parse-names":false,"suffix":""},{"dropping-particle":"","family":"Dimai","given":"Hans Peter","non-dropping-particle":"","parse-names":false,"suffix":""},{"dropping-particle":"","family":"Witvrouw","given":"Richard","non-dropping-particle":"","parse-names":false,"suffix":""},{"dropping-particle":"","family":"Eriksen","given":"Erik","non-dropping-particle":"","parse-names":false,"suffix":""},{"dropping-particle":"","family":"Brixen","given":"Kim","non-dropping-particle":"","parse-names":false,"suffix":""},{"dropping-particle":"","family":"Russo","given":"Luis","non-dropping-particle":"","parse-names":false,"suffix":""},{"dropping-particle":"","family":"Claessens","given":"Frank","non-dropping-particle":"","parse-names":false,"suffix":""},{"dropping-particle":"","family":"Papanastasiou","given":"Philemon","non-dropping-particle":"","parse-names":false,"suffix":""},{"dropping-particle":"","family":"Antunez","given":"Oscar","non-dropping-particle":"","parse-names":false,"suffix":""},{"dropping-particle":"","family":"Su","given":"Guoqin","non-dropping-particle":"","parse-names":false,"suffix":""},{"dropping-particle":"","family":"Bucci-Rechtweg","given":"Christina","non-dropping-particle":"","parse-names":false,"suffix":""},{"dropping-particle":"","family":"Hruska","given":"Josef","non-dropping-particle":"","parse-names":false,"suffix":""},{"dropping-particle":"","family":"Incera","given":"Elodie","non-dropping-particle":"","parse-names":false,"suffix":""},{"dropping-particle":"","family":"Vanderschueren","given":"Dirk","non-dropping-particle":"","parse-names":false,"suffix":""},{"dropping-particle":"","family":"Orwoll","given":"Eric","non-dropping-particle":"","parse-names":false,"suffix":""}],"container-title":"New England Journal of Medicine","id":"ITEM-3","issued":{"date-parts":[["2012"]]},"page":"1714-23","title":"Fracture risk and zoledronic acid therapy in men with osteoporosis.","type":"article-journal","volume":"367"},"uris":["http://www.mendeley.com/documents/?uuid=468f639f-e766-4ff9-83b2-83686de955c1"]}],"mendeley":{"formattedCitation":"&lt;sup&gt;&lt;sup&gt;19&lt;/sup&gt;,&lt;sup&gt;20&lt;/sup&gt;,&lt;sup&gt;22&lt;/sup&gt;&lt;/sup&gt;","plainTextFormattedCitation":"19,20,22","previouslyFormattedCitation":"&lt;sup&gt;&lt;sup&gt;19&lt;/sup&gt;,&lt;sup&gt;20&lt;/sup&gt;,&lt;sup&gt;22&lt;/sup&gt;&lt;/sup&gt;"},"properties":{"noteIndex":0},"schema":"https://github.com/citation-style-language/schema/raw/master/csl-citation.json"}</w:instrText>
      </w:r>
      <w:r w:rsidR="008A6FB4" w:rsidRPr="007B140B">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19,20,22</w:t>
      </w:r>
      <w:r w:rsidR="008A6FB4" w:rsidRPr="007B140B">
        <w:rPr>
          <w:rFonts w:ascii="Times New Roman" w:hAnsi="Times New Roman" w:cs="Times New Roman"/>
          <w:sz w:val="24"/>
          <w:szCs w:val="24"/>
          <w:lang w:val="en-US"/>
        </w:rPr>
        <w:fldChar w:fldCharType="end"/>
      </w:r>
      <w:r w:rsidR="00CE18D5" w:rsidRPr="007B140B">
        <w:rPr>
          <w:rFonts w:ascii="Times New Roman" w:hAnsi="Times New Roman" w:cs="Times New Roman"/>
          <w:sz w:val="24"/>
          <w:szCs w:val="24"/>
          <w:lang w:val="en-US"/>
        </w:rPr>
        <w:t xml:space="preserve"> </w:t>
      </w:r>
      <w:r w:rsidR="00131061" w:rsidRPr="007B140B">
        <w:rPr>
          <w:rFonts w:ascii="Times New Roman" w:hAnsi="Times New Roman" w:cs="Times New Roman"/>
          <w:sz w:val="24"/>
          <w:szCs w:val="24"/>
          <w:lang w:val="en-US"/>
        </w:rPr>
        <w:t>whereas the fourth had 80% power</w:t>
      </w:r>
      <w:r w:rsidRPr="007B140B">
        <w:rPr>
          <w:rFonts w:ascii="Times New Roman" w:hAnsi="Times New Roman" w:cs="Times New Roman"/>
          <w:sz w:val="24"/>
          <w:szCs w:val="24"/>
          <w:lang w:val="en-US"/>
        </w:rPr>
        <w:t>.</w:t>
      </w:r>
      <w:r w:rsidR="008A6FB4" w:rsidRPr="007B140B">
        <w:rPr>
          <w:rFonts w:ascii="Times New Roman" w:hAnsi="Times New Roman" w:cs="Times New Roman"/>
          <w:sz w:val="24"/>
          <w:szCs w:val="24"/>
          <w:lang w:val="en-US"/>
        </w:rPr>
        <w:fldChar w:fldCharType="begin" w:fldLock="1"/>
      </w:r>
      <w:r w:rsidR="00D2485C">
        <w:rPr>
          <w:rFonts w:ascii="Times New Roman" w:hAnsi="Times New Roman" w:cs="Times New Roman"/>
          <w:sz w:val="24"/>
          <w:szCs w:val="24"/>
          <w:lang w:val="en-US"/>
        </w:rPr>
        <w:instrText>ADDIN CSL_CITATION {"citationItems":[{"id":"ITEM-1","itemData":{"DOI":"10.1056/NEJMoa1808082","ISSN":"0028-4793","author":[{"dropping-particle":"","family":"Reid","given":"Ian R.","non-dropping-particle":"","parse-names":false,"suffix":""},{"dropping-particle":"","family":"Horne","given":"Anne M.","non-dropping-particle":"","parse-names":false,"suffix":""},{"dropping-particle":"","family":"Mihov","given":"Borislav","non-dropping-particle":"","parse-names":false,"suffix":""},{"dropping-particle":"","family":"Stewart","given":"Angela","non-dropping-particle":"","parse-names":false,"suffix":""},{"dropping-particle":"","family":"Garratt","given":"Elizabeth","non-dropping-particle":"","parse-names":false,"suffix":""},{"dropping-particle":"","family":"Wong","given":"Sumwai","non-dropping-particle":"","parse-names":false,"suffix":""},{"dropping-particle":"","family":"Wiessing","given":"Katy R.","non-dropping-particle":"","parse-names":false,"suffix":""},{"dropping-particle":"","family":"Bolland","given":"Mark J.","non-dropping-particle":"","parse-names":false,"suffix":""},{"dropping-particle":"","family":"Bastin","given":"Sonja","non-dropping-particle":"","parse-names":false,"suffix":""},{"dropping-particle":"","family":"Gamble","given":"Gregory D.","non-dropping-particle":"","parse-names":false,"suffix":""}],"container-title":"New England Journal of Medicine","id":"ITEM-1","issue":"25","issued":{"date-parts":[["2018"]]},"page":"2407-2416","title":"Fracture prevention with zoledronate in older women with osteopenia","type":"article-journal","volume":"379"},"uris":["http://www.mendeley.com/documents/?uuid=69cbf6db-0dca-4f28-87bb-02a266b0d7ef"]}],"mendeley":{"formattedCitation":"&lt;sup&gt;&lt;sup&gt;21&lt;/sup&gt;&lt;/sup&gt;","plainTextFormattedCitation":"21","previouslyFormattedCitation":"&lt;sup&gt;&lt;sup&gt;21&lt;/sup&gt;&lt;/sup&gt;"},"properties":{"noteIndex":0},"schema":"https://github.com/citation-style-language/schema/raw/master/csl-citation.json"}</w:instrText>
      </w:r>
      <w:r w:rsidR="008A6FB4" w:rsidRPr="007B140B">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21</w:t>
      </w:r>
      <w:r w:rsidR="008A6FB4" w:rsidRPr="007B140B">
        <w:rPr>
          <w:rFonts w:ascii="Times New Roman" w:hAnsi="Times New Roman" w:cs="Times New Roman"/>
          <w:sz w:val="24"/>
          <w:szCs w:val="24"/>
          <w:lang w:val="en-US"/>
        </w:rPr>
        <w:fldChar w:fldCharType="end"/>
      </w:r>
      <w:r w:rsidRPr="007B140B">
        <w:rPr>
          <w:rFonts w:ascii="Times New Roman" w:hAnsi="Times New Roman" w:cs="Times New Roman"/>
          <w:sz w:val="24"/>
          <w:szCs w:val="24"/>
          <w:lang w:val="en-US"/>
        </w:rPr>
        <w:t xml:space="preserve"> </w:t>
      </w:r>
      <w:r w:rsidR="007077BC" w:rsidRPr="007B140B">
        <w:rPr>
          <w:rFonts w:ascii="Times New Roman" w:hAnsi="Times New Roman" w:cs="Times New Roman"/>
          <w:sz w:val="24"/>
          <w:szCs w:val="24"/>
          <w:lang w:val="en-US"/>
        </w:rPr>
        <w:t>Incomplete follow-up (deaths excluded)</w:t>
      </w:r>
      <w:r w:rsidR="008A6FB4" w:rsidRPr="007B140B">
        <w:rPr>
          <w:rFonts w:ascii="Times New Roman" w:hAnsi="Times New Roman" w:cs="Times New Roman"/>
          <w:sz w:val="24"/>
          <w:szCs w:val="24"/>
          <w:lang w:val="en-US"/>
        </w:rPr>
        <w:t xml:space="preserve"> was observed in </w:t>
      </w:r>
      <w:r w:rsidR="007077BC" w:rsidRPr="007B140B">
        <w:rPr>
          <w:rFonts w:ascii="Times New Roman" w:hAnsi="Times New Roman" w:cs="Times New Roman"/>
          <w:sz w:val="24"/>
          <w:szCs w:val="24"/>
          <w:lang w:val="en-US"/>
        </w:rPr>
        <w:t>4</w:t>
      </w:r>
      <w:r w:rsidRPr="007B140B">
        <w:rPr>
          <w:rFonts w:ascii="Times New Roman" w:hAnsi="Times New Roman" w:cs="Times New Roman"/>
          <w:sz w:val="24"/>
          <w:szCs w:val="24"/>
          <w:lang w:val="en-US"/>
        </w:rPr>
        <w:t xml:space="preserve">% </w:t>
      </w:r>
      <w:r w:rsidR="008A6FB4" w:rsidRPr="007B140B">
        <w:rPr>
          <w:rFonts w:ascii="Times New Roman" w:hAnsi="Times New Roman" w:cs="Times New Roman"/>
          <w:sz w:val="24"/>
          <w:szCs w:val="24"/>
          <w:lang w:val="en-US"/>
        </w:rPr>
        <w:t xml:space="preserve">of </w:t>
      </w:r>
      <w:r w:rsidRPr="007B140B">
        <w:rPr>
          <w:rFonts w:ascii="Times New Roman" w:hAnsi="Times New Roman" w:cs="Times New Roman"/>
          <w:sz w:val="24"/>
          <w:szCs w:val="24"/>
          <w:lang w:val="en-US"/>
        </w:rPr>
        <w:t>women with osteopenia (6-year follow-up),</w:t>
      </w:r>
      <w:r w:rsidR="008A6FB4" w:rsidRPr="007B140B">
        <w:rPr>
          <w:rFonts w:ascii="Times New Roman" w:hAnsi="Times New Roman" w:cs="Times New Roman"/>
          <w:sz w:val="24"/>
          <w:szCs w:val="24"/>
          <w:lang w:val="en-US"/>
        </w:rPr>
        <w:fldChar w:fldCharType="begin" w:fldLock="1"/>
      </w:r>
      <w:r w:rsidR="00D2485C">
        <w:rPr>
          <w:rFonts w:ascii="Times New Roman" w:hAnsi="Times New Roman" w:cs="Times New Roman"/>
          <w:sz w:val="24"/>
          <w:szCs w:val="24"/>
          <w:lang w:val="en-US"/>
        </w:rPr>
        <w:instrText>ADDIN CSL_CITATION {"citationItems":[{"id":"ITEM-1","itemData":{"DOI":"10.1056/NEJMoa1808082","ISSN":"0028-4793","author":[{"dropping-particle":"","family":"Reid","given":"Ian R.","non-dropping-particle":"","parse-names":false,"suffix":""},{"dropping-particle":"","family":"Horne","given":"Anne M.","non-dropping-particle":"","parse-names":false,"suffix":""},{"dropping-particle":"","family":"Mihov","given":"Borislav","non-dropping-particle":"","parse-names":false,"suffix":""},{"dropping-particle":"","family":"Stewart","given":"Angela","non-dropping-particle":"","parse-names":false,"suffix":""},{"dropping-particle":"","family":"Garratt","given":"Elizabeth","non-dropping-particle":"","parse-names":false,"suffix":""},{"dropping-particle":"","family":"Wong","given":"Sumwai","non-dropping-particle":"","parse-names":false,"suffix":""},{"dropping-particle":"","family":"Wiessing","given":"Katy R.","non-dropping-particle":"","parse-names":false,"suffix":""},{"dropping-particle":"","family":"Bolland","given":"Mark J.","non-dropping-particle":"","parse-names":false,"suffix":""},{"dropping-particle":"","family":"Bastin","given":"Sonja","non-dropping-particle":"","parse-names":false,"suffix":""},{"dropping-particle":"","family":"Gamble","given":"Gregory D.","non-dropping-particle":"","parse-names":false,"suffix":""}],"container-title":"New England Journal of Medicine","id":"ITEM-1","issue":"25","issued":{"date-parts":[["2018"]]},"page":"2407-2416","title":"Fracture prevention with zoledronate in older women with osteopenia","type":"article-journal","volume":"379"},"uris":["http://www.mendeley.com/documents/?uuid=69cbf6db-0dca-4f28-87bb-02a266b0d7ef"]}],"mendeley":{"formattedCitation":"&lt;sup&gt;&lt;sup&gt;21&lt;/sup&gt;&lt;/sup&gt;","plainTextFormattedCitation":"21","previouslyFormattedCitation":"&lt;sup&gt;&lt;sup&gt;21&lt;/sup&gt;&lt;/sup&gt;"},"properties":{"noteIndex":0},"schema":"https://github.com/citation-style-language/schema/raw/master/csl-citation.json"}</w:instrText>
      </w:r>
      <w:r w:rsidR="008A6FB4" w:rsidRPr="007B140B">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21</w:t>
      </w:r>
      <w:r w:rsidR="008A6FB4" w:rsidRPr="007B140B">
        <w:rPr>
          <w:rFonts w:ascii="Times New Roman" w:hAnsi="Times New Roman" w:cs="Times New Roman"/>
          <w:sz w:val="24"/>
          <w:szCs w:val="24"/>
          <w:lang w:val="en-US"/>
        </w:rPr>
        <w:fldChar w:fldCharType="end"/>
      </w:r>
      <w:r w:rsidRPr="007B140B">
        <w:rPr>
          <w:rFonts w:ascii="Times New Roman" w:hAnsi="Times New Roman" w:cs="Times New Roman"/>
          <w:sz w:val="24"/>
          <w:szCs w:val="24"/>
          <w:lang w:val="en-US"/>
        </w:rPr>
        <w:t xml:space="preserve"> </w:t>
      </w:r>
      <w:r w:rsidR="00A67720" w:rsidRPr="007B140B">
        <w:rPr>
          <w:rFonts w:ascii="Times New Roman" w:hAnsi="Times New Roman" w:cs="Times New Roman"/>
          <w:sz w:val="24"/>
          <w:szCs w:val="24"/>
          <w:lang w:val="en-US"/>
        </w:rPr>
        <w:t>8</w:t>
      </w:r>
      <w:r w:rsidRPr="007B140B">
        <w:rPr>
          <w:rFonts w:ascii="Times New Roman" w:hAnsi="Times New Roman" w:cs="Times New Roman"/>
          <w:sz w:val="24"/>
          <w:szCs w:val="24"/>
          <w:lang w:val="en-US"/>
        </w:rPr>
        <w:t xml:space="preserve">% </w:t>
      </w:r>
      <w:r w:rsidR="007077BC" w:rsidRPr="007B140B">
        <w:rPr>
          <w:rFonts w:ascii="Times New Roman" w:hAnsi="Times New Roman" w:cs="Times New Roman"/>
          <w:sz w:val="24"/>
          <w:szCs w:val="24"/>
          <w:lang w:val="en-US"/>
        </w:rPr>
        <w:t>of</w:t>
      </w:r>
      <w:r w:rsidRPr="007B140B">
        <w:rPr>
          <w:rFonts w:ascii="Times New Roman" w:hAnsi="Times New Roman" w:cs="Times New Roman"/>
          <w:sz w:val="24"/>
          <w:szCs w:val="24"/>
          <w:lang w:val="en-US"/>
        </w:rPr>
        <w:t xml:space="preserve"> men with osteoporosis (1-year follow-up),</w:t>
      </w:r>
      <w:r w:rsidR="008A6FB4" w:rsidRPr="007B140B">
        <w:rPr>
          <w:rFonts w:ascii="Times New Roman" w:hAnsi="Times New Roman" w:cs="Times New Roman"/>
          <w:sz w:val="24"/>
          <w:szCs w:val="24"/>
          <w:lang w:val="en-US"/>
        </w:rPr>
        <w:fldChar w:fldCharType="begin" w:fldLock="1"/>
      </w:r>
      <w:r w:rsidR="00D2485C">
        <w:rPr>
          <w:rFonts w:ascii="Times New Roman" w:hAnsi="Times New Roman" w:cs="Times New Roman"/>
          <w:sz w:val="24"/>
          <w:szCs w:val="24"/>
          <w:lang w:val="en-US"/>
        </w:rPr>
        <w:instrText>ADDIN CSL_CITATION {"citationItems":[{"id":"ITEM-1","itemData":{"DOI":"10.1056/NEJMoa1204061","ISBN":"0028-4793","ISSN":"1533-4406","PMID":"23113482","abstract":"Fractures in men are a major health issue, and data on the antifracture efficacy of therapies for osteoporosis in men are limited. We studied the effect of zoledronic acid on fracture risk among men with osteoporosis.","author":[{"dropping-particle":"","family":"Boonen","given":"Steven","non-dropping-particle":"","parse-names":false,"suffix":""},{"dropping-particle":"","family":"Reginster","given":"Jean Yves","non-dropping-particle":"","parse-names":false,"suffix":""},{"dropping-particle":"","family":"Kaufman","given":"Jean Marc","non-dropping-particle":"","parse-names":false,"suffix":""},{"dropping-particle":"","family":"Lippuner","given":"Kurt","non-dropping-particle":"","parse-names":false,"suffix":""},{"dropping-particle":"","family":"Zanchetta","given":"Jose","non-dropping-particle":"","parse-names":false,"suffix":""},{"dropping-particle":"","family":"Langdahl","given":"Bente","non-dropping-particle":"","parse-names":false,"suffix":""},{"dropping-particle":"","family":"Rizzoli","given":"Rene","non-dropping-particle":"","parse-names":false,"suffix":""},{"dropping-particle":"","family":"Lipschitz","given":"Stanley","non-dropping-particle":"","parse-names":false,"suffix":""},{"dropping-particle":"","family":"Dimai","given":"Hans Peter","non-dropping-particle":"","parse-names":false,"suffix":""},{"dropping-particle":"","family":"Witvrouw","given":"Richard","non-dropping-particle":"","parse-names":false,"suffix":""},{"dropping-particle":"","family":"Eriksen","given":"Erik","non-dropping-particle":"","parse-names":false,"suffix":""},{"dropping-particle":"","family":"Brixen","given":"Kim","non-dropping-particle":"","parse-names":false,"suffix":""},{"dropping-particle":"","family":"Russo","given":"Luis","non-dropping-particle":"","parse-names":false,"suffix":""},{"dropping-particle":"","family":"Claessens","given":"Frank","non-dropping-particle":"","parse-names":false,"suffix":""},{"dropping-particle":"","family":"Papanastasiou","given":"Philemon","non-dropping-particle":"","parse-names":false,"suffix":""},{"dropping-particle":"","family":"Antunez","given":"Oscar","non-dropping-particle":"","parse-names":false,"suffix":""},{"dropping-particle":"","family":"Su","given":"Guoqin","non-dropping-particle":"","parse-names":false,"suffix":""},{"dropping-particle":"","family":"Bucci-Rechtweg","given":"Christina","non-dropping-particle":"","parse-names":false,"suffix":""},{"dropping-particle":"","family":"Hruska","given":"Josef","non-dropping-particle":"","parse-names":false,"suffix":""},{"dropping-particle":"","family":"Incera","given":"Elodie","non-dropping-particle":"","parse-names":false,"suffix":""},{"dropping-particle":"","family":"Vanderschueren","given":"Dirk","non-dropping-particle":"","parse-names":false,"suffix":""},{"dropping-particle":"","family":"Orwoll","given":"Eric","non-dropping-particle":"","parse-names":false,"suffix":""}],"container-title":"New England Journal of Medicine","id":"ITEM-1","issued":{"date-parts":[["2012"]]},"page":"1714-23","title":"Fracture risk and zoledronic acid therapy in men with osteoporosis.","type":"article-journal","volume":"367"},"uris":["http://www.mendeley.com/documents/?uuid=468f639f-e766-4ff9-83b2-83686de955c1"]}],"mendeley":{"formattedCitation":"&lt;sup&gt;&lt;sup&gt;22&lt;/sup&gt;&lt;/sup&gt;","plainTextFormattedCitation":"22","previouslyFormattedCitation":"&lt;sup&gt;&lt;sup&gt;22&lt;/sup&gt;&lt;/sup&gt;"},"properties":{"noteIndex":0},"schema":"https://github.com/citation-style-language/schema/raw/master/csl-citation.json"}</w:instrText>
      </w:r>
      <w:r w:rsidR="008A6FB4" w:rsidRPr="007B140B">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22</w:t>
      </w:r>
      <w:r w:rsidR="008A6FB4" w:rsidRPr="007B140B">
        <w:rPr>
          <w:rFonts w:ascii="Times New Roman" w:hAnsi="Times New Roman" w:cs="Times New Roman"/>
          <w:sz w:val="24"/>
          <w:szCs w:val="24"/>
          <w:lang w:val="en-US"/>
        </w:rPr>
        <w:fldChar w:fldCharType="end"/>
      </w:r>
      <w:r w:rsidR="007077BC" w:rsidRPr="007B140B">
        <w:rPr>
          <w:rFonts w:ascii="Times New Roman" w:hAnsi="Times New Roman" w:cs="Times New Roman"/>
          <w:sz w:val="24"/>
          <w:szCs w:val="24"/>
          <w:lang w:val="en-US"/>
        </w:rPr>
        <w:t xml:space="preserve"> 13</w:t>
      </w:r>
      <w:r w:rsidRPr="007B140B">
        <w:rPr>
          <w:rFonts w:ascii="Times New Roman" w:hAnsi="Times New Roman" w:cs="Times New Roman"/>
          <w:sz w:val="24"/>
          <w:szCs w:val="24"/>
          <w:lang w:val="en-US"/>
        </w:rPr>
        <w:t xml:space="preserve">% </w:t>
      </w:r>
      <w:r w:rsidR="009F0DC9" w:rsidRPr="007B140B">
        <w:rPr>
          <w:rFonts w:ascii="Times New Roman" w:hAnsi="Times New Roman" w:cs="Times New Roman"/>
          <w:sz w:val="24"/>
          <w:szCs w:val="24"/>
          <w:lang w:val="en-US"/>
        </w:rPr>
        <w:t>of</w:t>
      </w:r>
      <w:r w:rsidRPr="007B140B">
        <w:rPr>
          <w:rFonts w:ascii="Times New Roman" w:hAnsi="Times New Roman" w:cs="Times New Roman"/>
          <w:sz w:val="24"/>
          <w:szCs w:val="24"/>
          <w:lang w:val="en-US"/>
        </w:rPr>
        <w:t xml:space="preserve"> women with osteoporosis (3-year follow-up),</w:t>
      </w:r>
      <w:r w:rsidR="008A6FB4" w:rsidRPr="007B140B">
        <w:rPr>
          <w:rFonts w:ascii="Times New Roman" w:hAnsi="Times New Roman" w:cs="Times New Roman"/>
          <w:sz w:val="24"/>
          <w:szCs w:val="24"/>
          <w:lang w:val="en-US"/>
        </w:rPr>
        <w:fldChar w:fldCharType="begin" w:fldLock="1"/>
      </w:r>
      <w:r w:rsidR="00D2485C">
        <w:rPr>
          <w:rFonts w:ascii="Times New Roman" w:hAnsi="Times New Roman" w:cs="Times New Roman"/>
          <w:sz w:val="24"/>
          <w:szCs w:val="24"/>
          <w:lang w:val="en-US"/>
        </w:rPr>
        <w:instrText>ADDIN CSL_CITATION {"citationItems":[{"id":"ITEM-1","itemData":{"DOI":"10.1056/NEJMoa067312","author":[{"dropping-particle":"","family":"Black","given":"D M","non-dropping-particle":"","parse-names":false,"suffix":""},{"dropping-particle":"","family":"Delmas","given":"P D","non-dropping-particle":"","parse-names":false,"suffix":""},{"dropping-particle":"","family":"Eastell","given":"R","non-dropping-particle":"","parse-names":false,"suffix":""},{"dropping-particle":"","family":"Reid","given":"I R","non-dropping-particle":"","parse-names":false,"suffix":""},{"dropping-particle":"","family":"Boonen","given":"S","non-dropping-particle":"","parse-names":false,"suffix":""},{"dropping-particle":"","family":"Cauley","given":"J A","non-dropping-particle":"","parse-names":false,"suffix":""},{"dropping-particle":"","family":"Cosman","given":"F","non-dropping-particle":"","parse-names":false,"suffix":""},{"dropping-particle":"","family":"Lakatos","given":"P","non-dropping-particle":"","parse-names":false,"suffix":""},{"dropping-particle":"","family":"Leung","given":"P C","non-dropping-particle":"","parse-names":false,"suffix":""},{"dropping-particle":"","family":"Man","given":"Z","non-dropping-particle":"","parse-names":false,"suffix":""},{"dropping-particle":"","family":"Mautalen","given":"C","non-dropping-particle":"","parse-names":false,"suffix":""},{"dropping-particle":"","family":"Mesenbrink","given":"P","non-dropping-particle":"","parse-names":false,"suffix":""},{"dropping-particle":"","family":"Hu","given":"H","non-dropping-particle":"","parse-names":false,"suffix":""},{"dropping-particle":"","family":"Caminis","given":"J","non-dropping-particle":"","parse-names":false,"suffix":""},{"dropping-particle":"","family":"Tong","given":"K","non-dropping-particle":"","parse-names":false,"suffix":""},{"dropping-particle":"","family":"Rosario-Jansen","given":"T","non-dropping-particle":"","parse-names":false,"suffix":""},{"dropping-particle":"","family":"Krasnow","given":"J","non-dropping-particle":"","parse-names":false,"suffix":""},{"dropping-particle":"","family":"Hue","given":"T F","non-dropping-particle":"","parse-names":false,"suffix":""},{"dropping-particle":"","family":"Sellmeyer","given":"D","non-dropping-particle":"","parse-names":false,"suffix":""},{"dropping-particle":"","family":"Eriksen","given":"E F","non-dropping-particle":"","parse-names":false,"suffix":""},{"dropping-particle":"","family":"Cummings","given":"S R","non-dropping-particle":"","parse-names":false,"suffix":""}],"container-title":"N Engl J Med","id":"ITEM-1","issue":"18","issued":{"date-parts":[["2007"]]},"page":"1809-1822","title":"Once-yearly zoledronic acid for treatment of postmenopausal osteoporosis","type":"article-journal","volume":"356"},"uris":["http://www.mendeley.com/documents/?uuid=0f13fad4-b5f5-42f7-873f-7dd2216502be"]}],"mendeley":{"formattedCitation":"&lt;sup&gt;&lt;sup&gt;19&lt;/sup&gt;&lt;/sup&gt;","plainTextFormattedCitation":"19","previouslyFormattedCitation":"&lt;sup&gt;&lt;sup&gt;19&lt;/sup&gt;&lt;/sup&gt;"},"properties":{"noteIndex":0},"schema":"https://github.com/citation-style-language/schema/raw/master/csl-citation.json"}</w:instrText>
      </w:r>
      <w:r w:rsidR="008A6FB4" w:rsidRPr="007B140B">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19</w:t>
      </w:r>
      <w:r w:rsidR="008A6FB4" w:rsidRPr="007B140B">
        <w:rPr>
          <w:rFonts w:ascii="Times New Roman" w:hAnsi="Times New Roman" w:cs="Times New Roman"/>
          <w:sz w:val="24"/>
          <w:szCs w:val="24"/>
          <w:lang w:val="en-US"/>
        </w:rPr>
        <w:fldChar w:fldCharType="end"/>
      </w:r>
      <w:r w:rsidR="00AF2847" w:rsidRPr="007B140B">
        <w:rPr>
          <w:rFonts w:ascii="Times New Roman" w:hAnsi="Times New Roman" w:cs="Times New Roman"/>
          <w:sz w:val="24"/>
          <w:szCs w:val="24"/>
          <w:lang w:val="en-US"/>
        </w:rPr>
        <w:t xml:space="preserve"> and 17</w:t>
      </w:r>
      <w:r w:rsidRPr="007B140B">
        <w:rPr>
          <w:rFonts w:ascii="Times New Roman" w:hAnsi="Times New Roman" w:cs="Times New Roman"/>
          <w:sz w:val="24"/>
          <w:szCs w:val="24"/>
          <w:lang w:val="en-US"/>
        </w:rPr>
        <w:t xml:space="preserve">% </w:t>
      </w:r>
      <w:r w:rsidR="009F0DC9" w:rsidRPr="007B140B">
        <w:rPr>
          <w:rFonts w:ascii="Times New Roman" w:hAnsi="Times New Roman" w:cs="Times New Roman"/>
          <w:sz w:val="24"/>
          <w:szCs w:val="24"/>
          <w:lang w:val="en-US"/>
        </w:rPr>
        <w:t>of</w:t>
      </w:r>
      <w:r w:rsidRPr="007B140B">
        <w:rPr>
          <w:rFonts w:ascii="Times New Roman" w:hAnsi="Times New Roman" w:cs="Times New Roman"/>
          <w:sz w:val="24"/>
          <w:szCs w:val="24"/>
          <w:lang w:val="en-US"/>
        </w:rPr>
        <w:t xml:space="preserve"> hip</w:t>
      </w:r>
      <w:r w:rsidR="008A6FB4" w:rsidRPr="007B140B">
        <w:rPr>
          <w:rFonts w:ascii="Times New Roman" w:hAnsi="Times New Roman" w:cs="Times New Roman"/>
          <w:sz w:val="24"/>
          <w:szCs w:val="24"/>
          <w:lang w:val="en-US"/>
        </w:rPr>
        <w:t xml:space="preserve"> </w:t>
      </w:r>
      <w:r w:rsidRPr="007B140B">
        <w:rPr>
          <w:rFonts w:ascii="Times New Roman" w:hAnsi="Times New Roman" w:cs="Times New Roman"/>
          <w:sz w:val="24"/>
          <w:szCs w:val="24"/>
          <w:lang w:val="en-US"/>
        </w:rPr>
        <w:t>fracture patients (1.9-year median follow-up).</w:t>
      </w:r>
      <w:r w:rsidR="008A6FB4" w:rsidRPr="007B140B">
        <w:rPr>
          <w:rFonts w:ascii="Times New Roman" w:hAnsi="Times New Roman" w:cs="Times New Roman"/>
          <w:sz w:val="24"/>
          <w:szCs w:val="24"/>
          <w:lang w:val="en-US"/>
        </w:rPr>
        <w:fldChar w:fldCharType="begin" w:fldLock="1"/>
      </w:r>
      <w:r w:rsidR="00D2485C">
        <w:rPr>
          <w:rFonts w:ascii="Times New Roman" w:hAnsi="Times New Roman" w:cs="Times New Roman"/>
          <w:sz w:val="24"/>
          <w:szCs w:val="24"/>
          <w:lang w:val="en-US"/>
        </w:rPr>
        <w:instrText>ADDIN CSL_CITATION {"citationItems":[{"id":"ITEM-1","itemData":{"DOI":"10.1056/NEJMoa074941","author":[{"dropping-particle":"","family":"Lyles","given":"Kenneth W.","non-dropping-particle":"","parse-names":false,"suffix":""},{"dropping-particle":"","family":"Colón-Emeric","given":"Cathleen S.","non-dropping-particle":"","parse-names":false,"suffix":""},{"dropping-particle":"","family":"Magaziner","given":"Jay S.","non-dropping-particle":"","parse-names":false,"suffix":""},{"dropping-particle":"","family":"Adachi","given":"Jonathan D.","non-dropping-particle":"","parse-names":false,"suffix":""},{"dropping-particle":"","family":"Pieper","given":"Carl F.","non-dropping-particle":"","parse-names":false,"suffix":""},{"dropping-particle":"","family":"Mautalen","given":"Carlos","non-dropping-particle":"","parse-names":false,"suffix":""},{"dropping-particle":"","family":"Hyldstrup","given":"Lars","non-dropping-particle":"","parse-names":false,"suffix":""},{"dropping-particle":"","family":"Recknor","given":"Chris","non-dropping-particle":"","parse-names":false,"suffix":""},{"dropping-particle":"","family":"Nordsletten","given":"Lars","non-dropping-particle":"","parse-names":false,"suffix":""},{"dropping-particle":"","family":"Moore","given":"Kathy A.","non-dropping-particle":"","parse-names":false,"suffix":""},{"dropping-particle":"","family":"Lavecchia","given":"Catherine","non-dropping-particle":"","parse-names":false,"suffix":""},{"dropping-particle":"","family":"Zhang","given":"Jie","non-dropping-particle":"","parse-names":false,"suffix":""},{"dropping-particle":"","family":"Mesenbrink","given":"Peter","non-dropping-particle":"","parse-names":false,"suffix":""},{"dropping-particle":"","family":"Hodgson","given":"Patricia K.","non-dropping-particle":"","parse-names":false,"suffix":""},{"dropping-particle":"","family":"Abrams","given":"Ken","non-dropping-particle":"","parse-names":false,"suffix":""},{"dropping-particle":"","family":"Orloff","given":"John J.","non-dropping-particle":"","parse-names":false,"suffix":""},{"dropping-particle":"","family":"Horowitz","given":"Zebulun","non-dropping-particle":"","parse-names":false,"suffix":""},{"dropping-particle":"","family":"Eriksen","given":"Erik Fink","non-dropping-particle":"","parse-names":false,"suffix":""},{"dropping-particle":"","family":"Boonen","given":"Steven","non-dropping-particle":"","parse-names":false,"suffix":""}],"container-title":"New England Journal of Medicine","id":"ITEM-1","issue":"18","issued":{"date-parts":[["2007"]]},"page":"1799-1809","title":"Zoledronic acid and clinical fractures and mortality after hip fracture","type":"article-journal","volume":"357"},"uris":["http://www.mendeley.com/documents/?uuid=fdc4eb3b-a387-4743-a233-680ae590c2cf"]}],"mendeley":{"formattedCitation":"&lt;sup&gt;&lt;sup&gt;20&lt;/sup&gt;&lt;/sup&gt;","plainTextFormattedCitation":"20","previouslyFormattedCitation":"&lt;sup&gt;&lt;sup&gt;20&lt;/sup&gt;&lt;/sup&gt;"},"properties":{"noteIndex":0},"schema":"https://github.com/citation-style-language/schema/raw/master/csl-citation.json"}</w:instrText>
      </w:r>
      <w:r w:rsidR="008A6FB4" w:rsidRPr="007B140B">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20</w:t>
      </w:r>
      <w:r w:rsidR="008A6FB4" w:rsidRPr="007B140B">
        <w:rPr>
          <w:rFonts w:ascii="Times New Roman" w:hAnsi="Times New Roman" w:cs="Times New Roman"/>
          <w:sz w:val="24"/>
          <w:szCs w:val="24"/>
          <w:lang w:val="en-US"/>
        </w:rPr>
        <w:fldChar w:fldCharType="end"/>
      </w:r>
      <w:r w:rsidRPr="007B140B">
        <w:rPr>
          <w:rFonts w:ascii="Times New Roman" w:hAnsi="Times New Roman" w:cs="Times New Roman"/>
          <w:sz w:val="24"/>
          <w:szCs w:val="24"/>
          <w:lang w:val="en-US"/>
        </w:rPr>
        <w:t xml:space="preserve"> </w:t>
      </w:r>
      <w:r w:rsidR="006E00B6" w:rsidRPr="007B140B">
        <w:rPr>
          <w:rFonts w:ascii="Times New Roman" w:hAnsi="Times New Roman" w:cs="Times New Roman"/>
          <w:sz w:val="24"/>
          <w:szCs w:val="24"/>
          <w:lang w:val="en-US"/>
        </w:rPr>
        <w:t>T</w:t>
      </w:r>
      <w:r w:rsidRPr="007B140B">
        <w:rPr>
          <w:rFonts w:ascii="Times New Roman" w:hAnsi="Times New Roman" w:cs="Times New Roman"/>
          <w:sz w:val="24"/>
          <w:szCs w:val="24"/>
          <w:lang w:val="en-US"/>
        </w:rPr>
        <w:t xml:space="preserve">hree of the trials </w:t>
      </w:r>
      <w:r w:rsidR="00D203F3" w:rsidRPr="007B140B">
        <w:rPr>
          <w:rFonts w:ascii="Times New Roman" w:hAnsi="Times New Roman" w:cs="Times New Roman"/>
          <w:sz w:val="24"/>
          <w:szCs w:val="24"/>
          <w:lang w:val="en-US"/>
        </w:rPr>
        <w:t xml:space="preserve">that </w:t>
      </w:r>
      <w:r w:rsidRPr="007B140B">
        <w:rPr>
          <w:rFonts w:ascii="Times New Roman" w:hAnsi="Times New Roman" w:cs="Times New Roman"/>
          <w:sz w:val="24"/>
          <w:szCs w:val="24"/>
          <w:lang w:val="en-US"/>
        </w:rPr>
        <w:t>were powered to demonstrate effects on clinical fractures</w:t>
      </w:r>
      <w:r w:rsidR="00D203F3" w:rsidRPr="007B140B">
        <w:rPr>
          <w:rFonts w:ascii="Times New Roman" w:hAnsi="Times New Roman" w:cs="Times New Roman"/>
          <w:sz w:val="24"/>
          <w:szCs w:val="24"/>
          <w:lang w:val="en-US"/>
        </w:rPr>
        <w:t>, and these</w:t>
      </w:r>
      <w:r w:rsidRPr="007B140B">
        <w:rPr>
          <w:rFonts w:ascii="Times New Roman" w:hAnsi="Times New Roman" w:cs="Times New Roman"/>
          <w:sz w:val="24"/>
          <w:szCs w:val="24"/>
          <w:lang w:val="en-US"/>
        </w:rPr>
        <w:t xml:space="preserve"> showed effects of 27%,</w:t>
      </w:r>
      <w:r w:rsidR="008A6FB4" w:rsidRPr="007B140B">
        <w:rPr>
          <w:rFonts w:ascii="Times New Roman" w:hAnsi="Times New Roman" w:cs="Times New Roman"/>
          <w:sz w:val="24"/>
          <w:szCs w:val="24"/>
          <w:lang w:val="en-US"/>
        </w:rPr>
        <w:fldChar w:fldCharType="begin" w:fldLock="1"/>
      </w:r>
      <w:r w:rsidR="00D2485C">
        <w:rPr>
          <w:rFonts w:ascii="Times New Roman" w:hAnsi="Times New Roman" w:cs="Times New Roman"/>
          <w:sz w:val="24"/>
          <w:szCs w:val="24"/>
          <w:lang w:val="en-US"/>
        </w:rPr>
        <w:instrText>ADDIN CSL_CITATION {"citationItems":[{"id":"ITEM-1","itemData":{"DOI":"10.1056/NEJMoa1808082","ISSN":"0028-4793","author":[{"dropping-particle":"","family":"Reid","given":"Ian R.","non-dropping-particle":"","parse-names":false,"suffix":""},{"dropping-particle":"","family":"Horne","given":"Anne M.","non-dropping-particle":"","parse-names":false,"suffix":""},{"dropping-particle":"","family":"Mihov","given":"Borislav","non-dropping-particle":"","parse-names":false,"suffix":""},{"dropping-particle":"","family":"Stewart","given":"Angela","non-dropping-particle":"","parse-names":false,"suffix":""},{"dropping-particle":"","family":"Garratt","given":"Elizabeth","non-dropping-particle":"","parse-names":false,"suffix":""},{"dropping-particle":"","family":"Wong","given":"Sumwai","non-dropping-particle":"","parse-names":false,"suffix":""},{"dropping-particle":"","family":"Wiessing","given":"Katy R.","non-dropping-particle":"","parse-names":false,"suffix":""},{"dropping-particle":"","family":"Bolland","given":"Mark J.","non-dropping-particle":"","parse-names":false,"suffix":""},{"dropping-particle":"","family":"Bastin","given":"Sonja","non-dropping-particle":"","parse-names":false,"suffix":""},{"dropping-particle":"","family":"Gamble","given":"Gregory D.","non-dropping-particle":"","parse-names":false,"suffix":""}],"container-title":"New England Journal of Medicine","id":"ITEM-1","issue":"25","issued":{"date-parts":[["2018"]]},"page":"2407-2416","title":"Fracture prevention with zoledronate in older women with osteopenia","type":"article-journal","volume":"379"},"uris":["http://www.mendeley.com/documents/?uuid=69cbf6db-0dca-4f28-87bb-02a266b0d7ef"]}],"mendeley":{"formattedCitation":"&lt;sup&gt;&lt;sup&gt;21&lt;/sup&gt;&lt;/sup&gt;","plainTextFormattedCitation":"21","previouslyFormattedCitation":"&lt;sup&gt;&lt;sup&gt;21&lt;/sup&gt;&lt;/sup&gt;"},"properties":{"noteIndex":0},"schema":"https://github.com/citation-style-language/schema/raw/master/csl-citation.json"}</w:instrText>
      </w:r>
      <w:r w:rsidR="008A6FB4" w:rsidRPr="007B140B">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21</w:t>
      </w:r>
      <w:r w:rsidR="008A6FB4" w:rsidRPr="007B140B">
        <w:rPr>
          <w:rFonts w:ascii="Times New Roman" w:hAnsi="Times New Roman" w:cs="Times New Roman"/>
          <w:sz w:val="24"/>
          <w:szCs w:val="24"/>
          <w:lang w:val="en-US"/>
        </w:rPr>
        <w:fldChar w:fldCharType="end"/>
      </w:r>
      <w:r w:rsidRPr="007B140B">
        <w:rPr>
          <w:rFonts w:ascii="Times New Roman" w:hAnsi="Times New Roman" w:cs="Times New Roman"/>
          <w:sz w:val="24"/>
          <w:szCs w:val="24"/>
          <w:lang w:val="en-US"/>
        </w:rPr>
        <w:t xml:space="preserve"> 33%,</w:t>
      </w:r>
      <w:r w:rsidR="008A6FB4" w:rsidRPr="007B140B">
        <w:rPr>
          <w:rFonts w:ascii="Times New Roman" w:hAnsi="Times New Roman" w:cs="Times New Roman"/>
          <w:sz w:val="24"/>
          <w:szCs w:val="24"/>
          <w:lang w:val="en-US"/>
        </w:rPr>
        <w:fldChar w:fldCharType="begin" w:fldLock="1"/>
      </w:r>
      <w:r w:rsidR="00D2485C">
        <w:rPr>
          <w:rFonts w:ascii="Times New Roman" w:hAnsi="Times New Roman" w:cs="Times New Roman"/>
          <w:sz w:val="24"/>
          <w:szCs w:val="24"/>
          <w:lang w:val="en-US"/>
        </w:rPr>
        <w:instrText>ADDIN CSL_CITATION {"citationItems":[{"id":"ITEM-1","itemData":{"DOI":"10.1056/NEJMoa067312","author":[{"dropping-particle":"","family":"Black","given":"D M","non-dropping-particle":"","parse-names":false,"suffix":""},{"dropping-particle":"","family":"Delmas","given":"P D","non-dropping-particle":"","parse-names":false,"suffix":""},{"dropping-particle":"","family":"Eastell","given":"R","non-dropping-particle":"","parse-names":false,"suffix":""},{"dropping-particle":"","family":"Reid","given":"I R","non-dropping-particle":"","parse-names":false,"suffix":""},{"dropping-particle":"","family":"Boonen","given":"S","non-dropping-particle":"","parse-names":false,"suffix":""},{"dropping-particle":"","family":"Cauley","given":"J A","non-dropping-particle":"","parse-names":false,"suffix":""},{"dropping-particle":"","family":"Cosman","given":"F","non-dropping-particle":"","parse-names":false,"suffix":""},{"dropping-particle":"","family":"Lakatos","given":"P","non-dropping-particle":"","parse-names":false,"suffix":""},{"dropping-particle":"","family":"Leung","given":"P C","non-dropping-particle":"","parse-names":false,"suffix":""},{"dropping-particle":"","family":"Man","given":"Z","non-dropping-particle":"","parse-names":false,"suffix":""},{"dropping-particle":"","family":"Mautalen","given":"C","non-dropping-particle":"","parse-names":false,"suffix":""},{"dropping-particle":"","family":"Mesenbrink","given":"P","non-dropping-particle":"","parse-names":false,"suffix":""},{"dropping-particle":"","family":"Hu","given":"H","non-dropping-particle":"","parse-names":false,"suffix":""},{"dropping-particle":"","family":"Caminis","given":"J","non-dropping-particle":"","parse-names":false,"suffix":""},{"dropping-particle":"","family":"Tong","given":"K","non-dropping-particle":"","parse-names":false,"suffix":""},{"dropping-particle":"","family":"Rosario-Jansen","given":"T","non-dropping-particle":"","parse-names":false,"suffix":""},{"dropping-particle":"","family":"Krasnow","given":"J","non-dropping-particle":"","parse-names":false,"suffix":""},{"dropping-particle":"","family":"Hue","given":"T F","non-dropping-particle":"","parse-names":false,"suffix":""},{"dropping-particle":"","family":"Sellmeyer","given":"D","non-dropping-particle":"","parse-names":false,"suffix":""},{"dropping-particle":"","family":"Eriksen","given":"E F","non-dropping-particle":"","parse-names":false,"suffix":""},{"dropping-particle":"","family":"Cummings","given":"S R","non-dropping-particle":"","parse-names":false,"suffix":""}],"container-title":"N Engl J Med","id":"ITEM-1","issue":"18","issued":{"date-parts":[["2007"]]},"page":"1809-1822","title":"Once-yearly zoledronic acid for treatment of postmenopausal osteoporosis","type":"article-journal","volume":"356"},"uris":["http://www.mendeley.com/documents/?uuid=0f13fad4-b5f5-42f7-873f-7dd2216502be"]}],"mendeley":{"formattedCitation":"&lt;sup&gt;&lt;sup&gt;19&lt;/sup&gt;&lt;/sup&gt;","plainTextFormattedCitation":"19","previouslyFormattedCitation":"&lt;sup&gt;&lt;sup&gt;19&lt;/sup&gt;&lt;/sup&gt;"},"properties":{"noteIndex":0},"schema":"https://github.com/citation-style-language/schema/raw/master/csl-citation.json"}</w:instrText>
      </w:r>
      <w:r w:rsidR="008A6FB4" w:rsidRPr="007B140B">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19</w:t>
      </w:r>
      <w:r w:rsidR="008A6FB4" w:rsidRPr="007B140B">
        <w:rPr>
          <w:rFonts w:ascii="Times New Roman" w:hAnsi="Times New Roman" w:cs="Times New Roman"/>
          <w:sz w:val="24"/>
          <w:szCs w:val="24"/>
          <w:lang w:val="en-US"/>
        </w:rPr>
        <w:fldChar w:fldCharType="end"/>
      </w:r>
      <w:r w:rsidRPr="007B140B">
        <w:rPr>
          <w:rFonts w:ascii="Times New Roman" w:hAnsi="Times New Roman" w:cs="Times New Roman"/>
          <w:sz w:val="24"/>
          <w:szCs w:val="24"/>
          <w:lang w:val="en-US"/>
        </w:rPr>
        <w:t xml:space="preserve"> and 35%.</w:t>
      </w:r>
      <w:r w:rsidR="008A6FB4" w:rsidRPr="007B140B">
        <w:rPr>
          <w:rFonts w:ascii="Times New Roman" w:hAnsi="Times New Roman" w:cs="Times New Roman"/>
          <w:sz w:val="24"/>
          <w:szCs w:val="24"/>
          <w:lang w:val="en-US"/>
        </w:rPr>
        <w:fldChar w:fldCharType="begin" w:fldLock="1"/>
      </w:r>
      <w:r w:rsidR="00D2485C">
        <w:rPr>
          <w:rFonts w:ascii="Times New Roman" w:hAnsi="Times New Roman" w:cs="Times New Roman"/>
          <w:sz w:val="24"/>
          <w:szCs w:val="24"/>
          <w:lang w:val="en-US"/>
        </w:rPr>
        <w:instrText>ADDIN CSL_CITATION {"citationItems":[{"id":"ITEM-1","itemData":{"DOI":"10.1056/NEJMoa074941","author":[{"dropping-particle":"","family":"Lyles","given":"Kenneth W.","non-dropping-particle":"","parse-names":false,"suffix":""},{"dropping-particle":"","family":"Colón-Emeric","given":"Cathleen S.","non-dropping-particle":"","parse-names":false,"suffix":""},{"dropping-particle":"","family":"Magaziner","given":"Jay S.","non-dropping-particle":"","parse-names":false,"suffix":""},{"dropping-particle":"","family":"Adachi","given":"Jonathan D.","non-dropping-particle":"","parse-names":false,"suffix":""},{"dropping-particle":"","family":"Pieper","given":"Carl F.","non-dropping-particle":"","parse-names":false,"suffix":""},{"dropping-particle":"","family":"Mautalen","given":"Carlos","non-dropping-particle":"","parse-names":false,"suffix":""},{"dropping-particle":"","family":"Hyldstrup","given":"Lars","non-dropping-particle":"","parse-names":false,"suffix":""},{"dropping-particle":"","family":"Recknor","given":"Chris","non-dropping-particle":"","parse-names":false,"suffix":""},{"dropping-particle":"","family":"Nordsletten","given":"Lars","non-dropping-particle":"","parse-names":false,"suffix":""},{"dropping-particle":"","family":"Moore","given":"Kathy A.","non-dropping-particle":"","parse-names":false,"suffix":""},{"dropping-particle":"","family":"Lavecchia","given":"Catherine","non-dropping-particle":"","parse-names":false,"suffix":""},{"dropping-particle":"","family":"Zhang","given":"Jie","non-dropping-particle":"","parse-names":false,"suffix":""},{"dropping-particle":"","family":"Mesenbrink","given":"Peter","non-dropping-particle":"","parse-names":false,"suffix":""},{"dropping-particle":"","family":"Hodgson","given":"Patricia K.","non-dropping-particle":"","parse-names":false,"suffix":""},{"dropping-particle":"","family":"Abrams","given":"Ken","non-dropping-particle":"","parse-names":false,"suffix":""},{"dropping-particle":"","family":"Orloff","given":"John J.","non-dropping-particle":"","parse-names":false,"suffix":""},{"dropping-particle":"","family":"Horowitz","given":"Zebulun","non-dropping-particle":"","parse-names":false,"suffix":""},{"dropping-particle":"","family":"Eriksen","given":"Erik Fink","non-dropping-particle":"","parse-names":false,"suffix":""},{"dropping-particle":"","family":"Boonen","given":"Steven","non-dropping-particle":"","parse-names":false,"suffix":""}],"container-title":"New England Journal of Medicine","id":"ITEM-1","issue":"18","issued":{"date-parts":[["2007"]]},"page":"1799-1809","title":"Zoledronic acid and clinical fractures and mortality after hip fracture","type":"article-journal","volume":"357"},"uris":["http://www.mendeley.com/documents/?uuid=fdc4eb3b-a387-4743-a233-680ae590c2cf"]}],"mendeley":{"formattedCitation":"&lt;sup&gt;&lt;sup&gt;20&lt;/sup&gt;&lt;/sup&gt;","plainTextFormattedCitation":"20","previouslyFormattedCitation":"&lt;sup&gt;&lt;sup&gt;20&lt;/sup&gt;&lt;/sup&gt;"},"properties":{"noteIndex":0},"schema":"https://github.com/citation-style-language/schema/raw/master/csl-citation.json"}</w:instrText>
      </w:r>
      <w:r w:rsidR="008A6FB4" w:rsidRPr="007B140B">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20</w:t>
      </w:r>
      <w:r w:rsidR="008A6FB4" w:rsidRPr="007B140B">
        <w:rPr>
          <w:rFonts w:ascii="Times New Roman" w:hAnsi="Times New Roman" w:cs="Times New Roman"/>
          <w:sz w:val="24"/>
          <w:szCs w:val="24"/>
          <w:lang w:val="en-US"/>
        </w:rPr>
        <w:fldChar w:fldCharType="end"/>
      </w:r>
    </w:p>
    <w:p w14:paraId="1BF52C92" w14:textId="01903584" w:rsidR="00AE696A" w:rsidRPr="007B140B" w:rsidRDefault="00AE696A" w:rsidP="0086160F">
      <w:p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The </w:t>
      </w:r>
      <w:r w:rsidR="00F97DAA" w:rsidRPr="007B140B">
        <w:rPr>
          <w:rFonts w:ascii="Times New Roman" w:hAnsi="Times New Roman" w:cs="Times New Roman"/>
          <w:sz w:val="24"/>
          <w:szCs w:val="24"/>
          <w:lang w:val="en-US"/>
        </w:rPr>
        <w:t xml:space="preserve">assumed </w:t>
      </w:r>
      <w:r w:rsidR="001E1E3A" w:rsidRPr="007B140B">
        <w:rPr>
          <w:rFonts w:ascii="Times New Roman" w:hAnsi="Times New Roman" w:cs="Times New Roman"/>
          <w:sz w:val="24"/>
          <w:szCs w:val="24"/>
          <w:lang w:val="en-US"/>
        </w:rPr>
        <w:t>4-year fracture risk</w:t>
      </w:r>
      <w:r w:rsidR="00F97DAA" w:rsidRPr="007B140B">
        <w:rPr>
          <w:rFonts w:ascii="Times New Roman" w:hAnsi="Times New Roman" w:cs="Times New Roman"/>
          <w:sz w:val="24"/>
          <w:szCs w:val="24"/>
          <w:lang w:val="en-US"/>
        </w:rPr>
        <w:t xml:space="preserve"> of 10% was derived from data </w:t>
      </w:r>
      <w:r w:rsidR="00F42E4D">
        <w:rPr>
          <w:rFonts w:ascii="Times New Roman" w:hAnsi="Times New Roman" w:cs="Times New Roman"/>
          <w:sz w:val="24"/>
          <w:szCs w:val="24"/>
          <w:lang w:val="en-US"/>
        </w:rPr>
        <w:t>on</w:t>
      </w:r>
      <w:r w:rsidR="00F42E4D" w:rsidRPr="007B140B">
        <w:rPr>
          <w:rFonts w:ascii="Times New Roman" w:hAnsi="Times New Roman" w:cs="Times New Roman"/>
          <w:sz w:val="24"/>
          <w:szCs w:val="24"/>
          <w:lang w:val="en-US"/>
        </w:rPr>
        <w:t xml:space="preserve"> </w:t>
      </w:r>
      <w:r w:rsidR="006E00B6" w:rsidRPr="007B140B">
        <w:rPr>
          <w:rFonts w:ascii="Times New Roman" w:hAnsi="Times New Roman" w:cs="Times New Roman"/>
          <w:sz w:val="24"/>
          <w:szCs w:val="24"/>
          <w:lang w:val="en-US"/>
        </w:rPr>
        <w:t xml:space="preserve">the Swedish population </w:t>
      </w:r>
      <w:r w:rsidR="001279CC">
        <w:rPr>
          <w:rFonts w:ascii="Times New Roman" w:hAnsi="Times New Roman" w:cs="Times New Roman"/>
          <w:sz w:val="24"/>
          <w:szCs w:val="24"/>
          <w:lang w:val="en-US"/>
        </w:rPr>
        <w:t xml:space="preserve">that </w:t>
      </w:r>
      <w:r w:rsidR="00F97DAA" w:rsidRPr="007B140B">
        <w:rPr>
          <w:rFonts w:ascii="Times New Roman" w:hAnsi="Times New Roman" w:cs="Times New Roman"/>
          <w:sz w:val="24"/>
          <w:szCs w:val="24"/>
          <w:lang w:val="en-US"/>
        </w:rPr>
        <w:t>we have previously collected</w:t>
      </w:r>
      <w:r w:rsidR="002659B7" w:rsidRPr="007B140B">
        <w:rPr>
          <w:rFonts w:ascii="Times New Roman" w:hAnsi="Times New Roman" w:cs="Times New Roman"/>
          <w:sz w:val="24"/>
          <w:szCs w:val="24"/>
          <w:lang w:val="en-US"/>
        </w:rPr>
        <w:t xml:space="preserve"> </w:t>
      </w:r>
      <w:r w:rsidR="00564289" w:rsidRPr="007B140B">
        <w:rPr>
          <w:rFonts w:ascii="Times New Roman" w:hAnsi="Times New Roman" w:cs="Times New Roman"/>
          <w:sz w:val="24"/>
          <w:szCs w:val="24"/>
          <w:lang w:val="en-US"/>
        </w:rPr>
        <w:t>from the Swedish National Patient Register</w:t>
      </w:r>
      <w:r w:rsidR="00F97DAA" w:rsidRPr="007B140B">
        <w:rPr>
          <w:rFonts w:ascii="Times New Roman" w:hAnsi="Times New Roman" w:cs="Times New Roman"/>
          <w:sz w:val="24"/>
          <w:szCs w:val="24"/>
          <w:lang w:val="en-US"/>
        </w:rPr>
        <w:t xml:space="preserve">. </w:t>
      </w:r>
      <w:r w:rsidR="00F42E4D">
        <w:rPr>
          <w:rFonts w:ascii="Times New Roman" w:hAnsi="Times New Roman" w:cs="Times New Roman"/>
          <w:sz w:val="24"/>
          <w:szCs w:val="24"/>
          <w:lang w:val="en-US"/>
        </w:rPr>
        <w:t>From this register, w</w:t>
      </w:r>
      <w:r w:rsidR="00F97DAA" w:rsidRPr="007B140B">
        <w:rPr>
          <w:rFonts w:ascii="Times New Roman" w:hAnsi="Times New Roman" w:cs="Times New Roman"/>
          <w:sz w:val="24"/>
          <w:szCs w:val="24"/>
          <w:lang w:val="en-US"/>
        </w:rPr>
        <w:t xml:space="preserve">e selected </w:t>
      </w:r>
      <w:r w:rsidR="001E1E3A" w:rsidRPr="007B140B">
        <w:rPr>
          <w:rFonts w:ascii="Times New Roman" w:hAnsi="Times New Roman" w:cs="Times New Roman"/>
          <w:sz w:val="24"/>
          <w:szCs w:val="24"/>
          <w:lang w:val="en-US"/>
        </w:rPr>
        <w:t xml:space="preserve">adults </w:t>
      </w:r>
      <w:r w:rsidR="00F97DAA" w:rsidRPr="007B140B">
        <w:rPr>
          <w:rFonts w:ascii="Times New Roman" w:hAnsi="Times New Roman" w:cs="Times New Roman"/>
          <w:sz w:val="24"/>
          <w:szCs w:val="24"/>
          <w:lang w:val="en-US"/>
        </w:rPr>
        <w:t xml:space="preserve">in Sweden who were </w:t>
      </w:r>
      <w:r w:rsidR="002B528F" w:rsidRPr="007B140B">
        <w:rPr>
          <w:rFonts w:ascii="Times New Roman" w:hAnsi="Times New Roman" w:cs="Times New Roman"/>
          <w:sz w:val="24"/>
          <w:szCs w:val="24"/>
          <w:lang w:val="en-US"/>
        </w:rPr>
        <w:t xml:space="preserve">aged 65 to </w:t>
      </w:r>
      <w:r w:rsidR="001E1E3A" w:rsidRPr="007B140B">
        <w:rPr>
          <w:rFonts w:ascii="Times New Roman" w:hAnsi="Times New Roman" w:cs="Times New Roman"/>
          <w:sz w:val="24"/>
          <w:szCs w:val="24"/>
          <w:lang w:val="en-US"/>
        </w:rPr>
        <w:t>85 years</w:t>
      </w:r>
      <w:r w:rsidR="00F97DAA" w:rsidRPr="007B140B">
        <w:rPr>
          <w:rFonts w:ascii="Times New Roman" w:hAnsi="Times New Roman" w:cs="Times New Roman"/>
          <w:sz w:val="24"/>
          <w:szCs w:val="24"/>
          <w:lang w:val="en-US"/>
        </w:rPr>
        <w:t xml:space="preserve"> and</w:t>
      </w:r>
      <w:r w:rsidR="001E1E3A" w:rsidRPr="007B140B">
        <w:rPr>
          <w:rFonts w:ascii="Times New Roman" w:hAnsi="Times New Roman" w:cs="Times New Roman"/>
          <w:sz w:val="24"/>
          <w:szCs w:val="24"/>
          <w:lang w:val="en-US"/>
        </w:rPr>
        <w:t xml:space="preserve"> who </w:t>
      </w:r>
      <w:r w:rsidR="00F664E3" w:rsidRPr="007B140B">
        <w:rPr>
          <w:rFonts w:ascii="Times New Roman" w:hAnsi="Times New Roman" w:cs="Times New Roman"/>
          <w:sz w:val="24"/>
          <w:szCs w:val="24"/>
          <w:lang w:val="en-US"/>
        </w:rPr>
        <w:t xml:space="preserve">suffered an initial </w:t>
      </w:r>
      <w:r w:rsidRPr="007B140B">
        <w:rPr>
          <w:rFonts w:ascii="Times New Roman" w:hAnsi="Times New Roman" w:cs="Times New Roman"/>
          <w:sz w:val="24"/>
          <w:szCs w:val="24"/>
          <w:lang w:val="en-US"/>
        </w:rPr>
        <w:t>fracture of the arm</w:t>
      </w:r>
      <w:r w:rsidR="00F97DAA" w:rsidRPr="007B140B">
        <w:rPr>
          <w:rFonts w:ascii="Times New Roman" w:hAnsi="Times New Roman" w:cs="Times New Roman"/>
          <w:sz w:val="24"/>
          <w:szCs w:val="24"/>
          <w:lang w:val="en-US"/>
        </w:rPr>
        <w:t xml:space="preserve"> or lower leg in 2006 (</w:t>
      </w:r>
      <w:r w:rsidR="00893F25">
        <w:rPr>
          <w:rFonts w:ascii="Times New Roman" w:hAnsi="Times New Roman" w:cs="Times New Roman"/>
          <w:sz w:val="24"/>
          <w:szCs w:val="24"/>
          <w:lang w:val="en-US"/>
        </w:rPr>
        <w:t>ICD-10-SE</w:t>
      </w:r>
      <w:r w:rsidR="00F97DAA" w:rsidRPr="007B140B">
        <w:rPr>
          <w:rFonts w:ascii="Times New Roman" w:hAnsi="Times New Roman" w:cs="Times New Roman"/>
          <w:sz w:val="24"/>
          <w:szCs w:val="24"/>
          <w:lang w:val="en-US"/>
        </w:rPr>
        <w:t xml:space="preserve"> codes</w:t>
      </w:r>
      <w:r w:rsidR="00C9281B">
        <w:rPr>
          <w:rFonts w:ascii="Times New Roman" w:hAnsi="Times New Roman" w:cs="Times New Roman"/>
          <w:sz w:val="24"/>
          <w:szCs w:val="24"/>
          <w:lang w:val="en-US"/>
        </w:rPr>
        <w:t>:</w:t>
      </w:r>
      <w:r w:rsidRPr="007B140B">
        <w:rPr>
          <w:rFonts w:ascii="Times New Roman" w:hAnsi="Times New Roman" w:cs="Times New Roman"/>
          <w:sz w:val="24"/>
          <w:szCs w:val="24"/>
          <w:lang w:val="en-US"/>
        </w:rPr>
        <w:t xml:space="preserve"> S42</w:t>
      </w:r>
      <w:r w:rsidR="00F97DAA" w:rsidRPr="007B140B">
        <w:rPr>
          <w:rFonts w:ascii="Times New Roman" w:hAnsi="Times New Roman" w:cs="Times New Roman"/>
          <w:sz w:val="24"/>
          <w:szCs w:val="24"/>
          <w:lang w:val="en-US"/>
        </w:rPr>
        <w:t xml:space="preserve">, </w:t>
      </w:r>
      <w:r w:rsidRPr="007B140B">
        <w:rPr>
          <w:rFonts w:ascii="Times New Roman" w:hAnsi="Times New Roman" w:cs="Times New Roman"/>
          <w:sz w:val="24"/>
          <w:szCs w:val="24"/>
          <w:lang w:val="en-US"/>
        </w:rPr>
        <w:t>S52</w:t>
      </w:r>
      <w:r w:rsidR="00F97DAA" w:rsidRPr="007B140B">
        <w:rPr>
          <w:rFonts w:ascii="Times New Roman" w:hAnsi="Times New Roman" w:cs="Times New Roman"/>
          <w:sz w:val="24"/>
          <w:szCs w:val="24"/>
          <w:lang w:val="en-US"/>
        </w:rPr>
        <w:t xml:space="preserve">, </w:t>
      </w:r>
      <w:r w:rsidR="00ED1D2C" w:rsidRPr="007B140B">
        <w:rPr>
          <w:rFonts w:ascii="Times New Roman" w:hAnsi="Times New Roman" w:cs="Times New Roman"/>
          <w:sz w:val="24"/>
          <w:szCs w:val="24"/>
          <w:lang w:val="en-US"/>
        </w:rPr>
        <w:t xml:space="preserve">or </w:t>
      </w:r>
      <w:r w:rsidR="00F97DAA" w:rsidRPr="007B140B">
        <w:rPr>
          <w:rFonts w:ascii="Times New Roman" w:hAnsi="Times New Roman" w:cs="Times New Roman"/>
          <w:sz w:val="24"/>
          <w:szCs w:val="24"/>
          <w:lang w:val="en-US"/>
        </w:rPr>
        <w:t>S82). T</w:t>
      </w:r>
      <w:r w:rsidR="001E1E3A" w:rsidRPr="007B140B">
        <w:rPr>
          <w:rFonts w:ascii="Times New Roman" w:hAnsi="Times New Roman" w:cs="Times New Roman"/>
          <w:sz w:val="24"/>
          <w:szCs w:val="24"/>
          <w:lang w:val="en-US"/>
        </w:rPr>
        <w:t>here were</w:t>
      </w:r>
      <w:r w:rsidRPr="007B140B">
        <w:rPr>
          <w:rFonts w:ascii="Times New Roman" w:hAnsi="Times New Roman" w:cs="Times New Roman"/>
          <w:sz w:val="24"/>
          <w:szCs w:val="24"/>
          <w:lang w:val="en-US"/>
        </w:rPr>
        <w:t xml:space="preserve"> 10,361 </w:t>
      </w:r>
      <w:r w:rsidR="001E1E3A" w:rsidRPr="007B140B">
        <w:rPr>
          <w:rFonts w:ascii="Times New Roman" w:hAnsi="Times New Roman" w:cs="Times New Roman"/>
          <w:sz w:val="24"/>
          <w:szCs w:val="24"/>
          <w:lang w:val="en-US"/>
        </w:rPr>
        <w:t xml:space="preserve">such </w:t>
      </w:r>
      <w:r w:rsidRPr="007B140B">
        <w:rPr>
          <w:rFonts w:ascii="Times New Roman" w:hAnsi="Times New Roman" w:cs="Times New Roman"/>
          <w:sz w:val="24"/>
          <w:szCs w:val="24"/>
          <w:lang w:val="en-US"/>
        </w:rPr>
        <w:t xml:space="preserve">individuals </w:t>
      </w:r>
      <w:r w:rsidR="001E1E3A" w:rsidRPr="007B140B">
        <w:rPr>
          <w:rFonts w:ascii="Times New Roman" w:hAnsi="Times New Roman" w:cs="Times New Roman"/>
          <w:sz w:val="24"/>
          <w:szCs w:val="24"/>
          <w:lang w:val="en-US"/>
        </w:rPr>
        <w:t>who</w:t>
      </w:r>
      <w:r w:rsidRPr="007B140B">
        <w:rPr>
          <w:rFonts w:ascii="Times New Roman" w:hAnsi="Times New Roman" w:cs="Times New Roman"/>
          <w:sz w:val="24"/>
          <w:szCs w:val="24"/>
          <w:lang w:val="en-US"/>
        </w:rPr>
        <w:t xml:space="preserve"> were not prescribed </w:t>
      </w:r>
      <w:r w:rsidR="00767CB3" w:rsidRPr="007B140B">
        <w:rPr>
          <w:rFonts w:ascii="Times New Roman" w:hAnsi="Times New Roman" w:cs="Times New Roman"/>
          <w:sz w:val="24"/>
          <w:szCs w:val="24"/>
          <w:lang w:val="en-US"/>
        </w:rPr>
        <w:t>bone-protective</w:t>
      </w:r>
      <w:r w:rsidRPr="007B140B">
        <w:rPr>
          <w:rFonts w:ascii="Times New Roman" w:hAnsi="Times New Roman" w:cs="Times New Roman"/>
          <w:sz w:val="24"/>
          <w:szCs w:val="24"/>
          <w:lang w:val="en-US"/>
        </w:rPr>
        <w:t xml:space="preserve"> treatment </w:t>
      </w:r>
      <w:r w:rsidR="00D62020" w:rsidRPr="007B140B">
        <w:rPr>
          <w:rFonts w:ascii="Times New Roman" w:hAnsi="Times New Roman" w:cs="Times New Roman"/>
          <w:sz w:val="24"/>
          <w:szCs w:val="24"/>
          <w:lang w:val="en-US"/>
        </w:rPr>
        <w:t xml:space="preserve">over the </w:t>
      </w:r>
      <w:r w:rsidR="00D62020" w:rsidRPr="007B140B">
        <w:rPr>
          <w:rFonts w:ascii="Times New Roman" w:hAnsi="Times New Roman" w:cs="Times New Roman"/>
          <w:sz w:val="24"/>
          <w:szCs w:val="24"/>
          <w:lang w:val="en-US"/>
        </w:rPr>
        <w:lastRenderedPageBreak/>
        <w:t>next</w:t>
      </w:r>
      <w:r w:rsidRPr="007B140B">
        <w:rPr>
          <w:rFonts w:ascii="Times New Roman" w:hAnsi="Times New Roman" w:cs="Times New Roman"/>
          <w:sz w:val="24"/>
          <w:szCs w:val="24"/>
          <w:lang w:val="en-US"/>
        </w:rPr>
        <w:t xml:space="preserve"> </w:t>
      </w:r>
      <w:r w:rsidR="00D62020" w:rsidRPr="007B140B">
        <w:rPr>
          <w:rFonts w:ascii="Times New Roman" w:hAnsi="Times New Roman" w:cs="Times New Roman"/>
          <w:sz w:val="24"/>
          <w:szCs w:val="24"/>
          <w:lang w:val="en-US"/>
        </w:rPr>
        <w:t>4 years</w:t>
      </w:r>
      <w:r w:rsidRPr="007B140B">
        <w:rPr>
          <w:rFonts w:ascii="Times New Roman" w:hAnsi="Times New Roman" w:cs="Times New Roman"/>
          <w:sz w:val="24"/>
          <w:szCs w:val="24"/>
          <w:lang w:val="en-US"/>
        </w:rPr>
        <w:t>. The</w:t>
      </w:r>
      <w:r w:rsidR="00F97DAA" w:rsidRPr="007B140B">
        <w:rPr>
          <w:rFonts w:ascii="Times New Roman" w:hAnsi="Times New Roman" w:cs="Times New Roman"/>
          <w:sz w:val="24"/>
          <w:szCs w:val="24"/>
          <w:lang w:val="en-US"/>
        </w:rPr>
        <w:t>ir</w:t>
      </w:r>
      <w:r w:rsidRPr="007B140B">
        <w:rPr>
          <w:rFonts w:ascii="Times New Roman" w:hAnsi="Times New Roman" w:cs="Times New Roman"/>
          <w:sz w:val="24"/>
          <w:szCs w:val="24"/>
          <w:lang w:val="en-US"/>
        </w:rPr>
        <w:t xml:space="preserve"> mean age was 74.9 years and 73% </w:t>
      </w:r>
      <w:r w:rsidR="001E1E3A" w:rsidRPr="007B140B">
        <w:rPr>
          <w:rFonts w:ascii="Times New Roman" w:hAnsi="Times New Roman" w:cs="Times New Roman"/>
          <w:sz w:val="24"/>
          <w:szCs w:val="24"/>
          <w:lang w:val="en-US"/>
        </w:rPr>
        <w:t>were</w:t>
      </w:r>
      <w:r w:rsidRPr="007B140B">
        <w:rPr>
          <w:rFonts w:ascii="Times New Roman" w:hAnsi="Times New Roman" w:cs="Times New Roman"/>
          <w:sz w:val="24"/>
          <w:szCs w:val="24"/>
          <w:lang w:val="en-US"/>
        </w:rPr>
        <w:t xml:space="preserve"> women. </w:t>
      </w:r>
      <w:r w:rsidR="008A22E3" w:rsidRPr="007B140B">
        <w:rPr>
          <w:rFonts w:ascii="Times New Roman" w:hAnsi="Times New Roman" w:cs="Times New Roman"/>
          <w:sz w:val="24"/>
          <w:szCs w:val="24"/>
          <w:lang w:val="en-US"/>
        </w:rPr>
        <w:t xml:space="preserve">Over the </w:t>
      </w:r>
      <w:r w:rsidR="00F42E4D">
        <w:rPr>
          <w:rFonts w:ascii="Times New Roman" w:hAnsi="Times New Roman" w:cs="Times New Roman"/>
          <w:sz w:val="24"/>
          <w:szCs w:val="24"/>
          <w:lang w:val="en-US"/>
        </w:rPr>
        <w:t xml:space="preserve">next </w:t>
      </w:r>
      <w:r w:rsidRPr="007B140B">
        <w:rPr>
          <w:rFonts w:ascii="Times New Roman" w:hAnsi="Times New Roman" w:cs="Times New Roman"/>
          <w:sz w:val="24"/>
          <w:szCs w:val="24"/>
          <w:lang w:val="en-US"/>
        </w:rPr>
        <w:t>4 years, 10.0%</w:t>
      </w:r>
      <w:r w:rsidR="00F97DAA" w:rsidRPr="007B140B">
        <w:rPr>
          <w:rFonts w:ascii="Times New Roman" w:hAnsi="Times New Roman" w:cs="Times New Roman"/>
          <w:sz w:val="24"/>
          <w:szCs w:val="24"/>
          <w:lang w:val="en-US"/>
        </w:rPr>
        <w:t xml:space="preserve"> (n=1028</w:t>
      </w:r>
      <w:r w:rsidRPr="007B140B">
        <w:rPr>
          <w:rFonts w:ascii="Times New Roman" w:hAnsi="Times New Roman" w:cs="Times New Roman"/>
          <w:sz w:val="24"/>
          <w:szCs w:val="24"/>
          <w:lang w:val="en-US"/>
        </w:rPr>
        <w:t>) suffered a</w:t>
      </w:r>
      <w:r w:rsidR="008A22E3" w:rsidRPr="007B140B">
        <w:rPr>
          <w:rFonts w:ascii="Times New Roman" w:hAnsi="Times New Roman" w:cs="Times New Roman"/>
          <w:sz w:val="24"/>
          <w:szCs w:val="24"/>
          <w:lang w:val="en-US"/>
        </w:rPr>
        <w:t xml:space="preserve"> new</w:t>
      </w:r>
      <w:r w:rsidRPr="007B140B">
        <w:rPr>
          <w:rFonts w:ascii="Times New Roman" w:hAnsi="Times New Roman" w:cs="Times New Roman"/>
          <w:sz w:val="24"/>
          <w:szCs w:val="24"/>
          <w:lang w:val="en-US"/>
        </w:rPr>
        <w:t xml:space="preserve"> fracture</w:t>
      </w:r>
      <w:r w:rsidR="00293421" w:rsidRPr="007B140B">
        <w:rPr>
          <w:rFonts w:ascii="Times New Roman" w:hAnsi="Times New Roman" w:cs="Times New Roman"/>
          <w:sz w:val="24"/>
          <w:szCs w:val="24"/>
          <w:lang w:val="en-US"/>
        </w:rPr>
        <w:t xml:space="preserve"> at a different skeletal site</w:t>
      </w:r>
      <w:r w:rsidR="008A22E3" w:rsidRPr="007B140B">
        <w:rPr>
          <w:rFonts w:ascii="Times New Roman" w:hAnsi="Times New Roman" w:cs="Times New Roman"/>
          <w:sz w:val="24"/>
          <w:szCs w:val="24"/>
          <w:lang w:val="en-US"/>
        </w:rPr>
        <w:t xml:space="preserve">. </w:t>
      </w:r>
      <w:r w:rsidR="00EF5E3F">
        <w:rPr>
          <w:rFonts w:ascii="Times New Roman" w:hAnsi="Times New Roman" w:cs="Times New Roman"/>
          <w:sz w:val="24"/>
          <w:szCs w:val="24"/>
          <w:lang w:val="en-US"/>
        </w:rPr>
        <w:t>We expect</w:t>
      </w:r>
      <w:r w:rsidR="00F13653">
        <w:rPr>
          <w:rFonts w:ascii="Times New Roman" w:hAnsi="Times New Roman" w:cs="Times New Roman"/>
          <w:sz w:val="24"/>
          <w:szCs w:val="24"/>
          <w:lang w:val="en-US"/>
        </w:rPr>
        <w:t xml:space="preserve"> t</w:t>
      </w:r>
      <w:r w:rsidR="00040615" w:rsidRPr="007B140B">
        <w:rPr>
          <w:rFonts w:ascii="Times New Roman" w:hAnsi="Times New Roman" w:cs="Times New Roman"/>
          <w:sz w:val="24"/>
          <w:szCs w:val="24"/>
          <w:lang w:val="en-US"/>
        </w:rPr>
        <w:t>he</w:t>
      </w:r>
      <w:r w:rsidR="00293421" w:rsidRPr="007B140B">
        <w:rPr>
          <w:rFonts w:ascii="Times New Roman" w:hAnsi="Times New Roman" w:cs="Times New Roman"/>
          <w:sz w:val="24"/>
          <w:szCs w:val="24"/>
          <w:lang w:val="en-US"/>
        </w:rPr>
        <w:t xml:space="preserve"> restriction </w:t>
      </w:r>
      <w:r w:rsidR="00EF5E3F">
        <w:rPr>
          <w:rFonts w:ascii="Times New Roman" w:hAnsi="Times New Roman" w:cs="Times New Roman"/>
          <w:sz w:val="24"/>
          <w:szCs w:val="24"/>
          <w:lang w:val="en-US"/>
        </w:rPr>
        <w:t>of</w:t>
      </w:r>
      <w:r w:rsidR="00F13653">
        <w:rPr>
          <w:rFonts w:ascii="Times New Roman" w:hAnsi="Times New Roman" w:cs="Times New Roman"/>
          <w:sz w:val="24"/>
          <w:szCs w:val="24"/>
          <w:lang w:val="en-US"/>
        </w:rPr>
        <w:t xml:space="preserve"> the analysis </w:t>
      </w:r>
      <w:r w:rsidR="00293421" w:rsidRPr="007B140B">
        <w:rPr>
          <w:rFonts w:ascii="Times New Roman" w:hAnsi="Times New Roman" w:cs="Times New Roman"/>
          <w:sz w:val="24"/>
          <w:szCs w:val="24"/>
          <w:lang w:val="en-US"/>
        </w:rPr>
        <w:t xml:space="preserve">to </w:t>
      </w:r>
      <w:r w:rsidR="00F13653">
        <w:rPr>
          <w:rFonts w:ascii="Times New Roman" w:hAnsi="Times New Roman" w:cs="Times New Roman"/>
          <w:sz w:val="24"/>
          <w:szCs w:val="24"/>
          <w:lang w:val="en-US"/>
        </w:rPr>
        <w:t xml:space="preserve">fractures of </w:t>
      </w:r>
      <w:r w:rsidR="00293421" w:rsidRPr="007B140B">
        <w:rPr>
          <w:rFonts w:ascii="Times New Roman" w:hAnsi="Times New Roman" w:cs="Times New Roman"/>
          <w:sz w:val="24"/>
          <w:szCs w:val="24"/>
          <w:lang w:val="en-US"/>
        </w:rPr>
        <w:t>a different skeletal site</w:t>
      </w:r>
      <w:r w:rsidR="00ED1D2C" w:rsidRPr="007B140B">
        <w:rPr>
          <w:rFonts w:ascii="Times New Roman" w:hAnsi="Times New Roman" w:cs="Times New Roman"/>
          <w:sz w:val="24"/>
          <w:szCs w:val="24"/>
          <w:lang w:val="en-US"/>
        </w:rPr>
        <w:t xml:space="preserve"> to lead</w:t>
      </w:r>
      <w:r w:rsidR="00293421" w:rsidRPr="007B140B">
        <w:rPr>
          <w:rFonts w:ascii="Times New Roman" w:hAnsi="Times New Roman" w:cs="Times New Roman"/>
          <w:sz w:val="24"/>
          <w:szCs w:val="24"/>
          <w:lang w:val="en-US"/>
        </w:rPr>
        <w:t xml:space="preserve"> to an underestimation of the inci</w:t>
      </w:r>
      <w:r w:rsidR="00ED1D2C" w:rsidRPr="007B140B">
        <w:rPr>
          <w:rFonts w:ascii="Times New Roman" w:hAnsi="Times New Roman" w:cs="Times New Roman"/>
          <w:sz w:val="24"/>
          <w:szCs w:val="24"/>
          <w:lang w:val="en-US"/>
        </w:rPr>
        <w:t xml:space="preserve">dence of new fractures, but </w:t>
      </w:r>
      <w:r w:rsidR="00874725" w:rsidRPr="007B140B">
        <w:rPr>
          <w:rFonts w:ascii="Times New Roman" w:hAnsi="Times New Roman" w:cs="Times New Roman"/>
          <w:sz w:val="24"/>
          <w:szCs w:val="24"/>
          <w:lang w:val="en-US"/>
        </w:rPr>
        <w:t>th</w:t>
      </w:r>
      <w:r w:rsidR="00F14255">
        <w:rPr>
          <w:rFonts w:ascii="Times New Roman" w:hAnsi="Times New Roman" w:cs="Times New Roman"/>
          <w:sz w:val="24"/>
          <w:szCs w:val="24"/>
          <w:lang w:val="en-US"/>
        </w:rPr>
        <w:t>is</w:t>
      </w:r>
      <w:r w:rsidR="00874725" w:rsidRPr="007B140B">
        <w:rPr>
          <w:rFonts w:ascii="Times New Roman" w:hAnsi="Times New Roman" w:cs="Times New Roman"/>
          <w:sz w:val="24"/>
          <w:szCs w:val="24"/>
          <w:lang w:val="en-US"/>
        </w:rPr>
        <w:t xml:space="preserve"> restriction</w:t>
      </w:r>
      <w:r w:rsidR="00ED1D2C" w:rsidRPr="007B140B">
        <w:rPr>
          <w:rFonts w:ascii="Times New Roman" w:hAnsi="Times New Roman" w:cs="Times New Roman"/>
          <w:sz w:val="24"/>
          <w:szCs w:val="24"/>
          <w:lang w:val="en-US"/>
        </w:rPr>
        <w:t xml:space="preserve"> </w:t>
      </w:r>
      <w:r w:rsidR="00EF5E3F">
        <w:rPr>
          <w:rFonts w:ascii="Times New Roman" w:hAnsi="Times New Roman" w:cs="Times New Roman"/>
          <w:sz w:val="24"/>
          <w:szCs w:val="24"/>
          <w:lang w:val="en-US"/>
        </w:rPr>
        <w:t>is</w:t>
      </w:r>
      <w:r w:rsidR="00EF5E3F" w:rsidRPr="007B140B">
        <w:rPr>
          <w:rFonts w:ascii="Times New Roman" w:hAnsi="Times New Roman" w:cs="Times New Roman"/>
          <w:sz w:val="24"/>
          <w:szCs w:val="24"/>
          <w:lang w:val="en-US"/>
        </w:rPr>
        <w:t xml:space="preserve"> </w:t>
      </w:r>
      <w:r w:rsidR="00293421" w:rsidRPr="007B140B">
        <w:rPr>
          <w:rFonts w:ascii="Times New Roman" w:hAnsi="Times New Roman" w:cs="Times New Roman"/>
          <w:sz w:val="24"/>
          <w:szCs w:val="24"/>
          <w:lang w:val="en-US"/>
        </w:rPr>
        <w:t xml:space="preserve">necessary to avoid counting the same fracture twice. </w:t>
      </w:r>
      <w:r w:rsidR="00ED1D2C" w:rsidRPr="007B140B">
        <w:rPr>
          <w:rFonts w:ascii="Times New Roman" w:hAnsi="Times New Roman" w:cs="Times New Roman"/>
          <w:sz w:val="24"/>
          <w:szCs w:val="24"/>
          <w:lang w:val="en-US"/>
        </w:rPr>
        <w:t>The distribution of fractures</w:t>
      </w:r>
      <w:r w:rsidR="008A22E3" w:rsidRPr="007B140B">
        <w:rPr>
          <w:rFonts w:ascii="Times New Roman" w:hAnsi="Times New Roman" w:cs="Times New Roman"/>
          <w:sz w:val="24"/>
          <w:szCs w:val="24"/>
          <w:lang w:val="en-US"/>
        </w:rPr>
        <w:t xml:space="preserve"> </w:t>
      </w:r>
      <w:r w:rsidR="00E535D4" w:rsidRPr="007B140B">
        <w:rPr>
          <w:rFonts w:ascii="Times New Roman" w:hAnsi="Times New Roman" w:cs="Times New Roman"/>
          <w:sz w:val="24"/>
          <w:szCs w:val="24"/>
          <w:lang w:val="en-US"/>
        </w:rPr>
        <w:t>by skeletal site</w:t>
      </w:r>
      <w:r w:rsidR="008A22E3" w:rsidRPr="007B140B">
        <w:rPr>
          <w:rFonts w:ascii="Times New Roman" w:hAnsi="Times New Roman" w:cs="Times New Roman"/>
          <w:sz w:val="24"/>
          <w:szCs w:val="24"/>
          <w:lang w:val="en-US"/>
        </w:rPr>
        <w:t xml:space="preserve"> was as follows:</w:t>
      </w:r>
    </w:p>
    <w:p w14:paraId="27BB91B7" w14:textId="003B5DD0" w:rsidR="00AE696A" w:rsidRPr="007B140B" w:rsidRDefault="00AE696A" w:rsidP="00363CEE">
      <w:pPr>
        <w:pStyle w:val="Liststycke"/>
        <w:numPr>
          <w:ilvl w:val="0"/>
          <w:numId w:val="3"/>
        </w:num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457 fractures of the hip</w:t>
      </w:r>
    </w:p>
    <w:p w14:paraId="61D1E78E" w14:textId="5456E0CD" w:rsidR="00AE696A" w:rsidRPr="007B140B" w:rsidRDefault="00AE696A" w:rsidP="00363CEE">
      <w:pPr>
        <w:pStyle w:val="Liststycke"/>
        <w:numPr>
          <w:ilvl w:val="0"/>
          <w:numId w:val="3"/>
        </w:num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148</w:t>
      </w:r>
      <w:r w:rsidR="00E535D4" w:rsidRPr="007B140B">
        <w:rPr>
          <w:rFonts w:ascii="Times New Roman" w:hAnsi="Times New Roman" w:cs="Times New Roman"/>
          <w:sz w:val="24"/>
          <w:szCs w:val="24"/>
          <w:lang w:val="en-US"/>
        </w:rPr>
        <w:t xml:space="preserve"> </w:t>
      </w:r>
      <w:r w:rsidRPr="007B140B">
        <w:rPr>
          <w:rFonts w:ascii="Times New Roman" w:hAnsi="Times New Roman" w:cs="Times New Roman"/>
          <w:sz w:val="24"/>
          <w:szCs w:val="24"/>
          <w:lang w:val="en-US"/>
        </w:rPr>
        <w:t>fractures of the upper arm</w:t>
      </w:r>
    </w:p>
    <w:p w14:paraId="4CAD16C4" w14:textId="594FCDA9" w:rsidR="00AE696A" w:rsidRPr="007B140B" w:rsidRDefault="00AE696A" w:rsidP="00363CEE">
      <w:pPr>
        <w:pStyle w:val="Liststycke"/>
        <w:numPr>
          <w:ilvl w:val="0"/>
          <w:numId w:val="3"/>
        </w:num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125 fractures of the lower leg and foot joint</w:t>
      </w:r>
    </w:p>
    <w:p w14:paraId="274F316D" w14:textId="51AFD4F9" w:rsidR="00AE696A" w:rsidRPr="007B140B" w:rsidRDefault="00AE696A" w:rsidP="00363CEE">
      <w:pPr>
        <w:pStyle w:val="Liststycke"/>
        <w:numPr>
          <w:ilvl w:val="0"/>
          <w:numId w:val="3"/>
        </w:num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117 fractures of the radius or ulna</w:t>
      </w:r>
    </w:p>
    <w:p w14:paraId="2427DC5F" w14:textId="7BCD3915" w:rsidR="00AE696A" w:rsidRPr="007B140B" w:rsidRDefault="00AE696A" w:rsidP="00363CEE">
      <w:pPr>
        <w:pStyle w:val="Liststycke"/>
        <w:numPr>
          <w:ilvl w:val="0"/>
          <w:numId w:val="3"/>
        </w:numPr>
        <w:spacing w:after="0" w:line="240" w:lineRule="auto"/>
        <w:rPr>
          <w:rFonts w:ascii="Times New Roman" w:hAnsi="Times New Roman" w:cs="Times New Roman"/>
          <w:sz w:val="24"/>
          <w:szCs w:val="24"/>
          <w:lang w:val="en-US"/>
        </w:rPr>
      </w:pPr>
      <w:proofErr w:type="gramStart"/>
      <w:r w:rsidRPr="007B140B">
        <w:rPr>
          <w:rFonts w:ascii="Times New Roman" w:hAnsi="Times New Roman" w:cs="Times New Roman"/>
          <w:sz w:val="24"/>
          <w:szCs w:val="24"/>
          <w:lang w:val="en-US"/>
        </w:rPr>
        <w:t xml:space="preserve">91 </w:t>
      </w:r>
      <w:r w:rsidR="008E5F6B" w:rsidRPr="007B140B">
        <w:rPr>
          <w:rFonts w:ascii="Times New Roman" w:hAnsi="Times New Roman" w:cs="Times New Roman"/>
          <w:sz w:val="24"/>
          <w:szCs w:val="24"/>
          <w:lang w:val="en-US"/>
        </w:rPr>
        <w:t xml:space="preserve"> </w:t>
      </w:r>
      <w:r w:rsidRPr="007B140B">
        <w:rPr>
          <w:rFonts w:ascii="Times New Roman" w:hAnsi="Times New Roman" w:cs="Times New Roman"/>
          <w:sz w:val="24"/>
          <w:szCs w:val="24"/>
          <w:lang w:val="en-US"/>
        </w:rPr>
        <w:t>fractures</w:t>
      </w:r>
      <w:proofErr w:type="gramEnd"/>
      <w:r w:rsidRPr="007B140B">
        <w:rPr>
          <w:rFonts w:ascii="Times New Roman" w:hAnsi="Times New Roman" w:cs="Times New Roman"/>
          <w:sz w:val="24"/>
          <w:szCs w:val="24"/>
          <w:lang w:val="en-US"/>
        </w:rPr>
        <w:t xml:space="preserve"> of the lumber spine</w:t>
      </w:r>
    </w:p>
    <w:p w14:paraId="283DDDB6" w14:textId="77777777" w:rsidR="00AE696A" w:rsidRPr="007B140B" w:rsidRDefault="00AE696A" w:rsidP="00AE696A">
      <w:pPr>
        <w:pStyle w:val="Liststycke"/>
        <w:spacing w:after="0" w:line="240" w:lineRule="auto"/>
        <w:ind w:left="1440"/>
        <w:rPr>
          <w:rFonts w:ascii="Times New Roman" w:hAnsi="Times New Roman" w:cs="Times New Roman"/>
          <w:sz w:val="24"/>
          <w:szCs w:val="24"/>
          <w:lang w:val="en-US"/>
        </w:rPr>
      </w:pPr>
    </w:p>
    <w:p w14:paraId="686F679B" w14:textId="59D92BF1" w:rsidR="00AE696A" w:rsidRPr="007B140B" w:rsidRDefault="00AE696A" w:rsidP="0086160F">
      <w:p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The risk of a new fracture was similar in women and men, 10.2% </w:t>
      </w:r>
      <w:r w:rsidR="00F97DAA" w:rsidRPr="007B140B">
        <w:rPr>
          <w:rFonts w:ascii="Times New Roman" w:hAnsi="Times New Roman" w:cs="Times New Roman"/>
          <w:sz w:val="24"/>
          <w:szCs w:val="24"/>
          <w:lang w:val="en-US"/>
        </w:rPr>
        <w:t>in</w:t>
      </w:r>
      <w:r w:rsidRPr="007B140B">
        <w:rPr>
          <w:rFonts w:ascii="Times New Roman" w:hAnsi="Times New Roman" w:cs="Times New Roman"/>
          <w:sz w:val="24"/>
          <w:szCs w:val="24"/>
          <w:lang w:val="en-US"/>
        </w:rPr>
        <w:t xml:space="preserve"> women </w:t>
      </w:r>
      <w:r w:rsidR="00F97DAA" w:rsidRPr="007B140B">
        <w:rPr>
          <w:rFonts w:ascii="Times New Roman" w:hAnsi="Times New Roman" w:cs="Times New Roman"/>
          <w:sz w:val="24"/>
          <w:szCs w:val="24"/>
          <w:lang w:val="en-US"/>
        </w:rPr>
        <w:t xml:space="preserve">and 9.6% in </w:t>
      </w:r>
      <w:r w:rsidR="00095127" w:rsidRPr="007B140B">
        <w:rPr>
          <w:rFonts w:ascii="Times New Roman" w:hAnsi="Times New Roman" w:cs="Times New Roman"/>
          <w:sz w:val="24"/>
          <w:szCs w:val="24"/>
          <w:lang w:val="en-US"/>
        </w:rPr>
        <w:t xml:space="preserve">men. </w:t>
      </w:r>
      <w:r w:rsidR="005C571D" w:rsidRPr="007B140B">
        <w:rPr>
          <w:rFonts w:ascii="Times New Roman" w:hAnsi="Times New Roman" w:cs="Times New Roman"/>
          <w:sz w:val="24"/>
          <w:szCs w:val="24"/>
          <w:lang w:val="en-US"/>
        </w:rPr>
        <w:t>Assuming a hip fracture risk</w:t>
      </w:r>
      <w:r w:rsidR="00E535D4" w:rsidRPr="007B140B">
        <w:rPr>
          <w:rFonts w:ascii="Times New Roman" w:hAnsi="Times New Roman" w:cs="Times New Roman"/>
          <w:sz w:val="24"/>
          <w:szCs w:val="24"/>
          <w:lang w:val="en-US"/>
        </w:rPr>
        <w:t xml:space="preserve"> of 457/10,361=4.4%</w:t>
      </w:r>
      <w:r w:rsidR="005C571D" w:rsidRPr="007B140B">
        <w:rPr>
          <w:rFonts w:ascii="Times New Roman" w:hAnsi="Times New Roman" w:cs="Times New Roman"/>
          <w:sz w:val="24"/>
          <w:szCs w:val="24"/>
          <w:lang w:val="en-US"/>
        </w:rPr>
        <w:t xml:space="preserve"> in the placebo group</w:t>
      </w:r>
      <w:r w:rsidR="009E1612" w:rsidRPr="007B140B">
        <w:rPr>
          <w:rFonts w:ascii="Times New Roman" w:hAnsi="Times New Roman" w:cs="Times New Roman"/>
          <w:sz w:val="24"/>
          <w:szCs w:val="24"/>
          <w:lang w:val="en-US"/>
        </w:rPr>
        <w:t xml:space="preserve"> and </w:t>
      </w:r>
      <w:r w:rsidR="005C571D" w:rsidRPr="007B140B">
        <w:rPr>
          <w:rFonts w:ascii="Times New Roman" w:hAnsi="Times New Roman" w:cs="Times New Roman"/>
          <w:sz w:val="24"/>
          <w:szCs w:val="24"/>
          <w:lang w:val="en-US"/>
        </w:rPr>
        <w:t>a dropout rate of 5%</w:t>
      </w:r>
      <w:r w:rsidR="009E1612" w:rsidRPr="007B140B">
        <w:rPr>
          <w:rFonts w:ascii="Times New Roman" w:hAnsi="Times New Roman" w:cs="Times New Roman"/>
          <w:sz w:val="24"/>
          <w:szCs w:val="24"/>
          <w:lang w:val="en-US"/>
        </w:rPr>
        <w:t xml:space="preserve">, </w:t>
      </w:r>
      <w:r w:rsidR="00E535D4" w:rsidRPr="007B140B">
        <w:rPr>
          <w:rFonts w:ascii="Times New Roman" w:hAnsi="Times New Roman" w:cs="Times New Roman"/>
          <w:sz w:val="24"/>
          <w:szCs w:val="24"/>
          <w:lang w:val="en-US"/>
        </w:rPr>
        <w:t>recruit</w:t>
      </w:r>
      <w:r w:rsidR="00A1230B">
        <w:rPr>
          <w:rFonts w:ascii="Times New Roman" w:hAnsi="Times New Roman" w:cs="Times New Roman"/>
          <w:sz w:val="24"/>
          <w:szCs w:val="24"/>
          <w:lang w:val="en-US"/>
        </w:rPr>
        <w:t>ment of</w:t>
      </w:r>
      <w:r w:rsidR="00E535D4" w:rsidRPr="007B140B">
        <w:rPr>
          <w:rFonts w:ascii="Times New Roman" w:hAnsi="Times New Roman" w:cs="Times New Roman"/>
          <w:sz w:val="24"/>
          <w:szCs w:val="24"/>
          <w:lang w:val="en-US"/>
        </w:rPr>
        <w:t xml:space="preserve"> 2900 participants will give </w:t>
      </w:r>
      <w:r w:rsidR="009E1612" w:rsidRPr="007B140B">
        <w:rPr>
          <w:rFonts w:ascii="Times New Roman" w:hAnsi="Times New Roman" w:cs="Times New Roman"/>
          <w:sz w:val="24"/>
          <w:szCs w:val="24"/>
          <w:lang w:val="en-US"/>
        </w:rPr>
        <w:t>t</w:t>
      </w:r>
      <w:r w:rsidR="00E535D4" w:rsidRPr="007B140B">
        <w:rPr>
          <w:rFonts w:ascii="Times New Roman" w:hAnsi="Times New Roman" w:cs="Times New Roman"/>
          <w:sz w:val="24"/>
          <w:szCs w:val="24"/>
          <w:lang w:val="en-US"/>
        </w:rPr>
        <w:t xml:space="preserve">he trial </w:t>
      </w:r>
      <w:r w:rsidR="005C571D" w:rsidRPr="007B140B">
        <w:rPr>
          <w:rFonts w:ascii="Times New Roman" w:hAnsi="Times New Roman" w:cs="Times New Roman"/>
          <w:sz w:val="24"/>
          <w:szCs w:val="24"/>
          <w:lang w:val="en-US"/>
        </w:rPr>
        <w:t>71% power to detect a 40% reduction</w:t>
      </w:r>
      <w:r w:rsidR="008135DB" w:rsidRPr="007B140B">
        <w:rPr>
          <w:rFonts w:ascii="Times New Roman" w:hAnsi="Times New Roman" w:cs="Times New Roman"/>
          <w:sz w:val="24"/>
          <w:szCs w:val="24"/>
          <w:lang w:val="en-US"/>
        </w:rPr>
        <w:fldChar w:fldCharType="begin" w:fldLock="1"/>
      </w:r>
      <w:r w:rsidR="00D2485C">
        <w:rPr>
          <w:rFonts w:ascii="Times New Roman" w:hAnsi="Times New Roman" w:cs="Times New Roman"/>
          <w:sz w:val="24"/>
          <w:szCs w:val="24"/>
          <w:lang w:val="en-US"/>
        </w:rPr>
        <w:instrText>ADDIN CSL_CITATION {"citationItems":[{"id":"ITEM-1","itemData":{"DOI":"10.1056/NEJMoa067312","author":[{"dropping-particle":"","family":"Black","given":"D M","non-dropping-particle":"","parse-names":false,"suffix":""},{"dropping-particle":"","family":"Delmas","given":"P D","non-dropping-particle":"","parse-names":false,"suffix":""},{"dropping-particle":"","family":"Eastell","given":"R","non-dropping-particle":"","parse-names":false,"suffix":""},{"dropping-particle":"","family":"Reid","given":"I R","non-dropping-particle":"","parse-names":false,"suffix":""},{"dropping-particle":"","family":"Boonen","given":"S","non-dropping-particle":"","parse-names":false,"suffix":""},{"dropping-particle":"","family":"Cauley","given":"J A","non-dropping-particle":"","parse-names":false,"suffix":""},{"dropping-particle":"","family":"Cosman","given":"F","non-dropping-particle":"","parse-names":false,"suffix":""},{"dropping-particle":"","family":"Lakatos","given":"P","non-dropping-particle":"","parse-names":false,"suffix":""},{"dropping-particle":"","family":"Leung","given":"P C","non-dropping-particle":"","parse-names":false,"suffix":""},{"dropping-particle":"","family":"Man","given":"Z","non-dropping-particle":"","parse-names":false,"suffix":""},{"dropping-particle":"","family":"Mautalen","given":"C","non-dropping-particle":"","parse-names":false,"suffix":""},{"dropping-particle":"","family":"Mesenbrink","given":"P","non-dropping-particle":"","parse-names":false,"suffix":""},{"dropping-particle":"","family":"Hu","given":"H","non-dropping-particle":"","parse-names":false,"suffix":""},{"dropping-particle":"","family":"Caminis","given":"J","non-dropping-particle":"","parse-names":false,"suffix":""},{"dropping-particle":"","family":"Tong","given":"K","non-dropping-particle":"","parse-names":false,"suffix":""},{"dropping-particle":"","family":"Rosario-Jansen","given":"T","non-dropping-particle":"","parse-names":false,"suffix":""},{"dropping-particle":"","family":"Krasnow","given":"J","non-dropping-particle":"","parse-names":false,"suffix":""},{"dropping-particle":"","family":"Hue","given":"T F","non-dropping-particle":"","parse-names":false,"suffix":""},{"dropping-particle":"","family":"Sellmeyer","given":"D","non-dropping-particle":"","parse-names":false,"suffix":""},{"dropping-particle":"","family":"Eriksen","given":"E F","non-dropping-particle":"","parse-names":false,"suffix":""},{"dropping-particle":"","family":"Cummings","given":"S R","non-dropping-particle":"","parse-names":false,"suffix":""}],"container-title":"N Engl J Med","id":"ITEM-1","issue":"18","issued":{"date-parts":[["2007"]]},"page":"1809-1822","title":"Once-yearly zoledronic acid for treatment of postmenopausal osteoporosis","type":"article-journal","volume":"356"},"uris":["http://www.mendeley.com/documents/?uuid=0f13fad4-b5f5-42f7-873f-7dd2216502be"]}],"mendeley":{"formattedCitation":"&lt;sup&gt;&lt;sup&gt;19&lt;/sup&gt;&lt;/sup&gt;","plainTextFormattedCitation":"19","previouslyFormattedCitation":"&lt;sup&gt;&lt;sup&gt;19&lt;/sup&gt;&lt;/sup&gt;"},"properties":{"noteIndex":0},"schema":"https://github.com/citation-style-language/schema/raw/master/csl-citation.json"}</w:instrText>
      </w:r>
      <w:r w:rsidR="008135DB" w:rsidRPr="007B140B">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19</w:t>
      </w:r>
      <w:r w:rsidR="008135DB" w:rsidRPr="007B140B">
        <w:rPr>
          <w:rFonts w:ascii="Times New Roman" w:hAnsi="Times New Roman" w:cs="Times New Roman"/>
          <w:sz w:val="24"/>
          <w:szCs w:val="24"/>
          <w:lang w:val="en-US"/>
        </w:rPr>
        <w:fldChar w:fldCharType="end"/>
      </w:r>
      <w:r w:rsidR="005C571D" w:rsidRPr="007B140B">
        <w:rPr>
          <w:rFonts w:ascii="Times New Roman" w:hAnsi="Times New Roman" w:cs="Times New Roman"/>
          <w:sz w:val="24"/>
          <w:szCs w:val="24"/>
          <w:lang w:val="en-US"/>
        </w:rPr>
        <w:t xml:space="preserve"> </w:t>
      </w:r>
      <w:r w:rsidR="00BB5053">
        <w:rPr>
          <w:rFonts w:ascii="Times New Roman" w:hAnsi="Times New Roman" w:cs="Times New Roman"/>
          <w:sz w:val="24"/>
          <w:szCs w:val="24"/>
          <w:lang w:val="en-US"/>
        </w:rPr>
        <w:t xml:space="preserve">in hip fractures </w:t>
      </w:r>
      <w:r w:rsidR="009E1612" w:rsidRPr="007B140B">
        <w:rPr>
          <w:rFonts w:ascii="Times New Roman" w:hAnsi="Times New Roman" w:cs="Times New Roman"/>
          <w:sz w:val="24"/>
          <w:szCs w:val="24"/>
          <w:lang w:val="en-US"/>
        </w:rPr>
        <w:t>and 55% power to detect a 34% reduction</w:t>
      </w:r>
      <w:r w:rsidR="00D87E10" w:rsidRPr="007B140B">
        <w:rPr>
          <w:rFonts w:ascii="Times New Roman" w:hAnsi="Times New Roman" w:cs="Times New Roman"/>
          <w:sz w:val="24"/>
          <w:szCs w:val="24"/>
          <w:lang w:val="en-US"/>
        </w:rPr>
        <w:fldChar w:fldCharType="begin" w:fldLock="1"/>
      </w:r>
      <w:r w:rsidR="00D2485C">
        <w:rPr>
          <w:rFonts w:ascii="Times New Roman" w:hAnsi="Times New Roman" w:cs="Times New Roman"/>
          <w:sz w:val="24"/>
          <w:szCs w:val="24"/>
          <w:lang w:val="en-US"/>
        </w:rPr>
        <w:instrText>ADDIN CSL_CITATION {"citationItems":[{"id":"ITEM-1","itemData":{"DOI":"10.1056/NEJMoa1808082","ISSN":"0028-4793","author":[{"dropping-particle":"","family":"Reid","given":"Ian R.","non-dropping-particle":"","parse-names":false,"suffix":""},{"dropping-particle":"","family":"Horne","given":"Anne M.","non-dropping-particle":"","parse-names":false,"suffix":""},{"dropping-particle":"","family":"Mihov","given":"Borislav","non-dropping-particle":"","parse-names":false,"suffix":""},{"dropping-particle":"","family":"Stewart","given":"Angela","non-dropping-particle":"","parse-names":false,"suffix":""},{"dropping-particle":"","family":"Garratt","given":"Elizabeth","non-dropping-particle":"","parse-names":false,"suffix":""},{"dropping-particle":"","family":"Wong","given":"Sumwai","non-dropping-particle":"","parse-names":false,"suffix":""},{"dropping-particle":"","family":"Wiessing","given":"Katy R.","non-dropping-particle":"","parse-names":false,"suffix":""},{"dropping-particle":"","family":"Bolland","given":"Mark J.","non-dropping-particle":"","parse-names":false,"suffix":""},{"dropping-particle":"","family":"Bastin","given":"Sonja","non-dropping-particle":"","parse-names":false,"suffix":""},{"dropping-particle":"","family":"Gamble","given":"Gregory D.","non-dropping-particle":"","parse-names":false,"suffix":""}],"container-title":"New England Journal of Medicine","id":"ITEM-1","issue":"25","issued":{"date-parts":[["2018"]]},"page":"2407-2416","title":"Fracture prevention with zoledronate in older women with osteopenia","type":"article-journal","volume":"379"},"uris":["http://www.mendeley.com/documents/?uuid=69cbf6db-0dca-4f28-87bb-02a266b0d7ef"]}],"mendeley":{"formattedCitation":"&lt;sup&gt;&lt;sup&gt;21&lt;/sup&gt;&lt;/sup&gt;","plainTextFormattedCitation":"21","previouslyFormattedCitation":"&lt;sup&gt;&lt;sup&gt;21&lt;/sup&gt;&lt;/sup&gt;"},"properties":{"noteIndex":0},"schema":"https://github.com/citation-style-language/schema/raw/master/csl-citation.json"}</w:instrText>
      </w:r>
      <w:r w:rsidR="00D87E10" w:rsidRPr="007B140B">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21</w:t>
      </w:r>
      <w:r w:rsidR="00D87E10" w:rsidRPr="007B140B">
        <w:rPr>
          <w:rFonts w:ascii="Times New Roman" w:hAnsi="Times New Roman" w:cs="Times New Roman"/>
          <w:sz w:val="24"/>
          <w:szCs w:val="24"/>
          <w:lang w:val="en-US"/>
        </w:rPr>
        <w:fldChar w:fldCharType="end"/>
      </w:r>
      <w:r w:rsidR="009E1612" w:rsidRPr="007B140B">
        <w:rPr>
          <w:rFonts w:ascii="Times New Roman" w:hAnsi="Times New Roman" w:cs="Times New Roman"/>
          <w:sz w:val="24"/>
          <w:szCs w:val="24"/>
          <w:lang w:val="en-US"/>
        </w:rPr>
        <w:t xml:space="preserve"> </w:t>
      </w:r>
      <w:r w:rsidR="005C571D" w:rsidRPr="007B140B">
        <w:rPr>
          <w:rFonts w:ascii="Times New Roman" w:hAnsi="Times New Roman" w:cs="Times New Roman"/>
          <w:sz w:val="24"/>
          <w:szCs w:val="24"/>
          <w:lang w:val="en-US"/>
        </w:rPr>
        <w:t>in hip fracture</w:t>
      </w:r>
      <w:r w:rsidR="00871315" w:rsidRPr="007B140B">
        <w:rPr>
          <w:rFonts w:ascii="Times New Roman" w:hAnsi="Times New Roman" w:cs="Times New Roman"/>
          <w:sz w:val="24"/>
          <w:szCs w:val="24"/>
          <w:lang w:val="en-US"/>
        </w:rPr>
        <w:t>s</w:t>
      </w:r>
      <w:r w:rsidR="00032298" w:rsidRPr="007B140B">
        <w:rPr>
          <w:rFonts w:ascii="Times New Roman" w:hAnsi="Times New Roman" w:cs="Times New Roman"/>
          <w:sz w:val="24"/>
          <w:szCs w:val="24"/>
          <w:lang w:val="en-US"/>
        </w:rPr>
        <w:t xml:space="preserve"> </w:t>
      </w:r>
      <w:r w:rsidR="00BB5053">
        <w:rPr>
          <w:rFonts w:ascii="Times New Roman" w:hAnsi="Times New Roman" w:cs="Times New Roman"/>
          <w:sz w:val="24"/>
          <w:szCs w:val="24"/>
          <w:lang w:val="en-US"/>
        </w:rPr>
        <w:t>(</w:t>
      </w:r>
      <w:r w:rsidR="00032298" w:rsidRPr="007B140B">
        <w:rPr>
          <w:rFonts w:ascii="Times New Roman" w:hAnsi="Times New Roman" w:cs="Times New Roman"/>
          <w:sz w:val="24"/>
          <w:szCs w:val="24"/>
          <w:lang w:val="en-US"/>
        </w:rPr>
        <w:t>5%</w:t>
      </w:r>
      <w:r w:rsidR="00A87AC3">
        <w:rPr>
          <w:rFonts w:ascii="Times New Roman" w:hAnsi="Times New Roman" w:cs="Times New Roman"/>
          <w:sz w:val="24"/>
          <w:szCs w:val="24"/>
          <w:lang w:val="en-US"/>
        </w:rPr>
        <w:t xml:space="preserve"> significance</w:t>
      </w:r>
      <w:r w:rsidR="00032298" w:rsidRPr="007B140B">
        <w:rPr>
          <w:rFonts w:ascii="Times New Roman" w:hAnsi="Times New Roman" w:cs="Times New Roman"/>
          <w:sz w:val="24"/>
          <w:szCs w:val="24"/>
          <w:lang w:val="en-US"/>
        </w:rPr>
        <w:t xml:space="preserve"> level</w:t>
      </w:r>
      <w:r w:rsidR="00BB5053">
        <w:rPr>
          <w:rFonts w:ascii="Times New Roman" w:hAnsi="Times New Roman" w:cs="Times New Roman"/>
          <w:sz w:val="24"/>
          <w:szCs w:val="24"/>
          <w:lang w:val="en-US"/>
        </w:rPr>
        <w:t>)</w:t>
      </w:r>
      <w:r w:rsidR="005C571D" w:rsidRPr="007B140B">
        <w:rPr>
          <w:rFonts w:ascii="Times New Roman" w:hAnsi="Times New Roman" w:cs="Times New Roman"/>
          <w:sz w:val="24"/>
          <w:szCs w:val="24"/>
          <w:lang w:val="en-US"/>
        </w:rPr>
        <w:t>.</w:t>
      </w:r>
    </w:p>
    <w:p w14:paraId="5582C6B2" w14:textId="37F5633F" w:rsidR="00095127" w:rsidRPr="007B140B" w:rsidRDefault="00095127" w:rsidP="0086160F">
      <w:pPr>
        <w:rPr>
          <w:rFonts w:ascii="Times New Roman" w:hAnsi="Times New Roman" w:cs="Times New Roman"/>
          <w:sz w:val="24"/>
          <w:szCs w:val="24"/>
          <w:lang w:val="en-US"/>
        </w:rPr>
      </w:pPr>
    </w:p>
    <w:p w14:paraId="7F1FC786" w14:textId="5D6C3FC3" w:rsidR="00884BA9" w:rsidRPr="007B140B" w:rsidRDefault="00884BA9" w:rsidP="00D36611">
      <w:pPr>
        <w:pStyle w:val="Formatmall4"/>
        <w:rPr>
          <w:rFonts w:cs="Times New Roman"/>
          <w:lang w:val="en-US"/>
        </w:rPr>
      </w:pPr>
      <w:bookmarkStart w:id="98" w:name="_Toc99001437"/>
      <w:r w:rsidRPr="007B140B">
        <w:rPr>
          <w:rFonts w:cs="Times New Roman"/>
          <w:lang w:val="en-US"/>
        </w:rPr>
        <w:t>Monitoring</w:t>
      </w:r>
      <w:r w:rsidR="00F56B72" w:rsidRPr="007B140B">
        <w:rPr>
          <w:rFonts w:cs="Times New Roman"/>
          <w:lang w:val="en-US"/>
        </w:rPr>
        <w:t>, I</w:t>
      </w:r>
      <w:r w:rsidR="003A2785" w:rsidRPr="007B140B">
        <w:rPr>
          <w:rFonts w:cs="Times New Roman"/>
          <w:lang w:val="en-US"/>
        </w:rPr>
        <w:t>nspection</w:t>
      </w:r>
      <w:r w:rsidR="00F56B72" w:rsidRPr="007B140B">
        <w:rPr>
          <w:rFonts w:cs="Times New Roman"/>
          <w:lang w:val="en-US"/>
        </w:rPr>
        <w:t xml:space="preserve">, </w:t>
      </w:r>
      <w:r w:rsidR="00874725" w:rsidRPr="007B140B">
        <w:rPr>
          <w:rFonts w:cs="Times New Roman"/>
          <w:lang w:val="en-US"/>
        </w:rPr>
        <w:t>Deviation</w:t>
      </w:r>
      <w:r w:rsidR="000B6E92" w:rsidRPr="007B140B">
        <w:rPr>
          <w:rFonts w:cs="Times New Roman"/>
          <w:lang w:val="en-US"/>
        </w:rPr>
        <w:t xml:space="preserve">, </w:t>
      </w:r>
      <w:r w:rsidR="00F56B72" w:rsidRPr="007B140B">
        <w:rPr>
          <w:rFonts w:cs="Times New Roman"/>
          <w:lang w:val="en-US"/>
        </w:rPr>
        <w:t>and Early Termination</w:t>
      </w:r>
      <w:bookmarkEnd w:id="98"/>
    </w:p>
    <w:p w14:paraId="2B7DF43C" w14:textId="2C6EF11A" w:rsidR="00C7466D" w:rsidRPr="007B140B" w:rsidRDefault="003A2785" w:rsidP="00D01738">
      <w:pPr>
        <w:rPr>
          <w:rFonts w:ascii="Times New Roman" w:hAnsi="Times New Roman" w:cs="Times New Roman"/>
          <w:sz w:val="24"/>
          <w:szCs w:val="24"/>
          <w:lang w:val="en-US"/>
        </w:rPr>
      </w:pPr>
      <w:r w:rsidRPr="007B140B">
        <w:rPr>
          <w:rFonts w:ascii="Times New Roman" w:hAnsi="Times New Roman" w:cs="Times New Roman"/>
          <w:sz w:val="24"/>
          <w:szCs w:val="24"/>
          <w:lang w:val="en-US"/>
        </w:rPr>
        <w:t>Inves</w:t>
      </w:r>
      <w:r w:rsidR="00B42A2B" w:rsidRPr="007B140B">
        <w:rPr>
          <w:rFonts w:ascii="Times New Roman" w:hAnsi="Times New Roman" w:cs="Times New Roman"/>
          <w:sz w:val="24"/>
          <w:szCs w:val="24"/>
          <w:lang w:val="en-US"/>
        </w:rPr>
        <w:t>tigators must allow monitoring</w:t>
      </w:r>
      <w:r w:rsidRPr="007B140B">
        <w:rPr>
          <w:rFonts w:ascii="Times New Roman" w:hAnsi="Times New Roman" w:cs="Times New Roman"/>
          <w:sz w:val="24"/>
          <w:szCs w:val="24"/>
          <w:lang w:val="en-US"/>
        </w:rPr>
        <w:t xml:space="preserve"> and inspection by pr</w:t>
      </w:r>
      <w:r w:rsidR="006B1487" w:rsidRPr="007B140B">
        <w:rPr>
          <w:rFonts w:ascii="Times New Roman" w:hAnsi="Times New Roman" w:cs="Times New Roman"/>
          <w:sz w:val="24"/>
          <w:szCs w:val="24"/>
          <w:lang w:val="en-US"/>
        </w:rPr>
        <w:t xml:space="preserve">oviding direct access to eCRFs, </w:t>
      </w:r>
      <w:r w:rsidRPr="007B140B">
        <w:rPr>
          <w:rFonts w:ascii="Times New Roman" w:hAnsi="Times New Roman" w:cs="Times New Roman"/>
          <w:sz w:val="24"/>
          <w:szCs w:val="24"/>
          <w:lang w:val="en-US"/>
        </w:rPr>
        <w:t>source data</w:t>
      </w:r>
      <w:r w:rsidR="006B1487" w:rsidRPr="007B140B">
        <w:rPr>
          <w:rFonts w:ascii="Times New Roman" w:hAnsi="Times New Roman" w:cs="Times New Roman"/>
          <w:sz w:val="24"/>
          <w:szCs w:val="24"/>
          <w:lang w:val="en-US"/>
        </w:rPr>
        <w:t>,</w:t>
      </w:r>
      <w:r w:rsidRPr="007B140B">
        <w:rPr>
          <w:rFonts w:ascii="Times New Roman" w:hAnsi="Times New Roman" w:cs="Times New Roman"/>
          <w:sz w:val="24"/>
          <w:szCs w:val="24"/>
          <w:lang w:val="en-US"/>
        </w:rPr>
        <w:t xml:space="preserve"> and </w:t>
      </w:r>
      <w:r w:rsidR="00272D42" w:rsidRPr="007B140B">
        <w:rPr>
          <w:rFonts w:ascii="Times New Roman" w:hAnsi="Times New Roman" w:cs="Times New Roman"/>
          <w:sz w:val="24"/>
          <w:szCs w:val="24"/>
          <w:lang w:val="en-US"/>
        </w:rPr>
        <w:t xml:space="preserve">other </w:t>
      </w:r>
      <w:r w:rsidRPr="007B140B">
        <w:rPr>
          <w:rFonts w:ascii="Times New Roman" w:hAnsi="Times New Roman" w:cs="Times New Roman"/>
          <w:sz w:val="24"/>
          <w:szCs w:val="24"/>
          <w:lang w:val="en-US"/>
        </w:rPr>
        <w:t>study-specific documentation</w:t>
      </w:r>
      <w:r w:rsidR="00272D42" w:rsidRPr="007B140B">
        <w:rPr>
          <w:rFonts w:ascii="Times New Roman" w:hAnsi="Times New Roman" w:cs="Times New Roman"/>
          <w:sz w:val="24"/>
          <w:szCs w:val="24"/>
          <w:lang w:val="en-US"/>
        </w:rPr>
        <w:t>.</w:t>
      </w:r>
    </w:p>
    <w:p w14:paraId="5D4FD155" w14:textId="77777777" w:rsidR="00D86D0B" w:rsidRPr="007B140B" w:rsidRDefault="00D86D0B" w:rsidP="00D01738">
      <w:pPr>
        <w:rPr>
          <w:rFonts w:ascii="Times New Roman" w:hAnsi="Times New Roman" w:cs="Times New Roman"/>
          <w:sz w:val="24"/>
          <w:szCs w:val="24"/>
          <w:lang w:val="en-US"/>
        </w:rPr>
      </w:pPr>
    </w:p>
    <w:p w14:paraId="57FD1A70" w14:textId="0150FD8E" w:rsidR="003A2785" w:rsidRPr="007B140B" w:rsidRDefault="0071512C" w:rsidP="00D36611">
      <w:pPr>
        <w:pStyle w:val="Formatmall3"/>
        <w:rPr>
          <w:rFonts w:cs="Times New Roman"/>
          <w:lang w:val="en-US"/>
        </w:rPr>
      </w:pPr>
      <w:bookmarkStart w:id="99" w:name="_Toc99001438"/>
      <w:r w:rsidRPr="007B140B">
        <w:rPr>
          <w:rFonts w:cs="Times New Roman"/>
          <w:lang w:val="en-US"/>
        </w:rPr>
        <w:t>M</w:t>
      </w:r>
      <w:r w:rsidR="00344374" w:rsidRPr="007B140B">
        <w:rPr>
          <w:rFonts w:cs="Times New Roman"/>
          <w:lang w:val="en-US"/>
        </w:rPr>
        <w:t>onitoring</w:t>
      </w:r>
      <w:bookmarkEnd w:id="99"/>
    </w:p>
    <w:p w14:paraId="23A468A0" w14:textId="38A168E4" w:rsidR="00D1269D" w:rsidRPr="007B140B" w:rsidRDefault="003A2785" w:rsidP="00D1269D">
      <w:p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The </w:t>
      </w:r>
      <w:r w:rsidR="006A1F25" w:rsidRPr="007B140B">
        <w:rPr>
          <w:rFonts w:ascii="Times New Roman" w:hAnsi="Times New Roman" w:cs="Times New Roman"/>
          <w:sz w:val="24"/>
          <w:szCs w:val="24"/>
          <w:lang w:val="en-US"/>
        </w:rPr>
        <w:t>trial</w:t>
      </w:r>
      <w:r w:rsidR="00321898" w:rsidRPr="007B140B">
        <w:rPr>
          <w:rFonts w:ascii="Times New Roman" w:hAnsi="Times New Roman" w:cs="Times New Roman"/>
          <w:sz w:val="24"/>
          <w:szCs w:val="24"/>
          <w:lang w:val="en-US"/>
        </w:rPr>
        <w:t xml:space="preserve"> will be </w:t>
      </w:r>
      <w:r w:rsidR="001D1FEF" w:rsidRPr="007B140B">
        <w:rPr>
          <w:rFonts w:ascii="Times New Roman" w:hAnsi="Times New Roman" w:cs="Times New Roman"/>
          <w:sz w:val="24"/>
          <w:szCs w:val="24"/>
          <w:lang w:val="en-US"/>
        </w:rPr>
        <w:t xml:space="preserve">independently </w:t>
      </w:r>
      <w:r w:rsidR="00344374" w:rsidRPr="007B140B">
        <w:rPr>
          <w:rFonts w:ascii="Times New Roman" w:hAnsi="Times New Roman" w:cs="Times New Roman"/>
          <w:sz w:val="24"/>
          <w:szCs w:val="24"/>
          <w:lang w:val="en-US"/>
        </w:rPr>
        <w:t>monitored</w:t>
      </w:r>
      <w:r w:rsidR="00C7466D" w:rsidRPr="007B140B">
        <w:rPr>
          <w:rFonts w:ascii="Times New Roman" w:hAnsi="Times New Roman" w:cs="Times New Roman"/>
          <w:sz w:val="24"/>
          <w:szCs w:val="24"/>
          <w:lang w:val="en-US"/>
        </w:rPr>
        <w:t xml:space="preserve"> </w:t>
      </w:r>
      <w:r w:rsidR="005C0D08" w:rsidRPr="007B140B">
        <w:rPr>
          <w:rFonts w:ascii="Times New Roman" w:hAnsi="Times New Roman" w:cs="Times New Roman"/>
          <w:sz w:val="24"/>
          <w:szCs w:val="24"/>
          <w:lang w:val="en-US"/>
        </w:rPr>
        <w:t xml:space="preserve">by </w:t>
      </w:r>
      <w:r w:rsidR="00722035" w:rsidRPr="007B140B">
        <w:rPr>
          <w:rFonts w:ascii="Times New Roman" w:hAnsi="Times New Roman" w:cs="Times New Roman"/>
          <w:sz w:val="24"/>
          <w:szCs w:val="24"/>
          <w:lang w:val="en-US"/>
        </w:rPr>
        <w:t>the</w:t>
      </w:r>
      <w:r w:rsidRPr="007B140B">
        <w:rPr>
          <w:rFonts w:ascii="Times New Roman" w:hAnsi="Times New Roman" w:cs="Times New Roman"/>
          <w:sz w:val="24"/>
          <w:szCs w:val="24"/>
          <w:lang w:val="en-US"/>
        </w:rPr>
        <w:t xml:space="preserve"> </w:t>
      </w:r>
      <w:r w:rsidR="00722035" w:rsidRPr="007B140B">
        <w:rPr>
          <w:rFonts w:ascii="Times New Roman" w:hAnsi="Times New Roman" w:cs="Times New Roman"/>
          <w:sz w:val="24"/>
          <w:szCs w:val="24"/>
          <w:lang w:val="en-US"/>
        </w:rPr>
        <w:t xml:space="preserve">University Hospital of Umeå </w:t>
      </w:r>
      <w:r w:rsidR="005C0D08" w:rsidRPr="007B140B">
        <w:rPr>
          <w:rFonts w:ascii="Times New Roman" w:hAnsi="Times New Roman" w:cs="Times New Roman"/>
          <w:sz w:val="24"/>
          <w:szCs w:val="24"/>
          <w:lang w:val="en-US"/>
        </w:rPr>
        <w:t>Clinical Research Centre before</w:t>
      </w:r>
      <w:r w:rsidRPr="007B140B">
        <w:rPr>
          <w:rFonts w:ascii="Times New Roman" w:hAnsi="Times New Roman" w:cs="Times New Roman"/>
          <w:sz w:val="24"/>
          <w:szCs w:val="24"/>
          <w:lang w:val="en-US"/>
        </w:rPr>
        <w:t xml:space="preserve">, during, and after the </w:t>
      </w:r>
      <w:r w:rsidR="004707C5">
        <w:rPr>
          <w:rFonts w:ascii="Times New Roman" w:hAnsi="Times New Roman" w:cs="Times New Roman"/>
          <w:sz w:val="24"/>
          <w:szCs w:val="24"/>
          <w:lang w:val="en-US"/>
        </w:rPr>
        <w:t xml:space="preserve">Main Phase of the </w:t>
      </w:r>
      <w:r w:rsidRPr="007B140B">
        <w:rPr>
          <w:rFonts w:ascii="Times New Roman" w:hAnsi="Times New Roman" w:cs="Times New Roman"/>
          <w:sz w:val="24"/>
          <w:szCs w:val="24"/>
          <w:lang w:val="en-US"/>
        </w:rPr>
        <w:t>study</w:t>
      </w:r>
      <w:r w:rsidR="004707C5">
        <w:rPr>
          <w:rFonts w:ascii="Times New Roman" w:hAnsi="Times New Roman" w:cs="Times New Roman"/>
          <w:sz w:val="24"/>
          <w:szCs w:val="24"/>
          <w:lang w:val="en-US"/>
        </w:rPr>
        <w:t xml:space="preserve"> (see Section 4)</w:t>
      </w:r>
      <w:r w:rsidRPr="007B140B">
        <w:rPr>
          <w:rFonts w:ascii="Times New Roman" w:hAnsi="Times New Roman" w:cs="Times New Roman"/>
          <w:sz w:val="24"/>
          <w:szCs w:val="24"/>
          <w:lang w:val="en-US"/>
        </w:rPr>
        <w:t xml:space="preserve">. The purpose of </w:t>
      </w:r>
      <w:r w:rsidR="0010510F">
        <w:rPr>
          <w:rFonts w:ascii="Times New Roman" w:hAnsi="Times New Roman" w:cs="Times New Roman"/>
          <w:sz w:val="24"/>
          <w:szCs w:val="24"/>
          <w:lang w:val="en-US"/>
        </w:rPr>
        <w:t>this</w:t>
      </w:r>
      <w:r w:rsidR="0010510F" w:rsidRPr="007B140B">
        <w:rPr>
          <w:rFonts w:ascii="Times New Roman" w:hAnsi="Times New Roman" w:cs="Times New Roman"/>
          <w:sz w:val="24"/>
          <w:szCs w:val="24"/>
          <w:lang w:val="en-US"/>
        </w:rPr>
        <w:t xml:space="preserve"> </w:t>
      </w:r>
      <w:r w:rsidR="00344374" w:rsidRPr="007B140B">
        <w:rPr>
          <w:rFonts w:ascii="Times New Roman" w:hAnsi="Times New Roman" w:cs="Times New Roman"/>
          <w:sz w:val="24"/>
          <w:szCs w:val="24"/>
          <w:lang w:val="en-US"/>
        </w:rPr>
        <w:t>monitoring</w:t>
      </w:r>
      <w:r w:rsidRPr="007B140B">
        <w:rPr>
          <w:rFonts w:ascii="Times New Roman" w:hAnsi="Times New Roman" w:cs="Times New Roman"/>
          <w:sz w:val="24"/>
          <w:szCs w:val="24"/>
          <w:lang w:val="en-US"/>
        </w:rPr>
        <w:t xml:space="preserve"> is to ensure that the study is carried out according to the protocol</w:t>
      </w:r>
      <w:r w:rsidR="00437CD0" w:rsidRPr="007B140B">
        <w:rPr>
          <w:rFonts w:ascii="Times New Roman" w:hAnsi="Times New Roman" w:cs="Times New Roman"/>
          <w:sz w:val="24"/>
          <w:szCs w:val="24"/>
          <w:lang w:val="en-US"/>
        </w:rPr>
        <w:t>;</w:t>
      </w:r>
      <w:r w:rsidRPr="007B140B">
        <w:rPr>
          <w:rFonts w:ascii="Times New Roman" w:hAnsi="Times New Roman" w:cs="Times New Roman"/>
          <w:sz w:val="24"/>
          <w:szCs w:val="24"/>
          <w:lang w:val="en-US"/>
        </w:rPr>
        <w:t xml:space="preserve"> that </w:t>
      </w:r>
      <w:r w:rsidR="00437CD0" w:rsidRPr="007B140B">
        <w:rPr>
          <w:rFonts w:ascii="Times New Roman" w:hAnsi="Times New Roman" w:cs="Times New Roman"/>
          <w:sz w:val="24"/>
          <w:szCs w:val="24"/>
          <w:lang w:val="en-US"/>
        </w:rPr>
        <w:t xml:space="preserve">the </w:t>
      </w:r>
      <w:r w:rsidRPr="007B140B">
        <w:rPr>
          <w:rFonts w:ascii="Times New Roman" w:hAnsi="Times New Roman" w:cs="Times New Roman"/>
          <w:sz w:val="24"/>
          <w:szCs w:val="24"/>
          <w:lang w:val="en-US"/>
        </w:rPr>
        <w:t xml:space="preserve">data are collected, documented, and reported </w:t>
      </w:r>
      <w:r w:rsidR="00437CD0" w:rsidRPr="007B140B">
        <w:rPr>
          <w:rFonts w:ascii="Times New Roman" w:hAnsi="Times New Roman" w:cs="Times New Roman"/>
          <w:sz w:val="24"/>
          <w:szCs w:val="24"/>
          <w:lang w:val="en-US"/>
        </w:rPr>
        <w:t xml:space="preserve">in </w:t>
      </w:r>
      <w:r w:rsidRPr="007B140B">
        <w:rPr>
          <w:rFonts w:ascii="Times New Roman" w:hAnsi="Times New Roman" w:cs="Times New Roman"/>
          <w:sz w:val="24"/>
          <w:szCs w:val="24"/>
          <w:lang w:val="en-US"/>
        </w:rPr>
        <w:t>accord</w:t>
      </w:r>
      <w:r w:rsidR="00437CD0" w:rsidRPr="007B140B">
        <w:rPr>
          <w:rFonts w:ascii="Times New Roman" w:hAnsi="Times New Roman" w:cs="Times New Roman"/>
          <w:sz w:val="24"/>
          <w:szCs w:val="24"/>
          <w:lang w:val="en-US"/>
        </w:rPr>
        <w:t xml:space="preserve">ance with </w:t>
      </w:r>
      <w:r w:rsidRPr="007B140B">
        <w:rPr>
          <w:rFonts w:ascii="Times New Roman" w:hAnsi="Times New Roman" w:cs="Times New Roman"/>
          <w:sz w:val="24"/>
          <w:szCs w:val="24"/>
          <w:lang w:val="en-US"/>
        </w:rPr>
        <w:t>ICH GCP</w:t>
      </w:r>
      <w:r w:rsidR="00437CD0" w:rsidRPr="007B140B">
        <w:rPr>
          <w:rFonts w:ascii="Times New Roman" w:hAnsi="Times New Roman" w:cs="Times New Roman"/>
          <w:sz w:val="24"/>
          <w:szCs w:val="24"/>
          <w:lang w:val="en-US"/>
        </w:rPr>
        <w:t>;</w:t>
      </w:r>
      <w:r w:rsidRPr="007B140B">
        <w:rPr>
          <w:rFonts w:ascii="Times New Roman" w:hAnsi="Times New Roman" w:cs="Times New Roman"/>
          <w:sz w:val="24"/>
          <w:szCs w:val="24"/>
          <w:lang w:val="en-US"/>
        </w:rPr>
        <w:fldChar w:fldCharType="begin" w:fldLock="1"/>
      </w:r>
      <w:r w:rsidR="00272560">
        <w:rPr>
          <w:rFonts w:ascii="Times New Roman" w:hAnsi="Times New Roman" w:cs="Times New Roman"/>
          <w:sz w:val="24"/>
          <w:szCs w:val="24"/>
          <w:lang w:val="en-US"/>
        </w:rPr>
        <w:instrText>ADDIN CSL_CITATION {"citationItems":[{"id":"ITEM-1","itemData":{"author":[{"dropping-particle":"","family":"International Conference on Harmonisation of Technical Requirements for Registration of Pharmaceuticals for Human Use","given":"","non-dropping-particle":"","parse-names":false,"suffix":""}],"id":"ITEM-1","issued":{"date-parts":[["2016"]]},"title":"ICH harmonised guideline E6(R2): integrated addendum to ICH E6(R1): guideline for good clinical practice","type":"book"},"uris":["http://www.mendeley.com/documents/?uuid=e64ecd0c-e131-4d95-b40a-f31ecd63cce2"]}],"mendeley":{"formattedCitation":"&lt;sup&gt;&lt;sup&gt;54&lt;/sup&gt;&lt;/sup&gt;","plainTextFormattedCitation":"54","previouslyFormattedCitation":"&lt;sup&gt;&lt;sup&gt;54&lt;/sup&gt;&lt;/sup&gt;"},"properties":{"noteIndex":0},"schema":"https://github.com/citation-style-language/schema/raw/master/csl-citation.json"}</w:instrText>
      </w:r>
      <w:r w:rsidRPr="007B140B">
        <w:rPr>
          <w:rFonts w:ascii="Times New Roman" w:hAnsi="Times New Roman" w:cs="Times New Roman"/>
          <w:sz w:val="24"/>
          <w:szCs w:val="24"/>
          <w:lang w:val="en-US"/>
        </w:rPr>
        <w:fldChar w:fldCharType="separate"/>
      </w:r>
      <w:r w:rsidR="0081127D" w:rsidRPr="0081127D">
        <w:rPr>
          <w:rFonts w:ascii="Times New Roman" w:hAnsi="Times New Roman" w:cs="Times New Roman"/>
          <w:noProof/>
          <w:sz w:val="24"/>
          <w:szCs w:val="24"/>
          <w:vertAlign w:val="superscript"/>
          <w:lang w:val="en-US"/>
        </w:rPr>
        <w:t>54</w:t>
      </w:r>
      <w:r w:rsidRPr="007B140B">
        <w:rPr>
          <w:rFonts w:ascii="Times New Roman" w:hAnsi="Times New Roman" w:cs="Times New Roman"/>
          <w:sz w:val="24"/>
          <w:szCs w:val="24"/>
          <w:lang w:val="en-US"/>
        </w:rPr>
        <w:fldChar w:fldCharType="end"/>
      </w:r>
      <w:r w:rsidRPr="007B140B">
        <w:rPr>
          <w:rFonts w:ascii="Times New Roman" w:hAnsi="Times New Roman" w:cs="Times New Roman"/>
          <w:sz w:val="24"/>
          <w:szCs w:val="24"/>
          <w:lang w:val="en-US"/>
        </w:rPr>
        <w:t xml:space="preserve"> and </w:t>
      </w:r>
      <w:r w:rsidR="00A03ED2" w:rsidRPr="007B140B">
        <w:rPr>
          <w:rFonts w:ascii="Times New Roman" w:hAnsi="Times New Roman" w:cs="Times New Roman"/>
          <w:sz w:val="24"/>
          <w:szCs w:val="24"/>
          <w:lang w:val="en-US"/>
        </w:rPr>
        <w:t xml:space="preserve">that </w:t>
      </w:r>
      <w:r w:rsidRPr="007B140B">
        <w:rPr>
          <w:rFonts w:ascii="Times New Roman" w:hAnsi="Times New Roman" w:cs="Times New Roman"/>
          <w:sz w:val="24"/>
          <w:szCs w:val="24"/>
          <w:lang w:val="en-US"/>
        </w:rPr>
        <w:t>applicable ethical and regulatory requirements</w:t>
      </w:r>
      <w:r w:rsidR="00A03ED2" w:rsidRPr="007B140B">
        <w:rPr>
          <w:rFonts w:ascii="Times New Roman" w:hAnsi="Times New Roman" w:cs="Times New Roman"/>
          <w:sz w:val="24"/>
          <w:szCs w:val="24"/>
          <w:lang w:val="en-US"/>
        </w:rPr>
        <w:t xml:space="preserve"> are followed</w:t>
      </w:r>
      <w:r w:rsidRPr="007B140B">
        <w:rPr>
          <w:rFonts w:ascii="Times New Roman" w:hAnsi="Times New Roman" w:cs="Times New Roman"/>
          <w:sz w:val="24"/>
          <w:szCs w:val="24"/>
          <w:lang w:val="en-US"/>
        </w:rPr>
        <w:t xml:space="preserve">. </w:t>
      </w:r>
      <w:r w:rsidR="00696CE1" w:rsidRPr="007B140B">
        <w:rPr>
          <w:rFonts w:ascii="Times New Roman" w:hAnsi="Times New Roman" w:cs="Times New Roman"/>
          <w:sz w:val="24"/>
          <w:szCs w:val="24"/>
          <w:lang w:val="en-US"/>
        </w:rPr>
        <w:t>A M</w:t>
      </w:r>
      <w:r w:rsidR="00344374" w:rsidRPr="007B140B">
        <w:rPr>
          <w:rFonts w:ascii="Times New Roman" w:hAnsi="Times New Roman" w:cs="Times New Roman"/>
          <w:sz w:val="24"/>
          <w:szCs w:val="24"/>
          <w:lang w:val="en-US"/>
        </w:rPr>
        <w:t xml:space="preserve">onitoring </w:t>
      </w:r>
      <w:r w:rsidR="00696CE1" w:rsidRPr="007B140B">
        <w:rPr>
          <w:rFonts w:ascii="Times New Roman" w:hAnsi="Times New Roman" w:cs="Times New Roman"/>
          <w:sz w:val="24"/>
          <w:szCs w:val="24"/>
          <w:lang w:val="en-US"/>
        </w:rPr>
        <w:t>P</w:t>
      </w:r>
      <w:r w:rsidR="00AE562F" w:rsidRPr="007B140B">
        <w:rPr>
          <w:rFonts w:ascii="Times New Roman" w:hAnsi="Times New Roman" w:cs="Times New Roman"/>
          <w:sz w:val="24"/>
          <w:szCs w:val="24"/>
          <w:lang w:val="en-US"/>
        </w:rPr>
        <w:t xml:space="preserve">lan will be developed jointly </w:t>
      </w:r>
      <w:r w:rsidR="001C1932" w:rsidRPr="007B140B">
        <w:rPr>
          <w:rFonts w:ascii="Times New Roman" w:hAnsi="Times New Roman" w:cs="Times New Roman"/>
          <w:sz w:val="24"/>
          <w:szCs w:val="24"/>
          <w:lang w:val="en-US"/>
        </w:rPr>
        <w:t>by</w:t>
      </w:r>
      <w:r w:rsidR="00AE562F" w:rsidRPr="007B140B">
        <w:rPr>
          <w:rFonts w:ascii="Times New Roman" w:hAnsi="Times New Roman" w:cs="Times New Roman"/>
          <w:sz w:val="24"/>
          <w:szCs w:val="24"/>
          <w:lang w:val="en-US"/>
        </w:rPr>
        <w:t xml:space="preserve"> the sponsor/coordinating investigator and the Clinical Research Centre.</w:t>
      </w:r>
      <w:r w:rsidR="0071512C" w:rsidRPr="007B140B">
        <w:rPr>
          <w:rFonts w:ascii="Times New Roman" w:hAnsi="Times New Roman" w:cs="Times New Roman"/>
          <w:sz w:val="24"/>
          <w:szCs w:val="24"/>
          <w:lang w:val="en-US"/>
        </w:rPr>
        <w:t xml:space="preserve"> </w:t>
      </w:r>
    </w:p>
    <w:p w14:paraId="126FF83C" w14:textId="707CB275" w:rsidR="00863AF9" w:rsidRPr="007B140B" w:rsidRDefault="00D1269D" w:rsidP="00273AA9">
      <w:pPr>
        <w:rPr>
          <w:rFonts w:ascii="Times New Roman" w:hAnsi="Times New Roman" w:cs="Times New Roman"/>
          <w:iCs/>
          <w:color w:val="000000" w:themeColor="text1"/>
          <w:sz w:val="24"/>
          <w:szCs w:val="24"/>
          <w:lang w:val="en-US"/>
        </w:rPr>
      </w:pPr>
      <w:r w:rsidRPr="007B140B">
        <w:rPr>
          <w:rFonts w:ascii="Times New Roman" w:hAnsi="Times New Roman" w:cs="Times New Roman"/>
          <w:iCs/>
          <w:color w:val="000000" w:themeColor="text1"/>
          <w:sz w:val="24"/>
          <w:szCs w:val="24"/>
          <w:lang w:val="en-US"/>
        </w:rPr>
        <w:t>The study will not have an independent data and safety monitoring board because no interim analysis is planned (see Section 1</w:t>
      </w:r>
      <w:r w:rsidR="0010510F">
        <w:rPr>
          <w:rFonts w:ascii="Times New Roman" w:hAnsi="Times New Roman" w:cs="Times New Roman"/>
          <w:iCs/>
          <w:color w:val="000000" w:themeColor="text1"/>
          <w:sz w:val="24"/>
          <w:szCs w:val="24"/>
          <w:lang w:val="en-US"/>
        </w:rPr>
        <w:t>3</w:t>
      </w:r>
      <w:r w:rsidRPr="007B140B">
        <w:rPr>
          <w:rFonts w:ascii="Times New Roman" w:hAnsi="Times New Roman" w:cs="Times New Roman"/>
          <w:iCs/>
          <w:color w:val="000000" w:themeColor="text1"/>
          <w:sz w:val="24"/>
          <w:szCs w:val="24"/>
          <w:lang w:val="en-US"/>
        </w:rPr>
        <w:t>.9).</w:t>
      </w:r>
    </w:p>
    <w:p w14:paraId="07223F23" w14:textId="77777777" w:rsidR="00D86D0B" w:rsidRPr="007B140B" w:rsidRDefault="00D86D0B" w:rsidP="00273AA9">
      <w:pPr>
        <w:rPr>
          <w:rFonts w:ascii="Times New Roman" w:hAnsi="Times New Roman" w:cs="Times New Roman"/>
          <w:iCs/>
          <w:color w:val="000000" w:themeColor="text1"/>
          <w:sz w:val="24"/>
          <w:szCs w:val="24"/>
          <w:lang w:val="en-US"/>
        </w:rPr>
      </w:pPr>
    </w:p>
    <w:p w14:paraId="6314D11E" w14:textId="2BC6B001" w:rsidR="003A2785" w:rsidRPr="007B140B" w:rsidRDefault="006C7F1F" w:rsidP="00D36611">
      <w:pPr>
        <w:pStyle w:val="Formatmall3"/>
        <w:rPr>
          <w:rFonts w:cs="Times New Roman"/>
          <w:lang w:val="en-US"/>
        </w:rPr>
      </w:pPr>
      <w:bookmarkStart w:id="100" w:name="_Toc99001439"/>
      <w:r w:rsidRPr="007B140B">
        <w:rPr>
          <w:rFonts w:cs="Times New Roman"/>
          <w:lang w:val="en-US"/>
        </w:rPr>
        <w:t>Inspection</w:t>
      </w:r>
      <w:bookmarkEnd w:id="100"/>
    </w:p>
    <w:p w14:paraId="52A225E9" w14:textId="2BD08393" w:rsidR="003A2785" w:rsidRPr="007B140B" w:rsidRDefault="003A2785" w:rsidP="00AE4E02">
      <w:pPr>
        <w:rPr>
          <w:rFonts w:ascii="Times New Roman" w:eastAsia="Times New Roman" w:hAnsi="Times New Roman" w:cs="Times New Roman"/>
          <w:sz w:val="24"/>
          <w:szCs w:val="24"/>
          <w:lang w:val="en-US" w:eastAsia="sv-SE"/>
        </w:rPr>
      </w:pPr>
      <w:r w:rsidRPr="007B140B">
        <w:rPr>
          <w:rFonts w:ascii="Times New Roman" w:eastAsia="Times New Roman" w:hAnsi="Times New Roman" w:cs="Times New Roman"/>
          <w:sz w:val="24"/>
          <w:szCs w:val="24"/>
          <w:lang w:val="en-US" w:eastAsia="sv-SE"/>
        </w:rPr>
        <w:t xml:space="preserve">The Swedish Medical Products Agency may </w:t>
      </w:r>
      <w:r w:rsidR="006C7F1F" w:rsidRPr="007B140B">
        <w:rPr>
          <w:rFonts w:ascii="Times New Roman" w:eastAsia="Times New Roman" w:hAnsi="Times New Roman" w:cs="Times New Roman"/>
          <w:sz w:val="24"/>
          <w:szCs w:val="24"/>
          <w:lang w:val="en-US" w:eastAsia="sv-SE"/>
        </w:rPr>
        <w:t>inspect</w:t>
      </w:r>
      <w:r w:rsidRPr="007B140B">
        <w:rPr>
          <w:rFonts w:ascii="Times New Roman" w:eastAsia="Times New Roman" w:hAnsi="Times New Roman" w:cs="Times New Roman"/>
          <w:sz w:val="24"/>
          <w:szCs w:val="24"/>
          <w:lang w:val="en-US" w:eastAsia="sv-SE"/>
        </w:rPr>
        <w:t xml:space="preserve"> the trial</w:t>
      </w:r>
      <w:r w:rsidR="007A168A">
        <w:rPr>
          <w:rFonts w:ascii="Times New Roman" w:eastAsia="Times New Roman" w:hAnsi="Times New Roman" w:cs="Times New Roman"/>
          <w:sz w:val="24"/>
          <w:szCs w:val="24"/>
          <w:lang w:val="en-US" w:eastAsia="sv-SE"/>
        </w:rPr>
        <w:t xml:space="preserve">. In this </w:t>
      </w:r>
      <w:r w:rsidRPr="007B140B">
        <w:rPr>
          <w:rFonts w:ascii="Times New Roman" w:eastAsia="Times New Roman" w:hAnsi="Times New Roman" w:cs="Times New Roman"/>
          <w:sz w:val="24"/>
          <w:szCs w:val="24"/>
          <w:lang w:val="en-US" w:eastAsia="sv-SE"/>
        </w:rPr>
        <w:t>case</w:t>
      </w:r>
      <w:r w:rsidR="007A168A">
        <w:rPr>
          <w:rFonts w:ascii="Times New Roman" w:eastAsia="Times New Roman" w:hAnsi="Times New Roman" w:cs="Times New Roman"/>
          <w:sz w:val="24"/>
          <w:szCs w:val="24"/>
          <w:lang w:val="en-US" w:eastAsia="sv-SE"/>
        </w:rPr>
        <w:t>,</w:t>
      </w:r>
      <w:r w:rsidRPr="007B140B">
        <w:rPr>
          <w:rFonts w:ascii="Times New Roman" w:eastAsia="Times New Roman" w:hAnsi="Times New Roman" w:cs="Times New Roman"/>
          <w:sz w:val="24"/>
          <w:szCs w:val="24"/>
          <w:lang w:val="en-US" w:eastAsia="sv-SE"/>
        </w:rPr>
        <w:t xml:space="preserve"> any study-related data requested by the Agency must be provided according to Swedish regulations (10 </w:t>
      </w:r>
      <w:r w:rsidR="00A67860">
        <w:rPr>
          <w:rFonts w:ascii="Times New Roman" w:eastAsia="Times New Roman" w:hAnsi="Times New Roman" w:cs="Times New Roman"/>
          <w:sz w:val="24"/>
          <w:szCs w:val="24"/>
          <w:lang w:val="en-US" w:eastAsia="sv-SE"/>
        </w:rPr>
        <w:t>Ch</w:t>
      </w:r>
      <w:r w:rsidRPr="007B140B">
        <w:rPr>
          <w:rFonts w:ascii="Times New Roman" w:eastAsia="Times New Roman" w:hAnsi="Times New Roman" w:cs="Times New Roman"/>
          <w:sz w:val="24"/>
          <w:szCs w:val="24"/>
          <w:lang w:val="en-US" w:eastAsia="sv-SE"/>
        </w:rPr>
        <w:t>. 1§).</w:t>
      </w:r>
      <w:r w:rsidRPr="007B140B">
        <w:rPr>
          <w:rFonts w:ascii="Times New Roman" w:eastAsia="Times New Roman" w:hAnsi="Times New Roman" w:cs="Times New Roman"/>
          <w:sz w:val="24"/>
          <w:szCs w:val="24"/>
          <w:lang w:val="en-US" w:eastAsia="sv-SE"/>
        </w:rPr>
        <w:fldChar w:fldCharType="begin" w:fldLock="1"/>
      </w:r>
      <w:r w:rsidR="00272560">
        <w:rPr>
          <w:rFonts w:ascii="Times New Roman" w:eastAsia="Times New Roman" w:hAnsi="Times New Roman" w:cs="Times New Roman"/>
          <w:sz w:val="24"/>
          <w:szCs w:val="24"/>
          <w:lang w:val="en-US" w:eastAsia="sv-SE"/>
        </w:rPr>
        <w:instrText>ADDIN CSL_CITATION {"citationItems":[{"id":"ITEM-1","itemData":{"id":"ITEM-1","issued":{"date-parts":[["0"]]},"title":"Läkemedelsverkets föreskrifter (LVFS 2011:19) om kliniska läkemedelsprövningar på människor","type":"article"},"uris":["http://www.mendeley.com/documents/?uuid=1e96a563-be0f-49ca-ab4e-ba2a81c3e339"]}],"mendeley":{"formattedCitation":"&lt;sup&gt;&lt;sup&gt;51&lt;/sup&gt;&lt;/sup&gt;","plainTextFormattedCitation":"51","previouslyFormattedCitation":"&lt;sup&gt;&lt;sup&gt;51&lt;/sup&gt;&lt;/sup&gt;"},"properties":{"noteIndex":0},"schema":"https://github.com/citation-style-language/schema/raw/master/csl-citation.json"}</w:instrText>
      </w:r>
      <w:r w:rsidRPr="007B140B">
        <w:rPr>
          <w:rFonts w:ascii="Times New Roman" w:eastAsia="Times New Roman" w:hAnsi="Times New Roman" w:cs="Times New Roman"/>
          <w:sz w:val="24"/>
          <w:szCs w:val="24"/>
          <w:lang w:val="en-US" w:eastAsia="sv-SE"/>
        </w:rPr>
        <w:fldChar w:fldCharType="separate"/>
      </w:r>
      <w:r w:rsidR="0081127D" w:rsidRPr="0081127D">
        <w:rPr>
          <w:rFonts w:ascii="Times New Roman" w:eastAsia="Times New Roman" w:hAnsi="Times New Roman" w:cs="Times New Roman"/>
          <w:noProof/>
          <w:sz w:val="24"/>
          <w:szCs w:val="24"/>
          <w:vertAlign w:val="superscript"/>
          <w:lang w:val="en-US" w:eastAsia="sv-SE"/>
        </w:rPr>
        <w:t>51</w:t>
      </w:r>
      <w:r w:rsidRPr="007B140B">
        <w:rPr>
          <w:rFonts w:ascii="Times New Roman" w:eastAsia="Times New Roman" w:hAnsi="Times New Roman" w:cs="Times New Roman"/>
          <w:sz w:val="24"/>
          <w:szCs w:val="24"/>
          <w:lang w:val="en-US" w:eastAsia="sv-SE"/>
        </w:rPr>
        <w:fldChar w:fldCharType="end"/>
      </w:r>
      <w:r w:rsidRPr="007B140B">
        <w:rPr>
          <w:rFonts w:ascii="Times New Roman" w:eastAsia="Times New Roman" w:hAnsi="Times New Roman" w:cs="Times New Roman"/>
          <w:sz w:val="24"/>
          <w:szCs w:val="24"/>
          <w:lang w:val="en-US" w:eastAsia="sv-SE"/>
        </w:rPr>
        <w:t xml:space="preserve"> </w:t>
      </w:r>
    </w:p>
    <w:p w14:paraId="0568C1F2" w14:textId="4CCD8301" w:rsidR="00CC696E" w:rsidRPr="007B140B" w:rsidRDefault="00CC696E" w:rsidP="00524E5F">
      <w:pPr>
        <w:rPr>
          <w:rFonts w:ascii="Times New Roman" w:eastAsia="Times New Roman" w:hAnsi="Times New Roman" w:cs="Times New Roman"/>
          <w:sz w:val="24"/>
          <w:szCs w:val="24"/>
          <w:lang w:val="en-US" w:eastAsia="sv-SE"/>
        </w:rPr>
      </w:pPr>
    </w:p>
    <w:p w14:paraId="4EC4C594" w14:textId="64FD2D6E" w:rsidR="00524E5F" w:rsidRPr="007B140B" w:rsidRDefault="0087472D" w:rsidP="00D36611">
      <w:pPr>
        <w:pStyle w:val="Formatmall3"/>
        <w:rPr>
          <w:rFonts w:cs="Times New Roman"/>
          <w:lang w:val="en-US"/>
        </w:rPr>
      </w:pPr>
      <w:bookmarkStart w:id="101" w:name="_Toc99001440"/>
      <w:r w:rsidRPr="007B140B">
        <w:rPr>
          <w:rFonts w:cs="Times New Roman"/>
          <w:lang w:val="en-US"/>
        </w:rPr>
        <w:t>Deviations and</w:t>
      </w:r>
      <w:r w:rsidR="00524E5F" w:rsidRPr="007B140B">
        <w:rPr>
          <w:rFonts w:cs="Times New Roman"/>
          <w:lang w:val="en-US"/>
        </w:rPr>
        <w:t xml:space="preserve"> serious </w:t>
      </w:r>
      <w:r w:rsidR="00F070BC" w:rsidRPr="007B140B">
        <w:rPr>
          <w:rFonts w:cs="Times New Roman"/>
          <w:lang w:val="en-US"/>
        </w:rPr>
        <w:t>violations</w:t>
      </w:r>
      <w:bookmarkEnd w:id="101"/>
    </w:p>
    <w:p w14:paraId="6DDC9F59" w14:textId="4CDA2146" w:rsidR="00524E5F" w:rsidRPr="007B140B" w:rsidRDefault="00774C79" w:rsidP="00524E5F">
      <w:pPr>
        <w:rPr>
          <w:rFonts w:ascii="Times New Roman" w:hAnsi="Times New Roman" w:cs="Times New Roman"/>
          <w:color w:val="222222"/>
          <w:sz w:val="24"/>
          <w:szCs w:val="24"/>
          <w:lang w:val="en-US"/>
        </w:rPr>
      </w:pPr>
      <w:r w:rsidRPr="007B140B">
        <w:rPr>
          <w:rFonts w:ascii="Times New Roman" w:hAnsi="Times New Roman" w:cs="Times New Roman"/>
          <w:color w:val="222222"/>
          <w:sz w:val="24"/>
          <w:szCs w:val="24"/>
          <w:lang w:val="en-US"/>
        </w:rPr>
        <w:t>Deviations from this protocol</w:t>
      </w:r>
      <w:r w:rsidR="00BE0DE2" w:rsidRPr="007B140B">
        <w:rPr>
          <w:rFonts w:ascii="Times New Roman" w:hAnsi="Times New Roman" w:cs="Times New Roman"/>
          <w:color w:val="222222"/>
          <w:sz w:val="24"/>
          <w:szCs w:val="24"/>
          <w:lang w:val="en-US"/>
        </w:rPr>
        <w:t>, ICH GCP, or regulations</w:t>
      </w:r>
      <w:r w:rsidRPr="007B140B">
        <w:rPr>
          <w:rStyle w:val="Hyperlnk"/>
          <w:rFonts w:ascii="Times New Roman" w:hAnsi="Times New Roman" w:cs="Times New Roman"/>
          <w:color w:val="auto"/>
          <w:sz w:val="24"/>
          <w:szCs w:val="24"/>
          <w:u w:val="none"/>
          <w:lang w:val="en-US"/>
        </w:rPr>
        <w:t xml:space="preserve"> will be documented by </w:t>
      </w:r>
      <w:r w:rsidR="000B255B" w:rsidRPr="007B140B">
        <w:rPr>
          <w:rStyle w:val="Hyperlnk"/>
          <w:rFonts w:ascii="Times New Roman" w:hAnsi="Times New Roman" w:cs="Times New Roman"/>
          <w:color w:val="auto"/>
          <w:sz w:val="24"/>
          <w:szCs w:val="24"/>
          <w:u w:val="none"/>
          <w:lang w:val="en-US"/>
        </w:rPr>
        <w:t>the sponsor and</w:t>
      </w:r>
      <w:r w:rsidRPr="007B140B">
        <w:rPr>
          <w:rStyle w:val="Hyperlnk"/>
          <w:rFonts w:ascii="Times New Roman" w:hAnsi="Times New Roman" w:cs="Times New Roman"/>
          <w:color w:val="auto"/>
          <w:sz w:val="24"/>
          <w:szCs w:val="24"/>
          <w:u w:val="none"/>
          <w:lang w:val="en-US"/>
        </w:rPr>
        <w:t xml:space="preserve"> principal investigator</w:t>
      </w:r>
      <w:r w:rsidR="000B255B" w:rsidRPr="007B140B">
        <w:rPr>
          <w:rStyle w:val="Hyperlnk"/>
          <w:rFonts w:ascii="Times New Roman" w:hAnsi="Times New Roman" w:cs="Times New Roman"/>
          <w:color w:val="auto"/>
          <w:sz w:val="24"/>
          <w:szCs w:val="24"/>
          <w:u w:val="none"/>
          <w:lang w:val="en-US"/>
        </w:rPr>
        <w:t>s</w:t>
      </w:r>
      <w:r w:rsidR="000B6E92" w:rsidRPr="007B140B">
        <w:rPr>
          <w:rStyle w:val="Hyperlnk"/>
          <w:rFonts w:ascii="Times New Roman" w:hAnsi="Times New Roman" w:cs="Times New Roman"/>
          <w:color w:val="auto"/>
          <w:sz w:val="24"/>
          <w:szCs w:val="24"/>
          <w:u w:val="none"/>
          <w:lang w:val="en-US"/>
        </w:rPr>
        <w:t xml:space="preserve"> and</w:t>
      </w:r>
      <w:r w:rsidR="00815D1A" w:rsidRPr="007B140B">
        <w:rPr>
          <w:rStyle w:val="Hyperlnk"/>
          <w:rFonts w:ascii="Times New Roman" w:hAnsi="Times New Roman" w:cs="Times New Roman"/>
          <w:color w:val="auto"/>
          <w:sz w:val="24"/>
          <w:szCs w:val="24"/>
          <w:u w:val="none"/>
          <w:lang w:val="en-US"/>
        </w:rPr>
        <w:t xml:space="preserve"> be </w:t>
      </w:r>
      <w:r w:rsidR="00830523" w:rsidRPr="007B140B">
        <w:rPr>
          <w:rStyle w:val="Hyperlnk"/>
          <w:rFonts w:ascii="Times New Roman" w:hAnsi="Times New Roman" w:cs="Times New Roman"/>
          <w:color w:val="auto"/>
          <w:sz w:val="24"/>
          <w:szCs w:val="24"/>
          <w:u w:val="none"/>
          <w:lang w:val="en-US"/>
        </w:rPr>
        <w:t>described</w:t>
      </w:r>
      <w:r w:rsidR="008D7BD8" w:rsidRPr="007B140B">
        <w:rPr>
          <w:rStyle w:val="Hyperlnk"/>
          <w:rFonts w:ascii="Times New Roman" w:hAnsi="Times New Roman" w:cs="Times New Roman"/>
          <w:color w:val="auto"/>
          <w:sz w:val="24"/>
          <w:szCs w:val="24"/>
          <w:u w:val="none"/>
          <w:lang w:val="en-US"/>
        </w:rPr>
        <w:t xml:space="preserve"> in the Clinical Study Report</w:t>
      </w:r>
      <w:r w:rsidR="00BE0DE2" w:rsidRPr="007B140B">
        <w:rPr>
          <w:rStyle w:val="Hyperlnk"/>
          <w:rFonts w:ascii="Times New Roman" w:hAnsi="Times New Roman" w:cs="Times New Roman"/>
          <w:color w:val="auto"/>
          <w:sz w:val="24"/>
          <w:szCs w:val="24"/>
          <w:u w:val="none"/>
          <w:lang w:val="en-US"/>
        </w:rPr>
        <w:t xml:space="preserve">. </w:t>
      </w:r>
      <w:r w:rsidR="003D3AC0" w:rsidRPr="007B140B">
        <w:rPr>
          <w:rStyle w:val="Hyperlnk"/>
          <w:rFonts w:ascii="Times New Roman" w:hAnsi="Times New Roman" w:cs="Times New Roman"/>
          <w:color w:val="auto"/>
          <w:sz w:val="24"/>
          <w:szCs w:val="24"/>
          <w:u w:val="none"/>
          <w:lang w:val="en-US"/>
        </w:rPr>
        <w:t>D</w:t>
      </w:r>
      <w:r w:rsidR="00BE0DE2" w:rsidRPr="007B140B">
        <w:rPr>
          <w:rStyle w:val="Hyperlnk"/>
          <w:rFonts w:ascii="Times New Roman" w:hAnsi="Times New Roman" w:cs="Times New Roman"/>
          <w:color w:val="auto"/>
          <w:sz w:val="24"/>
          <w:szCs w:val="24"/>
          <w:u w:val="none"/>
          <w:lang w:val="en-US"/>
        </w:rPr>
        <w:t>eviation</w:t>
      </w:r>
      <w:r w:rsidR="003D3AC0" w:rsidRPr="007B140B">
        <w:rPr>
          <w:rStyle w:val="Hyperlnk"/>
          <w:rFonts w:ascii="Times New Roman" w:hAnsi="Times New Roman" w:cs="Times New Roman"/>
          <w:color w:val="auto"/>
          <w:sz w:val="24"/>
          <w:szCs w:val="24"/>
          <w:u w:val="none"/>
          <w:lang w:val="en-US"/>
        </w:rPr>
        <w:t>s</w:t>
      </w:r>
      <w:r w:rsidR="00BE0DE2" w:rsidRPr="007B140B">
        <w:rPr>
          <w:rStyle w:val="Hyperlnk"/>
          <w:rFonts w:ascii="Times New Roman" w:hAnsi="Times New Roman" w:cs="Times New Roman"/>
          <w:color w:val="auto"/>
          <w:sz w:val="24"/>
          <w:szCs w:val="24"/>
          <w:u w:val="none"/>
          <w:lang w:val="en-US"/>
        </w:rPr>
        <w:t xml:space="preserve"> will be considered </w:t>
      </w:r>
      <w:r w:rsidR="003D3AC0" w:rsidRPr="007B140B">
        <w:rPr>
          <w:rStyle w:val="Hyperlnk"/>
          <w:rFonts w:ascii="Times New Roman" w:hAnsi="Times New Roman" w:cs="Times New Roman"/>
          <w:color w:val="auto"/>
          <w:sz w:val="24"/>
          <w:szCs w:val="24"/>
          <w:u w:val="none"/>
          <w:lang w:val="en-US"/>
        </w:rPr>
        <w:t xml:space="preserve">serious </w:t>
      </w:r>
      <w:r w:rsidR="00BE0DE2" w:rsidRPr="007B140B">
        <w:rPr>
          <w:rStyle w:val="Hyperlnk"/>
          <w:rFonts w:ascii="Times New Roman" w:hAnsi="Times New Roman" w:cs="Times New Roman"/>
          <w:color w:val="auto"/>
          <w:sz w:val="24"/>
          <w:szCs w:val="24"/>
          <w:u w:val="none"/>
          <w:lang w:val="en-US"/>
        </w:rPr>
        <w:t>violation</w:t>
      </w:r>
      <w:r w:rsidR="003D3AC0" w:rsidRPr="007B140B">
        <w:rPr>
          <w:rStyle w:val="Hyperlnk"/>
          <w:rFonts w:ascii="Times New Roman" w:hAnsi="Times New Roman" w:cs="Times New Roman"/>
          <w:color w:val="auto"/>
          <w:sz w:val="24"/>
          <w:szCs w:val="24"/>
          <w:u w:val="none"/>
          <w:lang w:val="en-US"/>
        </w:rPr>
        <w:t xml:space="preserve">s if they </w:t>
      </w:r>
      <w:r w:rsidR="00815D1A" w:rsidRPr="007B140B">
        <w:rPr>
          <w:rFonts w:ascii="Times New Roman" w:hAnsi="Times New Roman" w:cs="Times New Roman"/>
          <w:color w:val="222222"/>
          <w:sz w:val="24"/>
          <w:szCs w:val="24"/>
          <w:lang w:val="en-US"/>
        </w:rPr>
        <w:t xml:space="preserve">significantly </w:t>
      </w:r>
      <w:r w:rsidRPr="007B140B">
        <w:rPr>
          <w:rFonts w:ascii="Times New Roman" w:hAnsi="Times New Roman" w:cs="Times New Roman"/>
          <w:color w:val="222222"/>
          <w:sz w:val="24"/>
          <w:szCs w:val="24"/>
          <w:lang w:val="en-US"/>
        </w:rPr>
        <w:t xml:space="preserve">affect, or </w:t>
      </w:r>
      <w:r w:rsidR="003D3AC0" w:rsidRPr="007B140B">
        <w:rPr>
          <w:rFonts w:ascii="Times New Roman" w:hAnsi="Times New Roman" w:cs="Times New Roman"/>
          <w:color w:val="222222"/>
          <w:sz w:val="24"/>
          <w:szCs w:val="24"/>
          <w:lang w:val="en-US"/>
        </w:rPr>
        <w:t>are likely to affect,</w:t>
      </w:r>
      <w:r w:rsidRPr="007B140B">
        <w:rPr>
          <w:rFonts w:ascii="Times New Roman" w:hAnsi="Times New Roman" w:cs="Times New Roman"/>
          <w:color w:val="222222"/>
          <w:sz w:val="24"/>
          <w:szCs w:val="24"/>
          <w:lang w:val="en-US"/>
        </w:rPr>
        <w:t xml:space="preserve"> participants’ safety</w:t>
      </w:r>
      <w:r w:rsidR="00815D1A" w:rsidRPr="007B140B">
        <w:rPr>
          <w:rFonts w:ascii="Times New Roman" w:hAnsi="Times New Roman" w:cs="Times New Roman"/>
          <w:color w:val="222222"/>
          <w:sz w:val="24"/>
          <w:szCs w:val="24"/>
          <w:lang w:val="en-US"/>
        </w:rPr>
        <w:t>,</w:t>
      </w:r>
      <w:r w:rsidRPr="007B140B">
        <w:rPr>
          <w:rFonts w:ascii="Times New Roman" w:hAnsi="Times New Roman" w:cs="Times New Roman"/>
          <w:color w:val="222222"/>
          <w:sz w:val="24"/>
          <w:szCs w:val="24"/>
          <w:lang w:val="en-US"/>
        </w:rPr>
        <w:t xml:space="preserve"> </w:t>
      </w:r>
      <w:r w:rsidR="00815D1A" w:rsidRPr="007B140B">
        <w:rPr>
          <w:rFonts w:ascii="Times New Roman" w:hAnsi="Times New Roman" w:cs="Times New Roman"/>
          <w:color w:val="222222"/>
          <w:sz w:val="24"/>
          <w:szCs w:val="24"/>
          <w:lang w:val="en-US"/>
        </w:rPr>
        <w:t xml:space="preserve">participants’ </w:t>
      </w:r>
      <w:r w:rsidRPr="007B140B">
        <w:rPr>
          <w:rFonts w:ascii="Times New Roman" w:hAnsi="Times New Roman" w:cs="Times New Roman"/>
          <w:color w:val="222222"/>
          <w:sz w:val="24"/>
          <w:szCs w:val="24"/>
          <w:lang w:val="en-US"/>
        </w:rPr>
        <w:t>integrity</w:t>
      </w:r>
      <w:r w:rsidR="00815D1A" w:rsidRPr="007B140B">
        <w:rPr>
          <w:rFonts w:ascii="Times New Roman" w:hAnsi="Times New Roman" w:cs="Times New Roman"/>
          <w:color w:val="222222"/>
          <w:sz w:val="24"/>
          <w:szCs w:val="24"/>
          <w:lang w:val="en-US"/>
        </w:rPr>
        <w:t>,</w:t>
      </w:r>
      <w:r w:rsidRPr="007B140B">
        <w:rPr>
          <w:rFonts w:ascii="Times New Roman" w:hAnsi="Times New Roman" w:cs="Times New Roman"/>
          <w:color w:val="222222"/>
          <w:sz w:val="24"/>
          <w:szCs w:val="24"/>
          <w:lang w:val="en-US"/>
        </w:rPr>
        <w:t xml:space="preserve"> or the scientific </w:t>
      </w:r>
      <w:r w:rsidR="00815D1A" w:rsidRPr="007B140B">
        <w:rPr>
          <w:rFonts w:ascii="Times New Roman" w:hAnsi="Times New Roman" w:cs="Times New Roman"/>
          <w:color w:val="222222"/>
          <w:sz w:val="24"/>
          <w:szCs w:val="24"/>
          <w:lang w:val="en-US"/>
        </w:rPr>
        <w:t>quality</w:t>
      </w:r>
      <w:r w:rsidRPr="007B140B">
        <w:rPr>
          <w:rFonts w:ascii="Times New Roman" w:hAnsi="Times New Roman" w:cs="Times New Roman"/>
          <w:color w:val="222222"/>
          <w:sz w:val="24"/>
          <w:szCs w:val="24"/>
          <w:lang w:val="en-US"/>
        </w:rPr>
        <w:t xml:space="preserve"> of the </w:t>
      </w:r>
      <w:r w:rsidR="00815D1A" w:rsidRPr="007B140B">
        <w:rPr>
          <w:rFonts w:ascii="Times New Roman" w:hAnsi="Times New Roman" w:cs="Times New Roman"/>
          <w:color w:val="222222"/>
          <w:sz w:val="24"/>
          <w:szCs w:val="24"/>
          <w:lang w:val="en-US"/>
        </w:rPr>
        <w:t>trial</w:t>
      </w:r>
      <w:r w:rsidR="00BE0DE2" w:rsidRPr="007B140B">
        <w:rPr>
          <w:rFonts w:ascii="Times New Roman" w:hAnsi="Times New Roman" w:cs="Times New Roman"/>
          <w:color w:val="222222"/>
          <w:sz w:val="24"/>
          <w:szCs w:val="24"/>
          <w:lang w:val="en-US"/>
        </w:rPr>
        <w:t>. Such violations will be reported</w:t>
      </w:r>
      <w:r w:rsidR="006F5161" w:rsidRPr="007B140B">
        <w:rPr>
          <w:rFonts w:ascii="Times New Roman" w:hAnsi="Times New Roman" w:cs="Times New Roman"/>
          <w:color w:val="222222"/>
          <w:sz w:val="24"/>
          <w:szCs w:val="24"/>
          <w:lang w:val="en-US"/>
        </w:rPr>
        <w:t xml:space="preserve"> by the sponsor/coordinating investigator</w:t>
      </w:r>
      <w:r w:rsidR="00BE0DE2" w:rsidRPr="007B140B">
        <w:rPr>
          <w:rFonts w:ascii="Times New Roman" w:hAnsi="Times New Roman" w:cs="Times New Roman"/>
          <w:color w:val="222222"/>
          <w:sz w:val="24"/>
          <w:szCs w:val="24"/>
          <w:lang w:val="en-US"/>
        </w:rPr>
        <w:t xml:space="preserve"> </w:t>
      </w:r>
      <w:r w:rsidRPr="007B140B">
        <w:rPr>
          <w:rFonts w:ascii="Times New Roman" w:hAnsi="Times New Roman" w:cs="Times New Roman"/>
          <w:color w:val="222222"/>
          <w:sz w:val="24"/>
          <w:szCs w:val="24"/>
          <w:lang w:val="en-US"/>
        </w:rPr>
        <w:t>to the Swedish Medical Products Agency within 7 days (p. 17-18).</w:t>
      </w:r>
      <w:r w:rsidRPr="007B140B">
        <w:rPr>
          <w:rFonts w:ascii="Times New Roman" w:hAnsi="Times New Roman" w:cs="Times New Roman"/>
          <w:color w:val="222222"/>
          <w:sz w:val="24"/>
          <w:szCs w:val="24"/>
          <w:lang w:val="en-US"/>
        </w:rPr>
        <w:fldChar w:fldCharType="begin" w:fldLock="1"/>
      </w:r>
      <w:r w:rsidR="00E85D18">
        <w:rPr>
          <w:rFonts w:ascii="Times New Roman" w:hAnsi="Times New Roman" w:cs="Times New Roman"/>
          <w:color w:val="222222"/>
          <w:sz w:val="24"/>
          <w:szCs w:val="24"/>
          <w:lang w:val="en-US"/>
        </w:rPr>
        <w:instrText>ADDIN CSL_CITATION {"citationItems":[{"id":"ITEM-1","itemData":{"author":[{"dropping-particle":"","family":"Läkemedelsverket","given":"","non-dropping-particle":"","parse-names":false,"suffix":""}],"id":"ITEM-1","issued":{"date-parts":[["2013"]]},"title":"Vägledning till Läkemedelsverkets föreskrifter (LVFS 2011:19) om kliniska läkemedelsprövningar på människor","type":"book"},"uris":["http://www.mendeley.com/documents/?uuid=ba7c2736-94e9-439e-9b46-a0e4a8468adc"]}],"mendeley":{"formattedCitation":"&lt;sup&gt;&lt;sup&gt;65&lt;/sup&gt;&lt;/sup&gt;","plainTextFormattedCitation":"65","previouslyFormattedCitation":"&lt;sup&gt;&lt;sup&gt;66&lt;/sup&gt;&lt;/sup&gt;"},"properties":{"noteIndex":0},"schema":"https://github.com/citation-style-language/schema/raw/master/csl-citation.json"}</w:instrText>
      </w:r>
      <w:r w:rsidRPr="007B140B">
        <w:rPr>
          <w:rFonts w:ascii="Times New Roman" w:hAnsi="Times New Roman" w:cs="Times New Roman"/>
          <w:color w:val="222222"/>
          <w:sz w:val="24"/>
          <w:szCs w:val="24"/>
          <w:lang w:val="en-US"/>
        </w:rPr>
        <w:fldChar w:fldCharType="separate"/>
      </w:r>
      <w:r w:rsidR="00E85D18" w:rsidRPr="00E85D18">
        <w:rPr>
          <w:rFonts w:ascii="Times New Roman" w:hAnsi="Times New Roman" w:cs="Times New Roman"/>
          <w:noProof/>
          <w:color w:val="222222"/>
          <w:sz w:val="24"/>
          <w:szCs w:val="24"/>
          <w:vertAlign w:val="superscript"/>
          <w:lang w:val="en-US"/>
        </w:rPr>
        <w:t>65</w:t>
      </w:r>
      <w:r w:rsidRPr="007B140B">
        <w:rPr>
          <w:rFonts w:ascii="Times New Roman" w:hAnsi="Times New Roman" w:cs="Times New Roman"/>
          <w:color w:val="222222"/>
          <w:sz w:val="24"/>
          <w:szCs w:val="24"/>
          <w:lang w:val="en-US"/>
        </w:rPr>
        <w:fldChar w:fldCharType="end"/>
      </w:r>
      <w:r w:rsidR="003D3AC0" w:rsidRPr="007B140B">
        <w:rPr>
          <w:rFonts w:ascii="Times New Roman" w:hAnsi="Times New Roman" w:cs="Times New Roman"/>
          <w:color w:val="222222"/>
          <w:sz w:val="24"/>
          <w:szCs w:val="24"/>
          <w:lang w:val="en-US"/>
        </w:rPr>
        <w:t xml:space="preserve"> </w:t>
      </w:r>
      <w:r w:rsidR="00524E5F" w:rsidRPr="007B140B">
        <w:rPr>
          <w:rFonts w:ascii="Times New Roman" w:hAnsi="Times New Roman" w:cs="Times New Roman"/>
          <w:color w:val="222222"/>
          <w:sz w:val="24"/>
          <w:szCs w:val="24"/>
          <w:lang w:val="en-US"/>
        </w:rPr>
        <w:t xml:space="preserve">It is the sponsor’s responsibility to </w:t>
      </w:r>
      <w:r w:rsidR="00DD3B72">
        <w:rPr>
          <w:rFonts w:ascii="Times New Roman" w:hAnsi="Times New Roman" w:cs="Times New Roman"/>
          <w:color w:val="222222"/>
          <w:sz w:val="24"/>
          <w:szCs w:val="24"/>
          <w:lang w:val="en-US"/>
        </w:rPr>
        <w:t>determine</w:t>
      </w:r>
      <w:r w:rsidR="00DD3B72" w:rsidRPr="007B140B">
        <w:rPr>
          <w:rFonts w:ascii="Times New Roman" w:hAnsi="Times New Roman" w:cs="Times New Roman"/>
          <w:color w:val="222222"/>
          <w:sz w:val="24"/>
          <w:szCs w:val="24"/>
          <w:lang w:val="en-US"/>
        </w:rPr>
        <w:t xml:space="preserve"> </w:t>
      </w:r>
      <w:r w:rsidRPr="007B140B">
        <w:rPr>
          <w:rFonts w:ascii="Times New Roman" w:hAnsi="Times New Roman" w:cs="Times New Roman"/>
          <w:color w:val="222222"/>
          <w:sz w:val="24"/>
          <w:szCs w:val="24"/>
          <w:lang w:val="en-US"/>
        </w:rPr>
        <w:t xml:space="preserve">whether </w:t>
      </w:r>
      <w:r w:rsidR="00524E5F" w:rsidRPr="007B140B">
        <w:rPr>
          <w:rFonts w:ascii="Times New Roman" w:hAnsi="Times New Roman" w:cs="Times New Roman"/>
          <w:color w:val="222222"/>
          <w:sz w:val="24"/>
          <w:szCs w:val="24"/>
          <w:lang w:val="en-US"/>
        </w:rPr>
        <w:t xml:space="preserve">deviations </w:t>
      </w:r>
      <w:r w:rsidRPr="007B140B">
        <w:rPr>
          <w:rFonts w:ascii="Times New Roman" w:hAnsi="Times New Roman" w:cs="Times New Roman"/>
          <w:color w:val="222222"/>
          <w:sz w:val="24"/>
          <w:szCs w:val="24"/>
          <w:lang w:val="en-US"/>
        </w:rPr>
        <w:t xml:space="preserve">are serious enough </w:t>
      </w:r>
      <w:r w:rsidR="003D3AC0" w:rsidRPr="007B140B">
        <w:rPr>
          <w:rFonts w:ascii="Times New Roman" w:hAnsi="Times New Roman" w:cs="Times New Roman"/>
          <w:color w:val="222222"/>
          <w:sz w:val="24"/>
          <w:szCs w:val="24"/>
          <w:lang w:val="en-US"/>
        </w:rPr>
        <w:t>to qualify as violations</w:t>
      </w:r>
      <w:r w:rsidR="00524E5F" w:rsidRPr="007B140B">
        <w:rPr>
          <w:rFonts w:ascii="Times New Roman" w:hAnsi="Times New Roman" w:cs="Times New Roman"/>
          <w:color w:val="222222"/>
          <w:sz w:val="24"/>
          <w:szCs w:val="24"/>
          <w:lang w:val="en-US"/>
        </w:rPr>
        <w:t>.</w:t>
      </w:r>
    </w:p>
    <w:p w14:paraId="08228427" w14:textId="25182BF1" w:rsidR="00F56B72" w:rsidRPr="007B140B" w:rsidRDefault="00F56B72" w:rsidP="00524E5F">
      <w:pPr>
        <w:rPr>
          <w:rFonts w:ascii="Times New Roman" w:hAnsi="Times New Roman" w:cs="Times New Roman"/>
          <w:color w:val="222222"/>
          <w:sz w:val="24"/>
          <w:szCs w:val="24"/>
          <w:lang w:val="en-US"/>
        </w:rPr>
      </w:pPr>
    </w:p>
    <w:p w14:paraId="5FEC8120" w14:textId="77777777" w:rsidR="00F56B72" w:rsidRPr="007B140B" w:rsidRDefault="00F56B72" w:rsidP="00D36611">
      <w:pPr>
        <w:pStyle w:val="Formatmall3"/>
        <w:rPr>
          <w:rFonts w:cs="Times New Roman"/>
          <w:lang w:val="en-US"/>
        </w:rPr>
      </w:pPr>
      <w:bookmarkStart w:id="102" w:name="_Toc99001441"/>
      <w:r w:rsidRPr="007B140B">
        <w:rPr>
          <w:rFonts w:cs="Times New Roman"/>
          <w:lang w:val="en-US"/>
        </w:rPr>
        <w:t>Early termination</w:t>
      </w:r>
      <w:bookmarkEnd w:id="102"/>
    </w:p>
    <w:p w14:paraId="2B5A7306" w14:textId="79546F06" w:rsidR="00F56B72" w:rsidRPr="007B140B" w:rsidRDefault="00F56B72" w:rsidP="00524E5F">
      <w:p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The trial may be terminated early if it appears that zoledronic acid is resulting in </w:t>
      </w:r>
      <w:proofErr w:type="gramStart"/>
      <w:r w:rsidRPr="007B140B">
        <w:rPr>
          <w:rFonts w:ascii="Times New Roman" w:hAnsi="Times New Roman" w:cs="Times New Roman"/>
          <w:sz w:val="24"/>
          <w:szCs w:val="24"/>
          <w:lang w:val="en-US"/>
        </w:rPr>
        <w:t>a large number of</w:t>
      </w:r>
      <w:proofErr w:type="gramEnd"/>
      <w:r w:rsidRPr="007B140B">
        <w:rPr>
          <w:rFonts w:ascii="Times New Roman" w:hAnsi="Times New Roman" w:cs="Times New Roman"/>
          <w:sz w:val="24"/>
          <w:szCs w:val="24"/>
          <w:lang w:val="en-US"/>
        </w:rPr>
        <w:t xml:space="preserve"> SUSARs. </w:t>
      </w:r>
      <w:r w:rsidR="00FF3099" w:rsidRPr="007B140B">
        <w:rPr>
          <w:rFonts w:ascii="Times New Roman" w:hAnsi="Times New Roman" w:cs="Times New Roman"/>
          <w:sz w:val="24"/>
          <w:szCs w:val="24"/>
          <w:lang w:val="en-US"/>
        </w:rPr>
        <w:t>In the case of</w:t>
      </w:r>
      <w:r w:rsidRPr="007B140B">
        <w:rPr>
          <w:rFonts w:ascii="Times New Roman" w:hAnsi="Times New Roman" w:cs="Times New Roman"/>
          <w:sz w:val="24"/>
          <w:szCs w:val="24"/>
          <w:lang w:val="en-US"/>
        </w:rPr>
        <w:t xml:space="preserve"> termina</w:t>
      </w:r>
      <w:r w:rsidR="00D315F7" w:rsidRPr="007B140B">
        <w:rPr>
          <w:rFonts w:ascii="Times New Roman" w:hAnsi="Times New Roman" w:cs="Times New Roman"/>
          <w:sz w:val="24"/>
          <w:szCs w:val="24"/>
          <w:lang w:val="en-US"/>
        </w:rPr>
        <w:t>tion</w:t>
      </w:r>
      <w:r w:rsidRPr="007B140B">
        <w:rPr>
          <w:rFonts w:ascii="Times New Roman" w:hAnsi="Times New Roman" w:cs="Times New Roman"/>
          <w:sz w:val="24"/>
          <w:szCs w:val="24"/>
          <w:lang w:val="en-US"/>
        </w:rPr>
        <w:t xml:space="preserve">, investigators will immediately inform the participants of this and ensure appropriate treatment and follow-up. The Swedish Medical Products Agency will be informed as soon as possible, but no later than 15 days after the decision to terminate (9 </w:t>
      </w:r>
      <w:r w:rsidR="00A67860">
        <w:rPr>
          <w:rFonts w:ascii="Times New Roman" w:hAnsi="Times New Roman" w:cs="Times New Roman"/>
          <w:sz w:val="24"/>
          <w:szCs w:val="24"/>
          <w:lang w:val="en-US"/>
        </w:rPr>
        <w:t>Ch.</w:t>
      </w:r>
      <w:r w:rsidRPr="007B140B">
        <w:rPr>
          <w:rFonts w:ascii="Times New Roman" w:hAnsi="Times New Roman" w:cs="Times New Roman"/>
          <w:sz w:val="24"/>
          <w:szCs w:val="24"/>
          <w:lang w:val="en-US"/>
        </w:rPr>
        <w:t xml:space="preserve"> 2 §).</w:t>
      </w:r>
      <w:r w:rsidRPr="007B140B">
        <w:rPr>
          <w:rFonts w:ascii="Times New Roman" w:hAnsi="Times New Roman" w:cs="Times New Roman"/>
          <w:sz w:val="24"/>
          <w:szCs w:val="24"/>
          <w:lang w:val="en-US"/>
        </w:rPr>
        <w:fldChar w:fldCharType="begin" w:fldLock="1"/>
      </w:r>
      <w:r w:rsidR="00272560">
        <w:rPr>
          <w:rFonts w:ascii="Times New Roman" w:hAnsi="Times New Roman" w:cs="Times New Roman"/>
          <w:sz w:val="24"/>
          <w:szCs w:val="24"/>
          <w:lang w:val="en-US"/>
        </w:rPr>
        <w:instrText>ADDIN CSL_CITATION {"citationItems":[{"id":"ITEM-1","itemData":{"id":"ITEM-1","issued":{"date-parts":[["0"]]},"title":"Läkemedelsverkets föreskrifter (LVFS 2011:19) om kliniska läkemedelsprövningar på människor","type":"article"},"uris":["http://www.mendeley.com/documents/?uuid=1e96a563-be0f-49ca-ab4e-ba2a81c3e339"]}],"mendeley":{"formattedCitation":"&lt;sup&gt;&lt;sup&gt;51&lt;/sup&gt;&lt;/sup&gt;","plainTextFormattedCitation":"51","previouslyFormattedCitation":"&lt;sup&gt;&lt;sup&gt;51&lt;/sup&gt;&lt;/sup&gt;"},"properties":{"noteIndex":0},"schema":"https://github.com/citation-style-language/schema/raw/master/csl-citation.json"}</w:instrText>
      </w:r>
      <w:r w:rsidRPr="007B140B">
        <w:rPr>
          <w:rFonts w:ascii="Times New Roman" w:hAnsi="Times New Roman" w:cs="Times New Roman"/>
          <w:sz w:val="24"/>
          <w:szCs w:val="24"/>
          <w:lang w:val="en-US"/>
        </w:rPr>
        <w:fldChar w:fldCharType="separate"/>
      </w:r>
      <w:r w:rsidR="0081127D" w:rsidRPr="0081127D">
        <w:rPr>
          <w:rFonts w:ascii="Times New Roman" w:hAnsi="Times New Roman" w:cs="Times New Roman"/>
          <w:noProof/>
          <w:sz w:val="24"/>
          <w:szCs w:val="24"/>
          <w:vertAlign w:val="superscript"/>
          <w:lang w:val="en-US"/>
        </w:rPr>
        <w:t>51</w:t>
      </w:r>
      <w:r w:rsidRPr="007B140B">
        <w:rPr>
          <w:rFonts w:ascii="Times New Roman" w:hAnsi="Times New Roman" w:cs="Times New Roman"/>
          <w:sz w:val="24"/>
          <w:szCs w:val="24"/>
          <w:lang w:val="en-US"/>
        </w:rPr>
        <w:fldChar w:fldCharType="end"/>
      </w:r>
      <w:r w:rsidRPr="007B140B">
        <w:rPr>
          <w:rFonts w:ascii="Times New Roman" w:hAnsi="Times New Roman" w:cs="Times New Roman"/>
          <w:sz w:val="24"/>
          <w:szCs w:val="24"/>
          <w:lang w:val="en-US"/>
        </w:rPr>
        <w:t xml:space="preserve"> Decisions </w:t>
      </w:r>
      <w:r w:rsidR="0054794F">
        <w:rPr>
          <w:rFonts w:ascii="Times New Roman" w:hAnsi="Times New Roman" w:cs="Times New Roman"/>
          <w:sz w:val="24"/>
          <w:szCs w:val="24"/>
          <w:lang w:val="en-US"/>
        </w:rPr>
        <w:t>about</w:t>
      </w:r>
      <w:r w:rsidR="0054794F" w:rsidRPr="007B140B">
        <w:rPr>
          <w:rFonts w:ascii="Times New Roman" w:hAnsi="Times New Roman" w:cs="Times New Roman"/>
          <w:sz w:val="24"/>
          <w:szCs w:val="24"/>
          <w:lang w:val="en-US"/>
        </w:rPr>
        <w:t xml:space="preserve"> </w:t>
      </w:r>
      <w:r w:rsidRPr="007B140B">
        <w:rPr>
          <w:rFonts w:ascii="Times New Roman" w:hAnsi="Times New Roman" w:cs="Times New Roman"/>
          <w:sz w:val="24"/>
          <w:szCs w:val="24"/>
          <w:lang w:val="en-US"/>
        </w:rPr>
        <w:t>early termination are made by the sponsor.</w:t>
      </w:r>
    </w:p>
    <w:p w14:paraId="0606D1F8" w14:textId="7B5C0640" w:rsidR="0094262E" w:rsidRPr="007B140B" w:rsidRDefault="0094262E" w:rsidP="00273AA9">
      <w:pPr>
        <w:rPr>
          <w:rFonts w:ascii="Times New Roman" w:hAnsi="Times New Roman" w:cs="Times New Roman"/>
          <w:sz w:val="24"/>
          <w:szCs w:val="24"/>
          <w:lang w:val="en-US"/>
        </w:rPr>
      </w:pPr>
    </w:p>
    <w:p w14:paraId="03826B72" w14:textId="444795B5" w:rsidR="00884BA9" w:rsidRPr="007B140B" w:rsidRDefault="00884BA9" w:rsidP="00D36611">
      <w:pPr>
        <w:pStyle w:val="Formatmall4"/>
        <w:rPr>
          <w:rFonts w:cs="Times New Roman"/>
          <w:lang w:val="en-US"/>
        </w:rPr>
      </w:pPr>
      <w:bookmarkStart w:id="103" w:name="_Toc99001442"/>
      <w:r w:rsidRPr="007B140B">
        <w:rPr>
          <w:rFonts w:cs="Times New Roman"/>
          <w:lang w:val="en-US"/>
        </w:rPr>
        <w:t>Ethics</w:t>
      </w:r>
      <w:bookmarkEnd w:id="103"/>
    </w:p>
    <w:p w14:paraId="21B3C8ED" w14:textId="75A8ED4B" w:rsidR="00524E5F" w:rsidRPr="007B140B" w:rsidRDefault="00524E5F" w:rsidP="00D36611">
      <w:pPr>
        <w:pStyle w:val="Formatmall3"/>
        <w:rPr>
          <w:rFonts w:cs="Times New Roman"/>
          <w:lang w:val="en-US"/>
        </w:rPr>
      </w:pPr>
      <w:bookmarkStart w:id="104" w:name="_Toc99001443"/>
      <w:r w:rsidRPr="007B140B">
        <w:rPr>
          <w:rFonts w:cs="Times New Roman"/>
          <w:lang w:val="en-US"/>
        </w:rPr>
        <w:t xml:space="preserve">Compliance </w:t>
      </w:r>
      <w:r w:rsidR="001656C8" w:rsidRPr="007B140B">
        <w:rPr>
          <w:rFonts w:cs="Times New Roman"/>
          <w:lang w:val="en-US"/>
        </w:rPr>
        <w:t>with</w:t>
      </w:r>
      <w:r w:rsidRPr="007B140B">
        <w:rPr>
          <w:rFonts w:cs="Times New Roman"/>
          <w:lang w:val="en-US"/>
        </w:rPr>
        <w:t xml:space="preserve"> the protocol, GCP</w:t>
      </w:r>
      <w:r w:rsidR="00CC696E" w:rsidRPr="007B140B">
        <w:rPr>
          <w:rFonts w:cs="Times New Roman"/>
          <w:lang w:val="en-US"/>
        </w:rPr>
        <w:t>,</w:t>
      </w:r>
      <w:r w:rsidRPr="007B140B">
        <w:rPr>
          <w:rFonts w:cs="Times New Roman"/>
          <w:lang w:val="en-US"/>
        </w:rPr>
        <w:t xml:space="preserve"> and regulations</w:t>
      </w:r>
      <w:bookmarkEnd w:id="104"/>
    </w:p>
    <w:p w14:paraId="0F58F1A4" w14:textId="7DB0BDC8" w:rsidR="00E236D5" w:rsidRPr="007B140B" w:rsidRDefault="00524E5F" w:rsidP="00524E5F">
      <w:p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The </w:t>
      </w:r>
      <w:r w:rsidR="00D6129E" w:rsidRPr="007B140B">
        <w:rPr>
          <w:rFonts w:ascii="Times New Roman" w:hAnsi="Times New Roman" w:cs="Times New Roman"/>
          <w:sz w:val="24"/>
          <w:szCs w:val="24"/>
          <w:lang w:val="en-US"/>
        </w:rPr>
        <w:t>trial</w:t>
      </w:r>
      <w:r w:rsidRPr="007B140B">
        <w:rPr>
          <w:rFonts w:ascii="Times New Roman" w:hAnsi="Times New Roman" w:cs="Times New Roman"/>
          <w:sz w:val="24"/>
          <w:szCs w:val="24"/>
          <w:lang w:val="en-US"/>
        </w:rPr>
        <w:t xml:space="preserve"> will be</w:t>
      </w:r>
      <w:r w:rsidR="00D8434D" w:rsidRPr="007B140B">
        <w:rPr>
          <w:rFonts w:ascii="Times New Roman" w:hAnsi="Times New Roman" w:cs="Times New Roman"/>
          <w:sz w:val="24"/>
          <w:szCs w:val="24"/>
          <w:lang w:val="en-US"/>
        </w:rPr>
        <w:t xml:space="preserve"> performed in accordance with this</w:t>
      </w:r>
      <w:r w:rsidR="00C329E1" w:rsidRPr="007B140B">
        <w:rPr>
          <w:rFonts w:ascii="Times New Roman" w:hAnsi="Times New Roman" w:cs="Times New Roman"/>
          <w:sz w:val="24"/>
          <w:szCs w:val="24"/>
          <w:lang w:val="en-US"/>
        </w:rPr>
        <w:t xml:space="preserve"> protocol, ICH </w:t>
      </w:r>
      <w:r w:rsidRPr="007B140B">
        <w:rPr>
          <w:rFonts w:ascii="Times New Roman" w:hAnsi="Times New Roman" w:cs="Times New Roman"/>
          <w:sz w:val="24"/>
          <w:szCs w:val="24"/>
          <w:lang w:val="en-US"/>
        </w:rPr>
        <w:t>GCP,</w:t>
      </w:r>
      <w:r w:rsidR="00C329E1" w:rsidRPr="007B140B">
        <w:rPr>
          <w:rFonts w:ascii="Times New Roman" w:hAnsi="Times New Roman" w:cs="Times New Roman"/>
          <w:sz w:val="24"/>
          <w:szCs w:val="24"/>
          <w:lang w:val="en-US"/>
        </w:rPr>
        <w:fldChar w:fldCharType="begin" w:fldLock="1"/>
      </w:r>
      <w:r w:rsidR="00272560">
        <w:rPr>
          <w:rFonts w:ascii="Times New Roman" w:hAnsi="Times New Roman" w:cs="Times New Roman"/>
          <w:sz w:val="24"/>
          <w:szCs w:val="24"/>
          <w:lang w:val="en-US"/>
        </w:rPr>
        <w:instrText>ADDIN CSL_CITATION {"citationItems":[{"id":"ITEM-1","itemData":{"author":[{"dropping-particle":"","family":"International Conference on Harmonisation of Technical Requirements for Registration of Pharmaceuticals for Human Use","given":"","non-dropping-particle":"","parse-names":false,"suffix":""}],"id":"ITEM-1","issued":{"date-parts":[["2016"]]},"title":"ICH harmonised guideline E6(R2): integrated addendum to ICH E6(R1): guideline for good clinical practice","type":"book"},"uris":["http://www.mendeley.com/documents/?uuid=e64ecd0c-e131-4d95-b40a-f31ecd63cce2"]}],"mendeley":{"formattedCitation":"&lt;sup&gt;&lt;sup&gt;54&lt;/sup&gt;&lt;/sup&gt;","plainTextFormattedCitation":"54","previouslyFormattedCitation":"&lt;sup&gt;&lt;sup&gt;54&lt;/sup&gt;&lt;/sup&gt;"},"properties":{"noteIndex":0},"schema":"https://github.com/citation-style-language/schema/raw/master/csl-citation.json"}</w:instrText>
      </w:r>
      <w:r w:rsidR="00C329E1" w:rsidRPr="007B140B">
        <w:rPr>
          <w:rFonts w:ascii="Times New Roman" w:hAnsi="Times New Roman" w:cs="Times New Roman"/>
          <w:sz w:val="24"/>
          <w:szCs w:val="24"/>
          <w:lang w:val="en-US"/>
        </w:rPr>
        <w:fldChar w:fldCharType="separate"/>
      </w:r>
      <w:r w:rsidR="0081127D" w:rsidRPr="0081127D">
        <w:rPr>
          <w:rFonts w:ascii="Times New Roman" w:hAnsi="Times New Roman" w:cs="Times New Roman"/>
          <w:noProof/>
          <w:sz w:val="24"/>
          <w:szCs w:val="24"/>
          <w:vertAlign w:val="superscript"/>
          <w:lang w:val="en-US"/>
        </w:rPr>
        <w:t>54</w:t>
      </w:r>
      <w:r w:rsidR="00C329E1" w:rsidRPr="007B140B">
        <w:rPr>
          <w:rFonts w:ascii="Times New Roman" w:hAnsi="Times New Roman" w:cs="Times New Roman"/>
          <w:sz w:val="24"/>
          <w:szCs w:val="24"/>
          <w:lang w:val="en-US"/>
        </w:rPr>
        <w:fldChar w:fldCharType="end"/>
      </w:r>
      <w:r w:rsidRPr="007B140B">
        <w:rPr>
          <w:rFonts w:ascii="Times New Roman" w:hAnsi="Times New Roman" w:cs="Times New Roman"/>
          <w:sz w:val="24"/>
          <w:szCs w:val="24"/>
          <w:lang w:val="en-US"/>
        </w:rPr>
        <w:t xml:space="preserve"> the Declaration of Helsinki</w:t>
      </w:r>
      <w:r w:rsidR="009C2D54" w:rsidRPr="007B140B">
        <w:rPr>
          <w:rFonts w:ascii="Times New Roman" w:hAnsi="Times New Roman" w:cs="Times New Roman"/>
          <w:sz w:val="24"/>
          <w:szCs w:val="24"/>
          <w:lang w:val="en-US"/>
        </w:rPr>
        <w:t>,</w:t>
      </w:r>
      <w:r w:rsidR="00C329E1" w:rsidRPr="007B140B">
        <w:rPr>
          <w:rFonts w:ascii="Times New Roman" w:hAnsi="Times New Roman" w:cs="Times New Roman"/>
          <w:sz w:val="24"/>
          <w:szCs w:val="24"/>
          <w:lang w:val="en-US"/>
        </w:rPr>
        <w:fldChar w:fldCharType="begin" w:fldLock="1"/>
      </w:r>
      <w:r w:rsidR="00E85D18">
        <w:rPr>
          <w:rFonts w:ascii="Times New Roman" w:hAnsi="Times New Roman" w:cs="Times New Roman"/>
          <w:sz w:val="24"/>
          <w:szCs w:val="24"/>
          <w:lang w:val="en-US"/>
        </w:rPr>
        <w:instrText>ADDIN CSL_CITATION {"citationItems":[{"id":"ITEM-1","itemData":{"author":[{"dropping-particle":"","family":"World Medical Association","given":"","non-dropping-particle":"","parse-names":false,"suffix":""}],"id":"ITEM-1","issued":{"date-parts":[["2013"]]},"publisher-place":"Ferney-Voltaire","title":"Declaration of Helsinki - ethical principles for medical research involving human subjects","type":"book"},"uris":["http://www.mendeley.com/documents/?uuid=476c6e53-243d-4f38-91c6-45bef7a4dd84"]}],"mendeley":{"formattedCitation":"&lt;sup&gt;&lt;sup&gt;66&lt;/sup&gt;&lt;/sup&gt;","plainTextFormattedCitation":"66","previouslyFormattedCitation":"&lt;sup&gt;&lt;sup&gt;67&lt;/sup&gt;&lt;/sup&gt;"},"properties":{"noteIndex":0},"schema":"https://github.com/citation-style-language/schema/raw/master/csl-citation.json"}</w:instrText>
      </w:r>
      <w:r w:rsidR="00C329E1" w:rsidRPr="007B140B">
        <w:rPr>
          <w:rFonts w:ascii="Times New Roman" w:hAnsi="Times New Roman" w:cs="Times New Roman"/>
          <w:sz w:val="24"/>
          <w:szCs w:val="24"/>
          <w:lang w:val="en-US"/>
        </w:rPr>
        <w:fldChar w:fldCharType="separate"/>
      </w:r>
      <w:r w:rsidR="00E85D18" w:rsidRPr="00E85D18">
        <w:rPr>
          <w:rFonts w:ascii="Times New Roman" w:hAnsi="Times New Roman" w:cs="Times New Roman"/>
          <w:noProof/>
          <w:sz w:val="24"/>
          <w:szCs w:val="24"/>
          <w:vertAlign w:val="superscript"/>
          <w:lang w:val="en-US"/>
        </w:rPr>
        <w:t>66</w:t>
      </w:r>
      <w:r w:rsidR="00C329E1" w:rsidRPr="007B140B">
        <w:rPr>
          <w:rFonts w:ascii="Times New Roman" w:hAnsi="Times New Roman" w:cs="Times New Roman"/>
          <w:sz w:val="24"/>
          <w:szCs w:val="24"/>
          <w:lang w:val="en-US"/>
        </w:rPr>
        <w:fldChar w:fldCharType="end"/>
      </w:r>
      <w:r w:rsidR="00291C2C" w:rsidRPr="007B140B">
        <w:rPr>
          <w:rFonts w:ascii="Times New Roman" w:hAnsi="Times New Roman" w:cs="Times New Roman"/>
          <w:sz w:val="24"/>
          <w:szCs w:val="24"/>
          <w:lang w:val="en-US"/>
        </w:rPr>
        <w:t xml:space="preserve"> and </w:t>
      </w:r>
      <w:r w:rsidR="007C496B" w:rsidRPr="007B140B">
        <w:rPr>
          <w:rFonts w:ascii="Times New Roman" w:hAnsi="Times New Roman" w:cs="Times New Roman"/>
          <w:sz w:val="24"/>
          <w:szCs w:val="24"/>
          <w:lang w:val="en-US"/>
        </w:rPr>
        <w:t>Swedish and European Union regulations</w:t>
      </w:r>
      <w:r w:rsidRPr="007B140B">
        <w:rPr>
          <w:rFonts w:ascii="Times New Roman" w:hAnsi="Times New Roman" w:cs="Times New Roman"/>
          <w:sz w:val="24"/>
          <w:szCs w:val="24"/>
          <w:lang w:val="en-US"/>
        </w:rPr>
        <w:t xml:space="preserve">. </w:t>
      </w:r>
      <w:r w:rsidR="00D85F50" w:rsidRPr="007B140B">
        <w:rPr>
          <w:rFonts w:ascii="Times New Roman" w:hAnsi="Times New Roman" w:cs="Times New Roman"/>
          <w:sz w:val="24"/>
          <w:szCs w:val="24"/>
          <w:lang w:val="en-US"/>
        </w:rPr>
        <w:t>T</w:t>
      </w:r>
      <w:r w:rsidR="00E324DE" w:rsidRPr="007B140B">
        <w:rPr>
          <w:rFonts w:ascii="Times New Roman" w:hAnsi="Times New Roman" w:cs="Times New Roman"/>
          <w:sz w:val="24"/>
          <w:szCs w:val="24"/>
          <w:lang w:val="en-US"/>
        </w:rPr>
        <w:t>he purpose of this</w:t>
      </w:r>
      <w:r w:rsidRPr="007B140B">
        <w:rPr>
          <w:rFonts w:ascii="Times New Roman" w:hAnsi="Times New Roman" w:cs="Times New Roman"/>
          <w:sz w:val="24"/>
          <w:szCs w:val="24"/>
          <w:lang w:val="en-US"/>
        </w:rPr>
        <w:t xml:space="preserve"> is to ensure the sa</w:t>
      </w:r>
      <w:r w:rsidR="00112319" w:rsidRPr="007B140B">
        <w:rPr>
          <w:rFonts w:ascii="Times New Roman" w:hAnsi="Times New Roman" w:cs="Times New Roman"/>
          <w:sz w:val="24"/>
          <w:szCs w:val="24"/>
          <w:lang w:val="en-US"/>
        </w:rPr>
        <w:t xml:space="preserve">fety and integrity of the participants </w:t>
      </w:r>
      <w:r w:rsidR="00943DE2" w:rsidRPr="007B140B">
        <w:rPr>
          <w:rFonts w:ascii="Times New Roman" w:hAnsi="Times New Roman" w:cs="Times New Roman"/>
          <w:sz w:val="24"/>
          <w:szCs w:val="24"/>
          <w:lang w:val="en-US"/>
        </w:rPr>
        <w:t xml:space="preserve">and </w:t>
      </w:r>
      <w:r w:rsidRPr="007B140B">
        <w:rPr>
          <w:rFonts w:ascii="Times New Roman" w:hAnsi="Times New Roman" w:cs="Times New Roman"/>
          <w:sz w:val="24"/>
          <w:szCs w:val="24"/>
          <w:lang w:val="en-US"/>
        </w:rPr>
        <w:t>the quality of the data.</w:t>
      </w:r>
    </w:p>
    <w:p w14:paraId="239B5251" w14:textId="6659DB13" w:rsidR="00BE08DE" w:rsidRPr="007B140B" w:rsidRDefault="00BE08DE" w:rsidP="00524E5F">
      <w:p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The Swedish Medical Products Agency will be informed of the study’s completion through </w:t>
      </w:r>
      <w:r w:rsidR="005A4AB9">
        <w:rPr>
          <w:rFonts w:ascii="Times New Roman" w:hAnsi="Times New Roman" w:cs="Times New Roman"/>
          <w:sz w:val="24"/>
          <w:szCs w:val="24"/>
          <w:lang w:val="en-US"/>
        </w:rPr>
        <w:t xml:space="preserve">the </w:t>
      </w:r>
      <w:r w:rsidRPr="007B140B">
        <w:rPr>
          <w:rFonts w:ascii="Times New Roman" w:hAnsi="Times New Roman" w:cs="Times New Roman"/>
          <w:sz w:val="24"/>
          <w:szCs w:val="24"/>
          <w:lang w:val="en-US"/>
        </w:rPr>
        <w:t xml:space="preserve">submission of a ”Declaration of End of Trial Notification” form no later than 90 days after the </w:t>
      </w:r>
      <w:r w:rsidR="007929E9">
        <w:rPr>
          <w:rFonts w:ascii="Times New Roman" w:hAnsi="Times New Roman" w:cs="Times New Roman"/>
          <w:sz w:val="24"/>
          <w:szCs w:val="24"/>
          <w:lang w:val="en-US"/>
        </w:rPr>
        <w:t>E</w:t>
      </w:r>
      <w:r w:rsidR="005D1CB2">
        <w:rPr>
          <w:rFonts w:ascii="Times New Roman" w:hAnsi="Times New Roman" w:cs="Times New Roman"/>
          <w:sz w:val="24"/>
          <w:szCs w:val="24"/>
          <w:lang w:val="en-US"/>
        </w:rPr>
        <w:t>nd of Trial</w:t>
      </w:r>
      <w:r w:rsidRPr="007B140B">
        <w:rPr>
          <w:rFonts w:ascii="Times New Roman" w:hAnsi="Times New Roman" w:cs="Times New Roman"/>
          <w:sz w:val="24"/>
          <w:szCs w:val="24"/>
          <w:lang w:val="en-US"/>
        </w:rPr>
        <w:t xml:space="preserve"> (9 </w:t>
      </w:r>
      <w:r w:rsidR="00A67860">
        <w:rPr>
          <w:rFonts w:ascii="Times New Roman" w:hAnsi="Times New Roman" w:cs="Times New Roman"/>
          <w:sz w:val="24"/>
          <w:szCs w:val="24"/>
          <w:lang w:val="en-US"/>
        </w:rPr>
        <w:t>Ch</w:t>
      </w:r>
      <w:r w:rsidR="00955C79">
        <w:rPr>
          <w:rFonts w:ascii="Times New Roman" w:hAnsi="Times New Roman" w:cs="Times New Roman"/>
          <w:sz w:val="24"/>
          <w:szCs w:val="24"/>
          <w:lang w:val="en-US"/>
        </w:rPr>
        <w:t>.</w:t>
      </w:r>
      <w:r w:rsidRPr="007B140B">
        <w:rPr>
          <w:rFonts w:ascii="Times New Roman" w:hAnsi="Times New Roman" w:cs="Times New Roman"/>
          <w:sz w:val="24"/>
          <w:szCs w:val="24"/>
          <w:lang w:val="en-US"/>
        </w:rPr>
        <w:t xml:space="preserve"> 1 §).</w:t>
      </w:r>
      <w:r w:rsidRPr="007B140B">
        <w:rPr>
          <w:rFonts w:ascii="Times New Roman" w:hAnsi="Times New Roman" w:cs="Times New Roman"/>
          <w:sz w:val="24"/>
          <w:szCs w:val="24"/>
          <w:lang w:val="en-US"/>
        </w:rPr>
        <w:fldChar w:fldCharType="begin" w:fldLock="1"/>
      </w:r>
      <w:r w:rsidR="00272560">
        <w:rPr>
          <w:rFonts w:ascii="Times New Roman" w:hAnsi="Times New Roman" w:cs="Times New Roman"/>
          <w:sz w:val="24"/>
          <w:szCs w:val="24"/>
          <w:lang w:val="en-US"/>
        </w:rPr>
        <w:instrText>ADDIN CSL_CITATION {"citationItems":[{"id":"ITEM-1","itemData":{"id":"ITEM-1","issued":{"date-parts":[["0"]]},"title":"Läkemedelsverkets föreskrifter (LVFS 2011:19) om kliniska läkemedelsprövningar på människor","type":"article"},"uris":["http://www.mendeley.com/documents/?uuid=1e96a563-be0f-49ca-ab4e-ba2a81c3e339"]}],"mendeley":{"formattedCitation":"&lt;sup&gt;&lt;sup&gt;51&lt;/sup&gt;&lt;/sup&gt;","plainTextFormattedCitation":"51","previouslyFormattedCitation":"&lt;sup&gt;&lt;sup&gt;51&lt;/sup&gt;&lt;/sup&gt;"},"properties":{"noteIndex":0},"schema":"https://github.com/citation-style-language/schema/raw/master/csl-citation.json"}</w:instrText>
      </w:r>
      <w:r w:rsidRPr="007B140B">
        <w:rPr>
          <w:rFonts w:ascii="Times New Roman" w:hAnsi="Times New Roman" w:cs="Times New Roman"/>
          <w:sz w:val="24"/>
          <w:szCs w:val="24"/>
          <w:lang w:val="en-US"/>
        </w:rPr>
        <w:fldChar w:fldCharType="separate"/>
      </w:r>
      <w:r w:rsidR="0081127D" w:rsidRPr="0081127D">
        <w:rPr>
          <w:rFonts w:ascii="Times New Roman" w:hAnsi="Times New Roman" w:cs="Times New Roman"/>
          <w:noProof/>
          <w:sz w:val="24"/>
          <w:szCs w:val="24"/>
          <w:vertAlign w:val="superscript"/>
          <w:lang w:val="en-US"/>
        </w:rPr>
        <w:t>51</w:t>
      </w:r>
      <w:r w:rsidRPr="007B140B">
        <w:rPr>
          <w:rFonts w:ascii="Times New Roman" w:hAnsi="Times New Roman" w:cs="Times New Roman"/>
          <w:sz w:val="24"/>
          <w:szCs w:val="24"/>
          <w:lang w:val="en-US"/>
        </w:rPr>
        <w:fldChar w:fldCharType="end"/>
      </w:r>
      <w:r w:rsidR="00AA09F4">
        <w:rPr>
          <w:rFonts w:ascii="Times New Roman" w:hAnsi="Times New Roman" w:cs="Times New Roman"/>
          <w:sz w:val="24"/>
          <w:szCs w:val="24"/>
          <w:lang w:val="en-US"/>
        </w:rPr>
        <w:t xml:space="preserve"> The </w:t>
      </w:r>
      <w:r w:rsidR="00AA09F4" w:rsidRPr="007B140B">
        <w:rPr>
          <w:rFonts w:ascii="Times New Roman" w:eastAsia="Times New Roman" w:hAnsi="Times New Roman" w:cs="Times New Roman"/>
          <w:sz w:val="24"/>
          <w:szCs w:val="24"/>
          <w:lang w:val="en-US" w:eastAsia="sv-SE"/>
        </w:rPr>
        <w:t>Swedish Ethical Review Authority</w:t>
      </w:r>
      <w:r w:rsidR="00AA09F4">
        <w:rPr>
          <w:rFonts w:ascii="Times New Roman" w:eastAsia="Times New Roman" w:hAnsi="Times New Roman" w:cs="Times New Roman"/>
          <w:sz w:val="24"/>
          <w:szCs w:val="24"/>
          <w:lang w:val="en-US" w:eastAsia="sv-SE"/>
        </w:rPr>
        <w:t xml:space="preserve"> will also be notified.</w:t>
      </w:r>
    </w:p>
    <w:p w14:paraId="4440A816" w14:textId="5EB98C41" w:rsidR="00F020C3" w:rsidRPr="007B140B" w:rsidRDefault="00F020C3" w:rsidP="00524E5F">
      <w:pPr>
        <w:rPr>
          <w:rFonts w:ascii="Times New Roman" w:hAnsi="Times New Roman" w:cs="Times New Roman"/>
          <w:sz w:val="24"/>
          <w:szCs w:val="24"/>
          <w:lang w:val="en-US"/>
        </w:rPr>
      </w:pPr>
    </w:p>
    <w:p w14:paraId="0F080067" w14:textId="3F0BB981" w:rsidR="00524E5F" w:rsidRPr="007B140B" w:rsidRDefault="004670FC" w:rsidP="00D36611">
      <w:pPr>
        <w:pStyle w:val="Formatmall3"/>
        <w:rPr>
          <w:rFonts w:cs="Times New Roman"/>
          <w:lang w:val="en-US"/>
        </w:rPr>
      </w:pPr>
      <w:bookmarkStart w:id="105" w:name="_Toc99001444"/>
      <w:r w:rsidRPr="007B140B">
        <w:rPr>
          <w:rFonts w:cs="Times New Roman"/>
          <w:lang w:val="en-US"/>
        </w:rPr>
        <w:t>Research ethics</w:t>
      </w:r>
      <w:r w:rsidR="00524E5F" w:rsidRPr="007B140B">
        <w:rPr>
          <w:rFonts w:cs="Times New Roman"/>
          <w:lang w:val="en-US"/>
        </w:rPr>
        <w:t xml:space="preserve"> </w:t>
      </w:r>
      <w:r w:rsidRPr="007B140B">
        <w:rPr>
          <w:rFonts w:cs="Times New Roman"/>
          <w:lang w:val="en-US"/>
        </w:rPr>
        <w:t>approval</w:t>
      </w:r>
      <w:bookmarkEnd w:id="105"/>
    </w:p>
    <w:p w14:paraId="7F835C8E" w14:textId="20365BBE" w:rsidR="00F020C3" w:rsidRPr="007B140B" w:rsidRDefault="00B021AB" w:rsidP="00F020C3">
      <w:pPr>
        <w:rPr>
          <w:rFonts w:ascii="Times New Roman" w:eastAsia="Times New Roman" w:hAnsi="Times New Roman" w:cs="Times New Roman"/>
          <w:sz w:val="24"/>
          <w:szCs w:val="24"/>
          <w:lang w:val="en-US" w:eastAsia="sv-SE"/>
        </w:rPr>
      </w:pPr>
      <w:r w:rsidRPr="007B140B">
        <w:rPr>
          <w:rFonts w:ascii="Times New Roman" w:eastAsia="Times New Roman" w:hAnsi="Times New Roman" w:cs="Times New Roman"/>
          <w:sz w:val="24"/>
          <w:szCs w:val="24"/>
          <w:lang w:val="en-US" w:eastAsia="sv-SE"/>
        </w:rPr>
        <w:t xml:space="preserve">Participant recruitment will not begin before </w:t>
      </w:r>
      <w:r w:rsidR="005709D7" w:rsidRPr="007B140B">
        <w:rPr>
          <w:rFonts w:ascii="Times New Roman" w:eastAsia="Times New Roman" w:hAnsi="Times New Roman" w:cs="Times New Roman"/>
          <w:sz w:val="24"/>
          <w:szCs w:val="24"/>
          <w:lang w:val="en-US" w:eastAsia="sv-SE"/>
        </w:rPr>
        <w:t xml:space="preserve">this </w:t>
      </w:r>
      <w:r w:rsidR="00524E5F" w:rsidRPr="007B140B">
        <w:rPr>
          <w:rFonts w:ascii="Times New Roman" w:eastAsia="Times New Roman" w:hAnsi="Times New Roman" w:cs="Times New Roman"/>
          <w:sz w:val="24"/>
          <w:szCs w:val="24"/>
          <w:lang w:val="en-US" w:eastAsia="sv-SE"/>
        </w:rPr>
        <w:t>proto</w:t>
      </w:r>
      <w:r w:rsidR="005709D7" w:rsidRPr="007B140B">
        <w:rPr>
          <w:rFonts w:ascii="Times New Roman" w:eastAsia="Times New Roman" w:hAnsi="Times New Roman" w:cs="Times New Roman"/>
          <w:sz w:val="24"/>
          <w:szCs w:val="24"/>
          <w:lang w:val="en-US" w:eastAsia="sv-SE"/>
        </w:rPr>
        <w:t xml:space="preserve">col, </w:t>
      </w:r>
      <w:r w:rsidR="00421FCD" w:rsidRPr="007B140B">
        <w:rPr>
          <w:rFonts w:ascii="Times New Roman" w:eastAsia="Times New Roman" w:hAnsi="Times New Roman" w:cs="Times New Roman"/>
          <w:sz w:val="24"/>
          <w:szCs w:val="24"/>
          <w:lang w:val="en-US" w:eastAsia="sv-SE"/>
        </w:rPr>
        <w:t>an</w:t>
      </w:r>
      <w:r w:rsidR="00524E5F" w:rsidRPr="007B140B">
        <w:rPr>
          <w:rFonts w:ascii="Times New Roman" w:eastAsia="Times New Roman" w:hAnsi="Times New Roman" w:cs="Times New Roman"/>
          <w:sz w:val="24"/>
          <w:szCs w:val="24"/>
          <w:lang w:val="en-US" w:eastAsia="sv-SE"/>
        </w:rPr>
        <w:t xml:space="preserve"> informed consent form</w:t>
      </w:r>
      <w:r w:rsidR="005709D7" w:rsidRPr="007B140B">
        <w:rPr>
          <w:rFonts w:ascii="Times New Roman" w:eastAsia="Times New Roman" w:hAnsi="Times New Roman" w:cs="Times New Roman"/>
          <w:sz w:val="24"/>
          <w:szCs w:val="24"/>
          <w:lang w:val="en-US" w:eastAsia="sv-SE"/>
        </w:rPr>
        <w:t>,</w:t>
      </w:r>
      <w:r w:rsidR="00524E5F" w:rsidRPr="007B140B">
        <w:rPr>
          <w:rFonts w:ascii="Times New Roman" w:eastAsia="Times New Roman" w:hAnsi="Times New Roman" w:cs="Times New Roman"/>
          <w:sz w:val="24"/>
          <w:szCs w:val="24"/>
          <w:lang w:val="en-US" w:eastAsia="sv-SE"/>
        </w:rPr>
        <w:t xml:space="preserve"> and other i</w:t>
      </w:r>
      <w:r w:rsidR="005709D7" w:rsidRPr="007B140B">
        <w:rPr>
          <w:rFonts w:ascii="Times New Roman" w:eastAsia="Times New Roman" w:hAnsi="Times New Roman" w:cs="Times New Roman"/>
          <w:sz w:val="24"/>
          <w:szCs w:val="24"/>
          <w:lang w:val="en-US" w:eastAsia="sv-SE"/>
        </w:rPr>
        <w:t xml:space="preserve">nformation provided to </w:t>
      </w:r>
      <w:r w:rsidR="00E47BC6" w:rsidRPr="007B140B">
        <w:rPr>
          <w:rFonts w:ascii="Times New Roman" w:eastAsia="Times New Roman" w:hAnsi="Times New Roman" w:cs="Times New Roman"/>
          <w:sz w:val="24"/>
          <w:szCs w:val="24"/>
          <w:lang w:val="en-US" w:eastAsia="sv-SE"/>
        </w:rPr>
        <w:t>participants have been</w:t>
      </w:r>
      <w:r w:rsidRPr="007B140B">
        <w:rPr>
          <w:rFonts w:ascii="Times New Roman" w:eastAsia="Times New Roman" w:hAnsi="Times New Roman" w:cs="Times New Roman"/>
          <w:sz w:val="24"/>
          <w:szCs w:val="24"/>
          <w:lang w:val="en-US" w:eastAsia="sv-SE"/>
        </w:rPr>
        <w:t xml:space="preserve"> approved </w:t>
      </w:r>
      <w:r w:rsidR="00524E5F" w:rsidRPr="007B140B">
        <w:rPr>
          <w:rFonts w:ascii="Times New Roman" w:eastAsia="Times New Roman" w:hAnsi="Times New Roman" w:cs="Times New Roman"/>
          <w:sz w:val="24"/>
          <w:szCs w:val="24"/>
          <w:lang w:val="en-US" w:eastAsia="sv-SE"/>
        </w:rPr>
        <w:t>by the Swedish Ethical Review Authority</w:t>
      </w:r>
      <w:r w:rsidRPr="007B140B">
        <w:rPr>
          <w:rFonts w:ascii="Times New Roman" w:eastAsia="Times New Roman" w:hAnsi="Times New Roman" w:cs="Times New Roman"/>
          <w:sz w:val="24"/>
          <w:szCs w:val="24"/>
          <w:lang w:val="en-US" w:eastAsia="sv-SE"/>
        </w:rPr>
        <w:t>.</w:t>
      </w:r>
      <w:r w:rsidR="003E4E72" w:rsidRPr="007B140B">
        <w:rPr>
          <w:rFonts w:ascii="Times New Roman" w:eastAsia="Times New Roman" w:hAnsi="Times New Roman" w:cs="Times New Roman"/>
          <w:sz w:val="24"/>
          <w:szCs w:val="24"/>
          <w:lang w:val="en-US" w:eastAsia="sv-SE"/>
        </w:rPr>
        <w:t xml:space="preserve"> </w:t>
      </w:r>
      <w:r w:rsidRPr="007B140B">
        <w:rPr>
          <w:rFonts w:ascii="Times New Roman" w:eastAsia="Times New Roman" w:hAnsi="Times New Roman" w:cs="Times New Roman"/>
          <w:sz w:val="24"/>
          <w:szCs w:val="24"/>
          <w:lang w:val="en-US" w:eastAsia="sv-SE"/>
        </w:rPr>
        <w:t>The protocol will also need to be approved by the Swedish Medical Products Agency</w:t>
      </w:r>
      <w:r w:rsidR="00C3316F" w:rsidRPr="007B140B">
        <w:rPr>
          <w:rFonts w:ascii="Times New Roman" w:eastAsia="Times New Roman" w:hAnsi="Times New Roman" w:cs="Times New Roman"/>
          <w:sz w:val="24"/>
          <w:szCs w:val="24"/>
          <w:lang w:val="en-US" w:eastAsia="sv-SE"/>
        </w:rPr>
        <w:t xml:space="preserve"> (</w:t>
      </w:r>
      <w:r w:rsidR="0075181E" w:rsidRPr="007B140B">
        <w:rPr>
          <w:rFonts w:ascii="Times New Roman" w:eastAsia="Times New Roman" w:hAnsi="Times New Roman" w:cs="Times New Roman"/>
          <w:sz w:val="24"/>
          <w:szCs w:val="24"/>
          <w:lang w:val="en-US" w:eastAsia="sv-SE"/>
        </w:rPr>
        <w:t xml:space="preserve">5 </w:t>
      </w:r>
      <w:r w:rsidR="00A67860">
        <w:rPr>
          <w:rFonts w:ascii="Times New Roman" w:eastAsia="Times New Roman" w:hAnsi="Times New Roman" w:cs="Times New Roman"/>
          <w:sz w:val="24"/>
          <w:szCs w:val="24"/>
          <w:lang w:val="en-US" w:eastAsia="sv-SE"/>
        </w:rPr>
        <w:t>Ch</w:t>
      </w:r>
      <w:r w:rsidR="0075181E" w:rsidRPr="007B140B">
        <w:rPr>
          <w:rFonts w:ascii="Times New Roman" w:eastAsia="Times New Roman" w:hAnsi="Times New Roman" w:cs="Times New Roman"/>
          <w:sz w:val="24"/>
          <w:szCs w:val="24"/>
          <w:lang w:val="en-US" w:eastAsia="sv-SE"/>
        </w:rPr>
        <w:t>.</w:t>
      </w:r>
      <w:r w:rsidR="00C3316F" w:rsidRPr="007B140B">
        <w:rPr>
          <w:rFonts w:ascii="Times New Roman" w:eastAsia="Times New Roman" w:hAnsi="Times New Roman" w:cs="Times New Roman"/>
          <w:sz w:val="24"/>
          <w:szCs w:val="24"/>
          <w:lang w:val="en-US" w:eastAsia="sv-SE"/>
        </w:rPr>
        <w:t xml:space="preserve"> 1 §).</w:t>
      </w:r>
      <w:r w:rsidR="00C3316F" w:rsidRPr="007B140B">
        <w:rPr>
          <w:rFonts w:ascii="Times New Roman" w:eastAsia="Times New Roman" w:hAnsi="Times New Roman" w:cs="Times New Roman"/>
          <w:sz w:val="24"/>
          <w:szCs w:val="24"/>
          <w:lang w:val="en-US" w:eastAsia="sv-SE"/>
        </w:rPr>
        <w:fldChar w:fldCharType="begin" w:fldLock="1"/>
      </w:r>
      <w:r w:rsidR="00272560">
        <w:rPr>
          <w:rFonts w:ascii="Times New Roman" w:eastAsia="Times New Roman" w:hAnsi="Times New Roman" w:cs="Times New Roman"/>
          <w:sz w:val="24"/>
          <w:szCs w:val="24"/>
          <w:lang w:val="en-US" w:eastAsia="sv-SE"/>
        </w:rPr>
        <w:instrText>ADDIN CSL_CITATION {"citationItems":[{"id":"ITEM-1","itemData":{"id":"ITEM-1","issued":{"date-parts":[["0"]]},"title":"Läkemedelsverkets föreskrifter (LVFS 2011:19) om kliniska läkemedelsprövningar på människor","type":"article"},"uris":["http://www.mendeley.com/documents/?uuid=1e96a563-be0f-49ca-ab4e-ba2a81c3e339"]}],"mendeley":{"formattedCitation":"&lt;sup&gt;&lt;sup&gt;51&lt;/sup&gt;&lt;/sup&gt;","plainTextFormattedCitation":"51","previouslyFormattedCitation":"&lt;sup&gt;&lt;sup&gt;51&lt;/sup&gt;&lt;/sup&gt;"},"properties":{"noteIndex":0},"schema":"https://github.com/citation-style-language/schema/raw/master/csl-citation.json"}</w:instrText>
      </w:r>
      <w:r w:rsidR="00C3316F" w:rsidRPr="007B140B">
        <w:rPr>
          <w:rFonts w:ascii="Times New Roman" w:eastAsia="Times New Roman" w:hAnsi="Times New Roman" w:cs="Times New Roman"/>
          <w:sz w:val="24"/>
          <w:szCs w:val="24"/>
          <w:lang w:val="en-US" w:eastAsia="sv-SE"/>
        </w:rPr>
        <w:fldChar w:fldCharType="separate"/>
      </w:r>
      <w:r w:rsidR="0081127D" w:rsidRPr="0081127D">
        <w:rPr>
          <w:rFonts w:ascii="Times New Roman" w:eastAsia="Times New Roman" w:hAnsi="Times New Roman" w:cs="Times New Roman"/>
          <w:noProof/>
          <w:sz w:val="24"/>
          <w:szCs w:val="24"/>
          <w:vertAlign w:val="superscript"/>
          <w:lang w:val="en-US" w:eastAsia="sv-SE"/>
        </w:rPr>
        <w:t>51</w:t>
      </w:r>
      <w:r w:rsidR="00C3316F" w:rsidRPr="007B140B">
        <w:rPr>
          <w:rFonts w:ascii="Times New Roman" w:eastAsia="Times New Roman" w:hAnsi="Times New Roman" w:cs="Times New Roman"/>
          <w:sz w:val="24"/>
          <w:szCs w:val="24"/>
          <w:lang w:val="en-US" w:eastAsia="sv-SE"/>
        </w:rPr>
        <w:fldChar w:fldCharType="end"/>
      </w:r>
    </w:p>
    <w:p w14:paraId="2FA7856F" w14:textId="08354ACD" w:rsidR="00524E5F" w:rsidRPr="007B140B" w:rsidRDefault="00524E5F" w:rsidP="00F020C3">
      <w:pPr>
        <w:rPr>
          <w:rFonts w:ascii="Times New Roman" w:eastAsia="Times New Roman" w:hAnsi="Times New Roman" w:cs="Times New Roman"/>
          <w:sz w:val="24"/>
          <w:szCs w:val="24"/>
          <w:lang w:val="en-US" w:eastAsia="sv-SE"/>
        </w:rPr>
      </w:pPr>
      <w:r w:rsidRPr="007B140B">
        <w:rPr>
          <w:rFonts w:ascii="Times New Roman" w:eastAsia="Times New Roman" w:hAnsi="Times New Roman" w:cs="Times New Roman"/>
          <w:sz w:val="24"/>
          <w:szCs w:val="24"/>
          <w:lang w:val="en-US" w:eastAsia="sv-SE"/>
        </w:rPr>
        <w:t xml:space="preserve"> </w:t>
      </w:r>
    </w:p>
    <w:p w14:paraId="549A3DA1" w14:textId="5D744500" w:rsidR="00884BA9" w:rsidRPr="007B140B" w:rsidRDefault="00884BA9" w:rsidP="00D36611">
      <w:pPr>
        <w:pStyle w:val="Formatmall3"/>
        <w:rPr>
          <w:rFonts w:cs="Times New Roman"/>
          <w:lang w:val="en-US"/>
        </w:rPr>
      </w:pPr>
      <w:bookmarkStart w:id="106" w:name="_Toc99001445"/>
      <w:r w:rsidRPr="007B140B">
        <w:rPr>
          <w:rFonts w:cs="Times New Roman"/>
          <w:lang w:val="en-US"/>
        </w:rPr>
        <w:lastRenderedPageBreak/>
        <w:t>Protocol amendments</w:t>
      </w:r>
      <w:bookmarkEnd w:id="106"/>
    </w:p>
    <w:p w14:paraId="0D06863E" w14:textId="6B2AF91C" w:rsidR="00E950DE" w:rsidRPr="007B140B" w:rsidRDefault="00E950DE" w:rsidP="00273AA9">
      <w:p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Substantial </w:t>
      </w:r>
      <w:r w:rsidR="00701BF9" w:rsidRPr="007B140B">
        <w:rPr>
          <w:rFonts w:ascii="Times New Roman" w:hAnsi="Times New Roman" w:cs="Times New Roman"/>
          <w:sz w:val="24"/>
          <w:szCs w:val="24"/>
          <w:lang w:val="en-US"/>
        </w:rPr>
        <w:t xml:space="preserve">protocol </w:t>
      </w:r>
      <w:r w:rsidRPr="007B140B">
        <w:rPr>
          <w:rFonts w:ascii="Times New Roman" w:hAnsi="Times New Roman" w:cs="Times New Roman"/>
          <w:sz w:val="24"/>
          <w:szCs w:val="24"/>
          <w:lang w:val="en-US"/>
        </w:rPr>
        <w:t>amendments must be approved by</w:t>
      </w:r>
      <w:r w:rsidR="00F020C3" w:rsidRPr="007B140B">
        <w:rPr>
          <w:rFonts w:ascii="Times New Roman" w:hAnsi="Times New Roman" w:cs="Times New Roman"/>
          <w:sz w:val="24"/>
          <w:szCs w:val="24"/>
          <w:lang w:val="en-US"/>
        </w:rPr>
        <w:t xml:space="preserve"> the sponsor, the </w:t>
      </w:r>
      <w:r w:rsidR="00ED233B" w:rsidRPr="007B140B">
        <w:rPr>
          <w:rFonts w:ascii="Times New Roman" w:eastAsia="Times New Roman" w:hAnsi="Times New Roman" w:cs="Times New Roman"/>
          <w:sz w:val="24"/>
          <w:szCs w:val="24"/>
          <w:lang w:val="en-US" w:eastAsia="sv-SE"/>
        </w:rPr>
        <w:t>Swedish Ethical Review Authority</w:t>
      </w:r>
      <w:r w:rsidR="00F020C3" w:rsidRPr="007B140B">
        <w:rPr>
          <w:rFonts w:ascii="Times New Roman" w:hAnsi="Times New Roman" w:cs="Times New Roman"/>
          <w:sz w:val="24"/>
          <w:szCs w:val="24"/>
          <w:lang w:val="en-US"/>
        </w:rPr>
        <w:t>, and the Swedish Medical Products Agency</w:t>
      </w:r>
      <w:r w:rsidR="004670FC" w:rsidRPr="007B140B">
        <w:rPr>
          <w:rFonts w:ascii="Times New Roman" w:hAnsi="Times New Roman" w:cs="Times New Roman"/>
          <w:sz w:val="24"/>
          <w:szCs w:val="24"/>
          <w:lang w:val="en-US"/>
        </w:rPr>
        <w:t>.</w:t>
      </w:r>
      <w:r w:rsidR="00F020C3" w:rsidRPr="007B140B">
        <w:rPr>
          <w:rFonts w:ascii="Times New Roman" w:hAnsi="Times New Roman" w:cs="Times New Roman"/>
          <w:sz w:val="24"/>
          <w:szCs w:val="24"/>
          <w:lang w:val="en-US"/>
        </w:rPr>
        <w:t xml:space="preserve"> </w:t>
      </w:r>
      <w:r w:rsidR="00701BF9" w:rsidRPr="007B140B">
        <w:rPr>
          <w:rFonts w:ascii="Times New Roman" w:hAnsi="Times New Roman" w:cs="Times New Roman"/>
          <w:sz w:val="24"/>
          <w:szCs w:val="24"/>
          <w:lang w:val="en-US"/>
        </w:rPr>
        <w:t>The Swedish Medical Products agency defines substantial amendments to the study protocol as those that may affect (1) participants’ safety or physical or psychological integrity, (2) the scientific value of the study, or (3) are substantial in any other way.</w:t>
      </w:r>
      <w:r w:rsidR="00701BF9" w:rsidRPr="007B140B">
        <w:rPr>
          <w:rFonts w:ascii="Times New Roman" w:hAnsi="Times New Roman" w:cs="Times New Roman"/>
          <w:sz w:val="24"/>
          <w:szCs w:val="24"/>
          <w:lang w:val="en-US"/>
        </w:rPr>
        <w:fldChar w:fldCharType="begin" w:fldLock="1"/>
      </w:r>
      <w:r w:rsidR="00272560">
        <w:rPr>
          <w:rFonts w:ascii="Times New Roman" w:hAnsi="Times New Roman" w:cs="Times New Roman"/>
          <w:sz w:val="24"/>
          <w:szCs w:val="24"/>
          <w:lang w:val="en-US"/>
        </w:rPr>
        <w:instrText>ADDIN CSL_CITATION {"citationItems":[{"id":"ITEM-1","itemData":{"id":"ITEM-1","issued":{"date-parts":[["0"]]},"title":"Läkemedelsverkets föreskrifter (LVFS 2011:19) om kliniska läkemedelsprövningar på människor","type":"article"},"uris":["http://www.mendeley.com/documents/?uuid=1e96a563-be0f-49ca-ab4e-ba2a81c3e339"]}],"mendeley":{"formattedCitation":"&lt;sup&gt;&lt;sup&gt;51&lt;/sup&gt;&lt;/sup&gt;","plainTextFormattedCitation":"51","previouslyFormattedCitation":"&lt;sup&gt;&lt;sup&gt;51&lt;/sup&gt;&lt;/sup&gt;"},"properties":{"noteIndex":0},"schema":"https://github.com/citation-style-language/schema/raw/master/csl-citation.json"}</w:instrText>
      </w:r>
      <w:r w:rsidR="00701BF9" w:rsidRPr="007B140B">
        <w:rPr>
          <w:rFonts w:ascii="Times New Roman" w:hAnsi="Times New Roman" w:cs="Times New Roman"/>
          <w:sz w:val="24"/>
          <w:szCs w:val="24"/>
          <w:lang w:val="en-US"/>
        </w:rPr>
        <w:fldChar w:fldCharType="separate"/>
      </w:r>
      <w:r w:rsidR="0081127D" w:rsidRPr="0081127D">
        <w:rPr>
          <w:rFonts w:ascii="Times New Roman" w:hAnsi="Times New Roman" w:cs="Times New Roman"/>
          <w:noProof/>
          <w:sz w:val="24"/>
          <w:szCs w:val="24"/>
          <w:vertAlign w:val="superscript"/>
          <w:lang w:val="en-US"/>
        </w:rPr>
        <w:t>51</w:t>
      </w:r>
      <w:r w:rsidR="00701BF9" w:rsidRPr="007B140B">
        <w:rPr>
          <w:rFonts w:ascii="Times New Roman" w:hAnsi="Times New Roman" w:cs="Times New Roman"/>
          <w:sz w:val="24"/>
          <w:szCs w:val="24"/>
          <w:lang w:val="en-US"/>
        </w:rPr>
        <w:fldChar w:fldCharType="end"/>
      </w:r>
      <w:r w:rsidR="00701BF9" w:rsidRPr="007B140B">
        <w:rPr>
          <w:rFonts w:ascii="Times New Roman" w:hAnsi="Times New Roman" w:cs="Times New Roman"/>
          <w:sz w:val="24"/>
          <w:szCs w:val="24"/>
          <w:lang w:val="en-US"/>
        </w:rPr>
        <w:t xml:space="preserve"> </w:t>
      </w:r>
      <w:r w:rsidR="006561C5" w:rsidRPr="007B140B">
        <w:rPr>
          <w:rFonts w:ascii="Times New Roman" w:hAnsi="Times New Roman" w:cs="Times New Roman"/>
          <w:sz w:val="24"/>
          <w:szCs w:val="24"/>
          <w:lang w:val="en-US"/>
        </w:rPr>
        <w:t>Substantial a</w:t>
      </w:r>
      <w:r w:rsidRPr="007B140B">
        <w:rPr>
          <w:rFonts w:ascii="Times New Roman" w:hAnsi="Times New Roman" w:cs="Times New Roman"/>
          <w:sz w:val="24"/>
          <w:szCs w:val="24"/>
          <w:lang w:val="en-US"/>
        </w:rPr>
        <w:t>mendments</w:t>
      </w:r>
      <w:r w:rsidR="00B82B8F" w:rsidRPr="007B140B">
        <w:rPr>
          <w:rFonts w:ascii="Times New Roman" w:hAnsi="Times New Roman" w:cs="Times New Roman"/>
          <w:sz w:val="24"/>
          <w:szCs w:val="24"/>
          <w:lang w:val="en-US"/>
        </w:rPr>
        <w:t xml:space="preserve"> </w:t>
      </w:r>
      <w:r w:rsidRPr="007B140B">
        <w:rPr>
          <w:rFonts w:ascii="Times New Roman" w:hAnsi="Times New Roman" w:cs="Times New Roman"/>
          <w:sz w:val="24"/>
          <w:szCs w:val="24"/>
          <w:lang w:val="en-US"/>
        </w:rPr>
        <w:t>will</w:t>
      </w:r>
      <w:r w:rsidR="00B82B8F" w:rsidRPr="007B140B">
        <w:rPr>
          <w:rFonts w:ascii="Times New Roman" w:hAnsi="Times New Roman" w:cs="Times New Roman"/>
          <w:sz w:val="24"/>
          <w:szCs w:val="24"/>
          <w:lang w:val="en-US"/>
        </w:rPr>
        <w:t xml:space="preserve"> not be implemented </w:t>
      </w:r>
      <w:r w:rsidR="006561C5" w:rsidRPr="007B140B">
        <w:rPr>
          <w:rFonts w:ascii="Times New Roman" w:hAnsi="Times New Roman" w:cs="Times New Roman"/>
          <w:sz w:val="24"/>
          <w:szCs w:val="24"/>
          <w:lang w:val="en-US"/>
        </w:rPr>
        <w:t>until</w:t>
      </w:r>
      <w:r w:rsidR="00B82B8F" w:rsidRPr="007B140B">
        <w:rPr>
          <w:rFonts w:ascii="Times New Roman" w:hAnsi="Times New Roman" w:cs="Times New Roman"/>
          <w:sz w:val="24"/>
          <w:szCs w:val="24"/>
          <w:lang w:val="en-US"/>
        </w:rPr>
        <w:t xml:space="preserve"> they have been approved</w:t>
      </w:r>
      <w:r w:rsidR="00842D1D" w:rsidRPr="007B140B">
        <w:rPr>
          <w:rFonts w:ascii="Times New Roman" w:hAnsi="Times New Roman" w:cs="Times New Roman"/>
          <w:sz w:val="24"/>
          <w:szCs w:val="24"/>
          <w:lang w:val="en-US"/>
        </w:rPr>
        <w:t xml:space="preserve">, unless </w:t>
      </w:r>
      <w:r w:rsidRPr="007B140B">
        <w:rPr>
          <w:rFonts w:ascii="Times New Roman" w:hAnsi="Times New Roman" w:cs="Times New Roman"/>
          <w:sz w:val="24"/>
          <w:szCs w:val="24"/>
          <w:lang w:val="en-US"/>
        </w:rPr>
        <w:t xml:space="preserve">doing so is necessary to prevent immediate harm to participants, in which case the </w:t>
      </w:r>
      <w:r w:rsidR="006561C5" w:rsidRPr="007B140B">
        <w:rPr>
          <w:rFonts w:ascii="Times New Roman" w:hAnsi="Times New Roman" w:cs="Times New Roman"/>
          <w:sz w:val="24"/>
          <w:szCs w:val="24"/>
          <w:lang w:val="en-US"/>
        </w:rPr>
        <w:t>amendments</w:t>
      </w:r>
      <w:r w:rsidRPr="007B140B">
        <w:rPr>
          <w:rFonts w:ascii="Times New Roman" w:hAnsi="Times New Roman" w:cs="Times New Roman"/>
          <w:sz w:val="24"/>
          <w:szCs w:val="24"/>
          <w:lang w:val="en-US"/>
        </w:rPr>
        <w:t xml:space="preserve"> will be reported a</w:t>
      </w:r>
      <w:r w:rsidR="00497B3B" w:rsidRPr="007B140B">
        <w:rPr>
          <w:rFonts w:ascii="Times New Roman" w:hAnsi="Times New Roman" w:cs="Times New Roman"/>
          <w:sz w:val="24"/>
          <w:szCs w:val="24"/>
          <w:lang w:val="en-US"/>
        </w:rPr>
        <w:t xml:space="preserve">s soon as possible (7 </w:t>
      </w:r>
      <w:r w:rsidR="00A67860">
        <w:rPr>
          <w:rFonts w:ascii="Times New Roman" w:hAnsi="Times New Roman" w:cs="Times New Roman"/>
          <w:sz w:val="24"/>
          <w:szCs w:val="24"/>
          <w:lang w:val="en-US"/>
        </w:rPr>
        <w:t>Ch</w:t>
      </w:r>
      <w:r w:rsidR="00497B3B" w:rsidRPr="007B140B">
        <w:rPr>
          <w:rFonts w:ascii="Times New Roman" w:hAnsi="Times New Roman" w:cs="Times New Roman"/>
          <w:sz w:val="24"/>
          <w:szCs w:val="24"/>
          <w:lang w:val="en-US"/>
        </w:rPr>
        <w:t>. 1 §,</w:t>
      </w:r>
      <w:r w:rsidRPr="007B140B">
        <w:rPr>
          <w:rFonts w:ascii="Times New Roman" w:hAnsi="Times New Roman" w:cs="Times New Roman"/>
          <w:sz w:val="24"/>
          <w:szCs w:val="24"/>
          <w:lang w:val="en-US"/>
        </w:rPr>
        <w:t xml:space="preserve"> 8 </w:t>
      </w:r>
      <w:r w:rsidR="00A67860">
        <w:rPr>
          <w:rFonts w:ascii="Times New Roman" w:hAnsi="Times New Roman" w:cs="Times New Roman"/>
          <w:sz w:val="24"/>
          <w:szCs w:val="24"/>
          <w:lang w:val="en-US"/>
        </w:rPr>
        <w:t>Ch</w:t>
      </w:r>
      <w:r w:rsidRPr="007B140B">
        <w:rPr>
          <w:rFonts w:ascii="Times New Roman" w:hAnsi="Times New Roman" w:cs="Times New Roman"/>
          <w:sz w:val="24"/>
          <w:szCs w:val="24"/>
          <w:lang w:val="en-US"/>
        </w:rPr>
        <w:t>. 2 §)</w:t>
      </w:r>
      <w:r w:rsidR="00B82B8F" w:rsidRPr="007B140B">
        <w:rPr>
          <w:rFonts w:ascii="Times New Roman" w:hAnsi="Times New Roman" w:cs="Times New Roman"/>
          <w:sz w:val="24"/>
          <w:szCs w:val="24"/>
          <w:lang w:val="en-US"/>
        </w:rPr>
        <w:t>.</w:t>
      </w:r>
      <w:r w:rsidRPr="007B140B">
        <w:rPr>
          <w:rFonts w:ascii="Times New Roman" w:hAnsi="Times New Roman" w:cs="Times New Roman"/>
          <w:sz w:val="24"/>
          <w:szCs w:val="24"/>
          <w:lang w:val="en-US"/>
        </w:rPr>
        <w:fldChar w:fldCharType="begin" w:fldLock="1"/>
      </w:r>
      <w:r w:rsidR="00272560">
        <w:rPr>
          <w:rFonts w:ascii="Times New Roman" w:hAnsi="Times New Roman" w:cs="Times New Roman"/>
          <w:sz w:val="24"/>
          <w:szCs w:val="24"/>
          <w:lang w:val="en-US"/>
        </w:rPr>
        <w:instrText>ADDIN CSL_CITATION {"citationItems":[{"id":"ITEM-1","itemData":{"id":"ITEM-1","issued":{"date-parts":[["0"]]},"title":"Läkemedelsverkets föreskrifter (LVFS 2011:19) om kliniska läkemedelsprövningar på människor","type":"article"},"uris":["http://www.mendeley.com/documents/?uuid=1e96a563-be0f-49ca-ab4e-ba2a81c3e339"]}],"mendeley":{"formattedCitation":"&lt;sup&gt;&lt;sup&gt;51&lt;/sup&gt;&lt;/sup&gt;","plainTextFormattedCitation":"51","previouslyFormattedCitation":"&lt;sup&gt;&lt;sup&gt;51&lt;/sup&gt;&lt;/sup&gt;"},"properties":{"noteIndex":0},"schema":"https://github.com/citation-style-language/schema/raw/master/csl-citation.json"}</w:instrText>
      </w:r>
      <w:r w:rsidRPr="007B140B">
        <w:rPr>
          <w:rFonts w:ascii="Times New Roman" w:hAnsi="Times New Roman" w:cs="Times New Roman"/>
          <w:sz w:val="24"/>
          <w:szCs w:val="24"/>
          <w:lang w:val="en-US"/>
        </w:rPr>
        <w:fldChar w:fldCharType="separate"/>
      </w:r>
      <w:r w:rsidR="0081127D" w:rsidRPr="0081127D">
        <w:rPr>
          <w:rFonts w:ascii="Times New Roman" w:hAnsi="Times New Roman" w:cs="Times New Roman"/>
          <w:noProof/>
          <w:sz w:val="24"/>
          <w:szCs w:val="24"/>
          <w:vertAlign w:val="superscript"/>
          <w:lang w:val="en-US"/>
        </w:rPr>
        <w:t>51</w:t>
      </w:r>
      <w:r w:rsidRPr="007B140B">
        <w:rPr>
          <w:rFonts w:ascii="Times New Roman" w:hAnsi="Times New Roman" w:cs="Times New Roman"/>
          <w:sz w:val="24"/>
          <w:szCs w:val="24"/>
          <w:lang w:val="en-US"/>
        </w:rPr>
        <w:fldChar w:fldCharType="end"/>
      </w:r>
      <w:r w:rsidR="00B82B8F" w:rsidRPr="007B140B">
        <w:rPr>
          <w:rFonts w:ascii="Times New Roman" w:hAnsi="Times New Roman" w:cs="Times New Roman"/>
          <w:sz w:val="24"/>
          <w:szCs w:val="24"/>
          <w:lang w:val="en-US"/>
        </w:rPr>
        <w:t xml:space="preserve"> </w:t>
      </w:r>
      <w:r w:rsidR="00F020C3" w:rsidRPr="007B140B">
        <w:rPr>
          <w:rFonts w:ascii="Times New Roman" w:hAnsi="Times New Roman" w:cs="Times New Roman"/>
          <w:sz w:val="24"/>
          <w:szCs w:val="24"/>
          <w:lang w:val="en-US"/>
        </w:rPr>
        <w:t xml:space="preserve">The opinions of </w:t>
      </w:r>
      <w:r w:rsidR="00EE7152" w:rsidRPr="007B140B">
        <w:rPr>
          <w:rFonts w:ascii="Times New Roman" w:hAnsi="Times New Roman" w:cs="Times New Roman"/>
          <w:sz w:val="24"/>
          <w:szCs w:val="24"/>
          <w:lang w:val="en-US"/>
        </w:rPr>
        <w:t xml:space="preserve">all </w:t>
      </w:r>
      <w:r w:rsidR="00B82B8F" w:rsidRPr="007B140B">
        <w:rPr>
          <w:rFonts w:ascii="Times New Roman" w:hAnsi="Times New Roman" w:cs="Times New Roman"/>
          <w:sz w:val="24"/>
          <w:szCs w:val="24"/>
          <w:lang w:val="en-US"/>
        </w:rPr>
        <w:t xml:space="preserve">principal </w:t>
      </w:r>
      <w:r w:rsidR="00F020C3" w:rsidRPr="007B140B">
        <w:rPr>
          <w:rFonts w:ascii="Times New Roman" w:hAnsi="Times New Roman" w:cs="Times New Roman"/>
          <w:sz w:val="24"/>
          <w:szCs w:val="24"/>
          <w:lang w:val="en-US"/>
        </w:rPr>
        <w:t xml:space="preserve">investigators will be sought before </w:t>
      </w:r>
      <w:r w:rsidR="00FB5AA1" w:rsidRPr="007B140B">
        <w:rPr>
          <w:rFonts w:ascii="Times New Roman" w:hAnsi="Times New Roman" w:cs="Times New Roman"/>
          <w:sz w:val="24"/>
          <w:szCs w:val="24"/>
          <w:lang w:val="en-US"/>
        </w:rPr>
        <w:t xml:space="preserve">substantial </w:t>
      </w:r>
      <w:r w:rsidR="00F020C3" w:rsidRPr="007B140B">
        <w:rPr>
          <w:rFonts w:ascii="Times New Roman" w:hAnsi="Times New Roman" w:cs="Times New Roman"/>
          <w:sz w:val="24"/>
          <w:szCs w:val="24"/>
          <w:lang w:val="en-US"/>
        </w:rPr>
        <w:t>changes are made</w:t>
      </w:r>
      <w:r w:rsidR="006E2FB0" w:rsidRPr="007B140B">
        <w:rPr>
          <w:rFonts w:ascii="Times New Roman" w:hAnsi="Times New Roman" w:cs="Times New Roman"/>
          <w:sz w:val="24"/>
          <w:szCs w:val="24"/>
          <w:lang w:val="en-US"/>
        </w:rPr>
        <w:t>. T</w:t>
      </w:r>
      <w:r w:rsidR="00E26D8C" w:rsidRPr="007B140B">
        <w:rPr>
          <w:rFonts w:ascii="Times New Roman" w:hAnsi="Times New Roman" w:cs="Times New Roman"/>
          <w:sz w:val="24"/>
          <w:szCs w:val="24"/>
          <w:lang w:val="en-US"/>
        </w:rPr>
        <w:t xml:space="preserve">he sponsor will ensure that principal investigators </w:t>
      </w:r>
      <w:r w:rsidR="006E2FB0" w:rsidRPr="007B140B">
        <w:rPr>
          <w:rFonts w:ascii="Times New Roman" w:hAnsi="Times New Roman" w:cs="Times New Roman"/>
          <w:sz w:val="24"/>
          <w:szCs w:val="24"/>
          <w:lang w:val="en-US"/>
        </w:rPr>
        <w:t>are aware of approved changes and have access to the latest version of the protocol</w:t>
      </w:r>
      <w:r w:rsidR="00E26D8C" w:rsidRPr="007B140B">
        <w:rPr>
          <w:rFonts w:ascii="Times New Roman" w:hAnsi="Times New Roman" w:cs="Times New Roman"/>
          <w:sz w:val="24"/>
          <w:szCs w:val="24"/>
          <w:lang w:val="en-US"/>
        </w:rPr>
        <w:t>.</w:t>
      </w:r>
    </w:p>
    <w:p w14:paraId="7AC71E07" w14:textId="43E052D1" w:rsidR="004670FC" w:rsidRPr="007B140B" w:rsidRDefault="00F020C3" w:rsidP="00273AA9">
      <w:pPr>
        <w:rPr>
          <w:rFonts w:ascii="Times New Roman" w:hAnsi="Times New Roman" w:cs="Times New Roman"/>
          <w:sz w:val="24"/>
          <w:szCs w:val="24"/>
          <w:lang w:val="en-US"/>
        </w:rPr>
      </w:pPr>
      <w:r w:rsidRPr="007B140B">
        <w:rPr>
          <w:rFonts w:ascii="Times New Roman" w:hAnsi="Times New Roman" w:cs="Times New Roman"/>
          <w:sz w:val="24"/>
          <w:szCs w:val="24"/>
          <w:lang w:val="en-US"/>
        </w:rPr>
        <w:t>N</w:t>
      </w:r>
      <w:r w:rsidR="004670FC" w:rsidRPr="007B140B">
        <w:rPr>
          <w:rFonts w:ascii="Times New Roman" w:hAnsi="Times New Roman" w:cs="Times New Roman"/>
          <w:sz w:val="24"/>
          <w:szCs w:val="24"/>
          <w:lang w:val="en-US"/>
        </w:rPr>
        <w:t xml:space="preserve">on-substantial changes </w:t>
      </w:r>
      <w:r w:rsidR="00612CFE" w:rsidRPr="007B140B">
        <w:rPr>
          <w:rFonts w:ascii="Times New Roman" w:hAnsi="Times New Roman" w:cs="Times New Roman"/>
          <w:sz w:val="24"/>
          <w:szCs w:val="24"/>
          <w:lang w:val="en-US"/>
        </w:rPr>
        <w:t xml:space="preserve">(i.e., small administrative changes) </w:t>
      </w:r>
      <w:r w:rsidR="000803A0" w:rsidRPr="007B140B">
        <w:rPr>
          <w:rFonts w:ascii="Times New Roman" w:hAnsi="Times New Roman" w:cs="Times New Roman"/>
          <w:sz w:val="24"/>
          <w:szCs w:val="24"/>
          <w:lang w:val="en-US"/>
        </w:rPr>
        <w:t xml:space="preserve">require only the approval of the sponsor and </w:t>
      </w:r>
      <w:r w:rsidRPr="007B140B">
        <w:rPr>
          <w:rFonts w:ascii="Times New Roman" w:hAnsi="Times New Roman" w:cs="Times New Roman"/>
          <w:sz w:val="24"/>
          <w:szCs w:val="24"/>
          <w:lang w:val="en-US"/>
        </w:rPr>
        <w:t>will</w:t>
      </w:r>
      <w:r w:rsidR="004670FC" w:rsidRPr="007B140B">
        <w:rPr>
          <w:rFonts w:ascii="Times New Roman" w:hAnsi="Times New Roman" w:cs="Times New Roman"/>
          <w:sz w:val="24"/>
          <w:szCs w:val="24"/>
          <w:lang w:val="en-US"/>
        </w:rPr>
        <w:t xml:space="preserve"> be clearly noted in </w:t>
      </w:r>
      <w:r w:rsidR="00FB5AA1" w:rsidRPr="007B140B">
        <w:rPr>
          <w:rFonts w:ascii="Times New Roman" w:hAnsi="Times New Roman" w:cs="Times New Roman"/>
          <w:sz w:val="24"/>
          <w:szCs w:val="24"/>
          <w:lang w:val="en-US"/>
        </w:rPr>
        <w:t>an</w:t>
      </w:r>
      <w:r w:rsidR="004670FC" w:rsidRPr="007B140B">
        <w:rPr>
          <w:rFonts w:ascii="Times New Roman" w:hAnsi="Times New Roman" w:cs="Times New Roman"/>
          <w:sz w:val="24"/>
          <w:szCs w:val="24"/>
          <w:lang w:val="en-US"/>
        </w:rPr>
        <w:t xml:space="preserve"> amended protocol</w:t>
      </w:r>
      <w:r w:rsidR="00612CFE" w:rsidRPr="007B140B">
        <w:rPr>
          <w:rFonts w:ascii="Times New Roman" w:hAnsi="Times New Roman" w:cs="Times New Roman"/>
          <w:sz w:val="24"/>
          <w:szCs w:val="24"/>
          <w:lang w:val="en-US"/>
        </w:rPr>
        <w:t xml:space="preserve"> </w:t>
      </w:r>
      <w:r w:rsidR="00FB5AA1" w:rsidRPr="007B140B">
        <w:rPr>
          <w:rFonts w:ascii="Times New Roman" w:hAnsi="Times New Roman" w:cs="Times New Roman"/>
          <w:sz w:val="24"/>
          <w:szCs w:val="24"/>
          <w:lang w:val="en-US"/>
        </w:rPr>
        <w:t>and</w:t>
      </w:r>
      <w:r w:rsidR="001C37FF" w:rsidRPr="007B140B">
        <w:rPr>
          <w:rFonts w:ascii="Times New Roman" w:hAnsi="Times New Roman" w:cs="Times New Roman"/>
          <w:sz w:val="24"/>
          <w:szCs w:val="24"/>
          <w:lang w:val="en-US"/>
        </w:rPr>
        <w:t xml:space="preserve"> in the Clinical Study Report</w:t>
      </w:r>
      <w:r w:rsidR="004670FC" w:rsidRPr="007B140B">
        <w:rPr>
          <w:rFonts w:ascii="Times New Roman" w:hAnsi="Times New Roman" w:cs="Times New Roman"/>
          <w:sz w:val="24"/>
          <w:szCs w:val="24"/>
          <w:lang w:val="en-US"/>
        </w:rPr>
        <w:t>.</w:t>
      </w:r>
      <w:r w:rsidR="00842D1D" w:rsidRPr="007B140B">
        <w:rPr>
          <w:rFonts w:ascii="Times New Roman" w:hAnsi="Times New Roman" w:cs="Times New Roman"/>
          <w:sz w:val="24"/>
          <w:szCs w:val="24"/>
          <w:lang w:val="en-US"/>
        </w:rPr>
        <w:t xml:space="preserve"> Non-substantial changes will be reported to the Swedish Medical Products Age</w:t>
      </w:r>
      <w:r w:rsidR="001C37FF" w:rsidRPr="007B140B">
        <w:rPr>
          <w:rFonts w:ascii="Times New Roman" w:hAnsi="Times New Roman" w:cs="Times New Roman"/>
          <w:sz w:val="24"/>
          <w:szCs w:val="24"/>
          <w:lang w:val="en-US"/>
        </w:rPr>
        <w:t>ncy upon End of Trial reporting</w:t>
      </w:r>
      <w:r w:rsidR="00842D1D" w:rsidRPr="007B140B">
        <w:rPr>
          <w:rFonts w:ascii="Times New Roman" w:hAnsi="Times New Roman" w:cs="Times New Roman"/>
          <w:sz w:val="24"/>
          <w:szCs w:val="24"/>
          <w:lang w:val="en-US"/>
        </w:rPr>
        <w:t xml:space="preserve"> or earlier</w:t>
      </w:r>
      <w:r w:rsidR="0004679A">
        <w:rPr>
          <w:rFonts w:ascii="Times New Roman" w:hAnsi="Times New Roman" w:cs="Times New Roman"/>
          <w:sz w:val="24"/>
          <w:szCs w:val="24"/>
          <w:lang w:val="en-US"/>
        </w:rPr>
        <w:t>,</w:t>
      </w:r>
      <w:r w:rsidR="00842D1D" w:rsidRPr="007B140B">
        <w:rPr>
          <w:rFonts w:ascii="Times New Roman" w:hAnsi="Times New Roman" w:cs="Times New Roman"/>
          <w:sz w:val="24"/>
          <w:szCs w:val="24"/>
          <w:lang w:val="en-US"/>
        </w:rPr>
        <w:t xml:space="preserve"> if substantial </w:t>
      </w:r>
      <w:r w:rsidR="000B5FE0">
        <w:rPr>
          <w:rFonts w:ascii="Times New Roman" w:hAnsi="Times New Roman" w:cs="Times New Roman"/>
          <w:sz w:val="24"/>
          <w:szCs w:val="24"/>
          <w:lang w:val="en-US"/>
        </w:rPr>
        <w:t>changes</w:t>
      </w:r>
      <w:r w:rsidR="000B5FE0" w:rsidRPr="007B140B">
        <w:rPr>
          <w:rFonts w:ascii="Times New Roman" w:hAnsi="Times New Roman" w:cs="Times New Roman"/>
          <w:sz w:val="24"/>
          <w:szCs w:val="24"/>
          <w:lang w:val="en-US"/>
        </w:rPr>
        <w:t xml:space="preserve"> </w:t>
      </w:r>
      <w:r w:rsidR="000803A0" w:rsidRPr="007B140B">
        <w:rPr>
          <w:rFonts w:ascii="Times New Roman" w:hAnsi="Times New Roman" w:cs="Times New Roman"/>
          <w:sz w:val="24"/>
          <w:szCs w:val="24"/>
          <w:lang w:val="en-US"/>
        </w:rPr>
        <w:t xml:space="preserve">are </w:t>
      </w:r>
      <w:r w:rsidR="00842D1D" w:rsidRPr="007B140B">
        <w:rPr>
          <w:rFonts w:ascii="Times New Roman" w:hAnsi="Times New Roman" w:cs="Times New Roman"/>
          <w:sz w:val="24"/>
          <w:szCs w:val="24"/>
          <w:lang w:val="en-US"/>
        </w:rPr>
        <w:t>needed.</w:t>
      </w:r>
      <w:r w:rsidR="00E950DE" w:rsidRPr="007B140B">
        <w:rPr>
          <w:rFonts w:ascii="Times New Roman" w:hAnsi="Times New Roman" w:cs="Times New Roman"/>
          <w:sz w:val="24"/>
          <w:szCs w:val="24"/>
          <w:lang w:val="en-US"/>
        </w:rPr>
        <w:fldChar w:fldCharType="begin" w:fldLock="1"/>
      </w:r>
      <w:r w:rsidR="00E85D18">
        <w:rPr>
          <w:rFonts w:ascii="Times New Roman" w:hAnsi="Times New Roman" w:cs="Times New Roman"/>
          <w:sz w:val="24"/>
          <w:szCs w:val="24"/>
          <w:lang w:val="en-US"/>
        </w:rPr>
        <w:instrText>ADDIN CSL_CITATION {"citationItems":[{"id":"ITEM-1","itemData":{"author":[{"dropping-particle":"","family":"Läkemedelsverket","given":"","non-dropping-particle":"","parse-names":false,"suffix":""}],"id":"ITEM-1","issued":{"date-parts":[["2013"]]},"title":"Vägledning till Läkemedelsverkets föreskrifter (LVFS 2011:19) om kliniska läkemedelsprövningar på människor","type":"book"},"uris":["http://www.mendeley.com/documents/?uuid=ba7c2736-94e9-439e-9b46-a0e4a8468adc"]}],"mendeley":{"formattedCitation":"&lt;sup&gt;&lt;sup&gt;65&lt;/sup&gt;&lt;/sup&gt;","plainTextFormattedCitation":"65","previouslyFormattedCitation":"&lt;sup&gt;&lt;sup&gt;66&lt;/sup&gt;&lt;/sup&gt;"},"properties":{"noteIndex":0},"schema":"https://github.com/citation-style-language/schema/raw/master/csl-citation.json"}</w:instrText>
      </w:r>
      <w:r w:rsidR="00E950DE" w:rsidRPr="007B140B">
        <w:rPr>
          <w:rFonts w:ascii="Times New Roman" w:hAnsi="Times New Roman" w:cs="Times New Roman"/>
          <w:sz w:val="24"/>
          <w:szCs w:val="24"/>
          <w:lang w:val="en-US"/>
        </w:rPr>
        <w:fldChar w:fldCharType="separate"/>
      </w:r>
      <w:r w:rsidR="00E85D18" w:rsidRPr="00E85D18">
        <w:rPr>
          <w:rFonts w:ascii="Times New Roman" w:hAnsi="Times New Roman" w:cs="Times New Roman"/>
          <w:noProof/>
          <w:sz w:val="24"/>
          <w:szCs w:val="24"/>
          <w:vertAlign w:val="superscript"/>
          <w:lang w:val="en-US"/>
        </w:rPr>
        <w:t>65</w:t>
      </w:r>
      <w:r w:rsidR="00E950DE" w:rsidRPr="007B140B">
        <w:rPr>
          <w:rFonts w:ascii="Times New Roman" w:hAnsi="Times New Roman" w:cs="Times New Roman"/>
          <w:sz w:val="24"/>
          <w:szCs w:val="24"/>
          <w:lang w:val="en-US"/>
        </w:rPr>
        <w:fldChar w:fldCharType="end"/>
      </w:r>
    </w:p>
    <w:p w14:paraId="08B8CF1A" w14:textId="77777777" w:rsidR="00612CFE" w:rsidRPr="007B140B" w:rsidRDefault="00612CFE" w:rsidP="00273AA9">
      <w:pPr>
        <w:rPr>
          <w:rFonts w:ascii="Times New Roman" w:hAnsi="Times New Roman" w:cs="Times New Roman"/>
          <w:sz w:val="24"/>
          <w:szCs w:val="24"/>
          <w:lang w:val="en-US"/>
        </w:rPr>
      </w:pPr>
    </w:p>
    <w:p w14:paraId="6F333B85" w14:textId="5883DCFC" w:rsidR="00884BA9" w:rsidRPr="007B140B" w:rsidRDefault="00884BA9" w:rsidP="00D36611">
      <w:pPr>
        <w:pStyle w:val="Formatmall3"/>
        <w:rPr>
          <w:rFonts w:cs="Times New Roman"/>
          <w:lang w:val="en-US"/>
        </w:rPr>
      </w:pPr>
      <w:bookmarkStart w:id="107" w:name="_Toc99001446"/>
      <w:r w:rsidRPr="007B140B">
        <w:rPr>
          <w:rFonts w:cs="Times New Roman"/>
          <w:lang w:val="en-US"/>
        </w:rPr>
        <w:t>Informed consent</w:t>
      </w:r>
      <w:bookmarkEnd w:id="107"/>
    </w:p>
    <w:p w14:paraId="7BB1E05A" w14:textId="3B1796C4" w:rsidR="00C87BDC" w:rsidRPr="007B140B" w:rsidRDefault="004670FC" w:rsidP="004670FC">
      <w:p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The principal investigator at each site </w:t>
      </w:r>
      <w:r w:rsidR="00BA0D1F" w:rsidRPr="007B140B">
        <w:rPr>
          <w:rFonts w:ascii="Times New Roman" w:hAnsi="Times New Roman" w:cs="Times New Roman"/>
          <w:sz w:val="24"/>
          <w:szCs w:val="24"/>
          <w:lang w:val="en-US"/>
        </w:rPr>
        <w:t>must</w:t>
      </w:r>
      <w:r w:rsidRPr="007B140B">
        <w:rPr>
          <w:rFonts w:ascii="Times New Roman" w:hAnsi="Times New Roman" w:cs="Times New Roman"/>
          <w:sz w:val="24"/>
          <w:szCs w:val="24"/>
          <w:lang w:val="en-US"/>
        </w:rPr>
        <w:t xml:space="preserve"> ensure that </w:t>
      </w:r>
      <w:r w:rsidR="00BA0D1F" w:rsidRPr="007B140B">
        <w:rPr>
          <w:rFonts w:ascii="Times New Roman" w:hAnsi="Times New Roman" w:cs="Times New Roman"/>
          <w:sz w:val="24"/>
          <w:szCs w:val="24"/>
          <w:lang w:val="en-US"/>
        </w:rPr>
        <w:t>participants are</w:t>
      </w:r>
      <w:r w:rsidR="007D1F61" w:rsidRPr="007B140B">
        <w:rPr>
          <w:rFonts w:ascii="Times New Roman" w:hAnsi="Times New Roman" w:cs="Times New Roman"/>
          <w:sz w:val="24"/>
          <w:szCs w:val="24"/>
          <w:lang w:val="en-US"/>
        </w:rPr>
        <w:t xml:space="preserve"> given </w:t>
      </w:r>
      <w:r w:rsidRPr="007B140B">
        <w:rPr>
          <w:rFonts w:ascii="Times New Roman" w:hAnsi="Times New Roman" w:cs="Times New Roman"/>
          <w:sz w:val="24"/>
          <w:szCs w:val="24"/>
          <w:lang w:val="en-US"/>
        </w:rPr>
        <w:t>adequate oral and writt</w:t>
      </w:r>
      <w:r w:rsidR="00C87BDC" w:rsidRPr="007B140B">
        <w:rPr>
          <w:rFonts w:ascii="Times New Roman" w:hAnsi="Times New Roman" w:cs="Times New Roman"/>
          <w:sz w:val="24"/>
          <w:szCs w:val="24"/>
          <w:lang w:val="en-US"/>
        </w:rPr>
        <w:t xml:space="preserve">en information about the study. </w:t>
      </w:r>
      <w:r w:rsidR="00FB3B68" w:rsidRPr="007B140B">
        <w:rPr>
          <w:rFonts w:ascii="Times New Roman" w:hAnsi="Times New Roman" w:cs="Times New Roman"/>
          <w:sz w:val="24"/>
          <w:szCs w:val="24"/>
          <w:lang w:val="en-US"/>
        </w:rPr>
        <w:t xml:space="preserve">Participants should </w:t>
      </w:r>
      <w:r w:rsidR="00EB500B" w:rsidRPr="007B140B">
        <w:rPr>
          <w:rFonts w:ascii="Times New Roman" w:hAnsi="Times New Roman" w:cs="Times New Roman"/>
          <w:sz w:val="24"/>
          <w:szCs w:val="24"/>
          <w:lang w:val="en-US"/>
        </w:rPr>
        <w:t xml:space="preserve">be </w:t>
      </w:r>
      <w:r w:rsidR="00B30A5C" w:rsidRPr="007B140B">
        <w:rPr>
          <w:rFonts w:ascii="Times New Roman" w:hAnsi="Times New Roman" w:cs="Times New Roman"/>
          <w:sz w:val="24"/>
          <w:szCs w:val="24"/>
          <w:lang w:val="en-US"/>
        </w:rPr>
        <w:t>given</w:t>
      </w:r>
      <w:r w:rsidR="00EB500B" w:rsidRPr="007B140B">
        <w:rPr>
          <w:rFonts w:ascii="Times New Roman" w:hAnsi="Times New Roman" w:cs="Times New Roman"/>
          <w:sz w:val="24"/>
          <w:szCs w:val="24"/>
          <w:lang w:val="en-US"/>
        </w:rPr>
        <w:t xml:space="preserve"> time to consider the information provided and </w:t>
      </w:r>
      <w:r w:rsidR="006F64CA">
        <w:rPr>
          <w:rFonts w:ascii="Times New Roman" w:hAnsi="Times New Roman" w:cs="Times New Roman"/>
          <w:sz w:val="24"/>
          <w:szCs w:val="24"/>
          <w:lang w:val="en-US"/>
        </w:rPr>
        <w:t xml:space="preserve">an </w:t>
      </w:r>
      <w:r w:rsidR="00FB3B68" w:rsidRPr="007B140B">
        <w:rPr>
          <w:rFonts w:ascii="Times New Roman" w:hAnsi="Times New Roman" w:cs="Times New Roman"/>
          <w:sz w:val="24"/>
          <w:szCs w:val="24"/>
          <w:lang w:val="en-US"/>
        </w:rPr>
        <w:t xml:space="preserve">opportunity to ask questions. </w:t>
      </w:r>
      <w:r w:rsidR="00C87BDC" w:rsidRPr="007B140B">
        <w:rPr>
          <w:rFonts w:ascii="Times New Roman" w:hAnsi="Times New Roman" w:cs="Times New Roman"/>
          <w:sz w:val="24"/>
          <w:szCs w:val="24"/>
          <w:lang w:val="en-US"/>
        </w:rPr>
        <w:t>The written patient information</w:t>
      </w:r>
      <w:r w:rsidR="001E240E">
        <w:rPr>
          <w:rFonts w:ascii="Times New Roman" w:hAnsi="Times New Roman" w:cs="Times New Roman"/>
          <w:sz w:val="24"/>
          <w:szCs w:val="24"/>
          <w:lang w:val="en-US"/>
        </w:rPr>
        <w:t xml:space="preserve">, </w:t>
      </w:r>
      <w:r w:rsidR="00FF6930">
        <w:rPr>
          <w:rFonts w:ascii="Times New Roman" w:hAnsi="Times New Roman" w:cs="Times New Roman"/>
          <w:sz w:val="24"/>
          <w:szCs w:val="24"/>
          <w:lang w:val="en-US"/>
        </w:rPr>
        <w:t xml:space="preserve">the online informational video, and </w:t>
      </w:r>
      <w:r w:rsidR="001E240E">
        <w:rPr>
          <w:rFonts w:ascii="Times New Roman" w:hAnsi="Times New Roman" w:cs="Times New Roman"/>
          <w:sz w:val="24"/>
          <w:szCs w:val="24"/>
          <w:lang w:val="en-US"/>
        </w:rPr>
        <w:t>the</w:t>
      </w:r>
      <w:r w:rsidR="00C87BDC" w:rsidRPr="007B140B">
        <w:rPr>
          <w:rFonts w:ascii="Times New Roman" w:hAnsi="Times New Roman" w:cs="Times New Roman"/>
          <w:sz w:val="24"/>
          <w:szCs w:val="24"/>
          <w:lang w:val="en-US"/>
        </w:rPr>
        <w:t xml:space="preserve"> informed consent form</w:t>
      </w:r>
      <w:r w:rsidR="00FF6930">
        <w:rPr>
          <w:rFonts w:ascii="Times New Roman" w:hAnsi="Times New Roman" w:cs="Times New Roman"/>
          <w:sz w:val="24"/>
          <w:szCs w:val="24"/>
          <w:lang w:val="en-US"/>
        </w:rPr>
        <w:t xml:space="preserve"> </w:t>
      </w:r>
      <w:r w:rsidR="00C87BDC" w:rsidRPr="007B140B">
        <w:rPr>
          <w:rFonts w:ascii="Times New Roman" w:hAnsi="Times New Roman" w:cs="Times New Roman"/>
          <w:sz w:val="24"/>
          <w:szCs w:val="24"/>
          <w:lang w:val="en-US"/>
        </w:rPr>
        <w:t>will be approved by the Swedish Ethical Review Authority.</w:t>
      </w:r>
      <w:r w:rsidR="007D1F61" w:rsidRPr="007B140B">
        <w:rPr>
          <w:rFonts w:ascii="Times New Roman" w:hAnsi="Times New Roman" w:cs="Times New Roman"/>
          <w:sz w:val="24"/>
          <w:szCs w:val="24"/>
          <w:lang w:val="en-US"/>
        </w:rPr>
        <w:t xml:space="preserve"> </w:t>
      </w:r>
      <w:r w:rsidR="00FF6930">
        <w:rPr>
          <w:rFonts w:ascii="Times New Roman" w:hAnsi="Times New Roman" w:cs="Times New Roman"/>
          <w:sz w:val="24"/>
          <w:szCs w:val="24"/>
          <w:lang w:val="en-US"/>
        </w:rPr>
        <w:t>T</w:t>
      </w:r>
      <w:r w:rsidR="007D1F61" w:rsidRPr="007B140B">
        <w:rPr>
          <w:rFonts w:ascii="Times New Roman" w:hAnsi="Times New Roman" w:cs="Times New Roman"/>
          <w:sz w:val="24"/>
          <w:szCs w:val="24"/>
          <w:lang w:val="en-US"/>
        </w:rPr>
        <w:t>hese documents</w:t>
      </w:r>
      <w:r w:rsidR="009F49C5" w:rsidRPr="007B140B">
        <w:rPr>
          <w:rFonts w:ascii="Times New Roman" w:hAnsi="Times New Roman" w:cs="Times New Roman"/>
          <w:sz w:val="24"/>
          <w:szCs w:val="24"/>
          <w:lang w:val="en-US"/>
        </w:rPr>
        <w:t xml:space="preserve"> </w:t>
      </w:r>
      <w:r w:rsidR="007D1F61" w:rsidRPr="007B140B">
        <w:rPr>
          <w:rFonts w:ascii="Times New Roman" w:hAnsi="Times New Roman" w:cs="Times New Roman"/>
          <w:sz w:val="24"/>
          <w:szCs w:val="24"/>
          <w:lang w:val="en-US"/>
        </w:rPr>
        <w:t>will</w:t>
      </w:r>
      <w:r w:rsidR="009F49C5" w:rsidRPr="007B140B">
        <w:rPr>
          <w:rFonts w:ascii="Times New Roman" w:hAnsi="Times New Roman" w:cs="Times New Roman"/>
          <w:sz w:val="24"/>
          <w:szCs w:val="24"/>
          <w:lang w:val="en-US"/>
        </w:rPr>
        <w:t xml:space="preserve"> be appended to the Clinical Study Report.</w:t>
      </w:r>
    </w:p>
    <w:p w14:paraId="37C3F61D" w14:textId="21FD5BDB" w:rsidR="004670FC" w:rsidRPr="007B140B" w:rsidRDefault="004670FC" w:rsidP="004670FC">
      <w:p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If </w:t>
      </w:r>
      <w:r w:rsidR="00AB0DFE" w:rsidRPr="007B140B">
        <w:rPr>
          <w:rFonts w:ascii="Times New Roman" w:hAnsi="Times New Roman" w:cs="Times New Roman"/>
          <w:sz w:val="24"/>
          <w:szCs w:val="24"/>
          <w:lang w:val="en-US"/>
        </w:rPr>
        <w:t>a</w:t>
      </w:r>
      <w:r w:rsidRPr="007B140B">
        <w:rPr>
          <w:rFonts w:ascii="Times New Roman" w:hAnsi="Times New Roman" w:cs="Times New Roman"/>
          <w:sz w:val="24"/>
          <w:szCs w:val="24"/>
          <w:lang w:val="en-US"/>
        </w:rPr>
        <w:t xml:space="preserve"> </w:t>
      </w:r>
      <w:r w:rsidR="00EB500B" w:rsidRPr="007B140B">
        <w:rPr>
          <w:rFonts w:ascii="Times New Roman" w:hAnsi="Times New Roman" w:cs="Times New Roman"/>
          <w:sz w:val="24"/>
          <w:szCs w:val="24"/>
          <w:lang w:val="en-US"/>
        </w:rPr>
        <w:t>patient</w:t>
      </w:r>
      <w:r w:rsidRPr="007B140B">
        <w:rPr>
          <w:rFonts w:ascii="Times New Roman" w:hAnsi="Times New Roman" w:cs="Times New Roman"/>
          <w:sz w:val="24"/>
          <w:szCs w:val="24"/>
          <w:lang w:val="en-US"/>
        </w:rPr>
        <w:t xml:space="preserve"> chooses to participate, both </w:t>
      </w:r>
      <w:r w:rsidR="008715F7" w:rsidRPr="007B140B">
        <w:rPr>
          <w:rFonts w:ascii="Times New Roman" w:hAnsi="Times New Roman" w:cs="Times New Roman"/>
          <w:sz w:val="24"/>
          <w:szCs w:val="24"/>
          <w:lang w:val="en-US"/>
        </w:rPr>
        <w:t xml:space="preserve">the </w:t>
      </w:r>
      <w:r w:rsidR="005D22D2">
        <w:rPr>
          <w:rFonts w:ascii="Times New Roman" w:hAnsi="Times New Roman" w:cs="Times New Roman"/>
          <w:sz w:val="24"/>
          <w:szCs w:val="24"/>
          <w:lang w:val="en-US"/>
        </w:rPr>
        <w:t>patient</w:t>
      </w:r>
      <w:r w:rsidR="005D22D2" w:rsidRPr="007B140B">
        <w:rPr>
          <w:rFonts w:ascii="Times New Roman" w:hAnsi="Times New Roman" w:cs="Times New Roman"/>
          <w:sz w:val="24"/>
          <w:szCs w:val="24"/>
          <w:lang w:val="en-US"/>
        </w:rPr>
        <w:t xml:space="preserve"> </w:t>
      </w:r>
      <w:r w:rsidRPr="007B140B">
        <w:rPr>
          <w:rFonts w:ascii="Times New Roman" w:hAnsi="Times New Roman" w:cs="Times New Roman"/>
          <w:sz w:val="24"/>
          <w:szCs w:val="24"/>
          <w:lang w:val="en-US"/>
        </w:rPr>
        <w:t xml:space="preserve">and the investigator </w:t>
      </w:r>
      <w:r w:rsidR="00FD0BE8" w:rsidRPr="007B140B">
        <w:rPr>
          <w:rFonts w:ascii="Times New Roman" w:hAnsi="Times New Roman" w:cs="Times New Roman"/>
          <w:sz w:val="24"/>
          <w:szCs w:val="24"/>
          <w:lang w:val="en-US"/>
        </w:rPr>
        <w:t>will</w:t>
      </w:r>
      <w:r w:rsidRPr="007B140B">
        <w:rPr>
          <w:rFonts w:ascii="Times New Roman" w:hAnsi="Times New Roman" w:cs="Times New Roman"/>
          <w:sz w:val="24"/>
          <w:szCs w:val="24"/>
          <w:lang w:val="en-US"/>
        </w:rPr>
        <w:t xml:space="preserve"> sign the informed consent form. </w:t>
      </w:r>
      <w:r w:rsidR="00AB70C9" w:rsidRPr="007B140B">
        <w:rPr>
          <w:rFonts w:ascii="Times New Roman" w:hAnsi="Times New Roman" w:cs="Times New Roman"/>
          <w:sz w:val="24"/>
          <w:szCs w:val="24"/>
          <w:lang w:val="en-US"/>
        </w:rPr>
        <w:t xml:space="preserve">The </w:t>
      </w:r>
      <w:r w:rsidR="005D22D2">
        <w:rPr>
          <w:rFonts w:ascii="Times New Roman" w:hAnsi="Times New Roman" w:cs="Times New Roman"/>
          <w:sz w:val="24"/>
          <w:szCs w:val="24"/>
          <w:lang w:val="en-US"/>
        </w:rPr>
        <w:t>patient</w:t>
      </w:r>
      <w:r w:rsidR="005D22D2" w:rsidRPr="007B140B">
        <w:rPr>
          <w:rFonts w:ascii="Times New Roman" w:hAnsi="Times New Roman" w:cs="Times New Roman"/>
          <w:sz w:val="24"/>
          <w:szCs w:val="24"/>
          <w:lang w:val="en-US"/>
        </w:rPr>
        <w:t xml:space="preserve"> </w:t>
      </w:r>
      <w:r w:rsidR="00AB70C9" w:rsidRPr="007B140B">
        <w:rPr>
          <w:rFonts w:ascii="Times New Roman" w:hAnsi="Times New Roman" w:cs="Times New Roman"/>
          <w:sz w:val="24"/>
          <w:szCs w:val="24"/>
          <w:lang w:val="en-US"/>
        </w:rPr>
        <w:t>should receive a</w:t>
      </w:r>
      <w:r w:rsidRPr="007B140B">
        <w:rPr>
          <w:rFonts w:ascii="Times New Roman" w:hAnsi="Times New Roman" w:cs="Times New Roman"/>
          <w:sz w:val="24"/>
          <w:szCs w:val="24"/>
          <w:lang w:val="en-US"/>
        </w:rPr>
        <w:t xml:space="preserve"> copy of the </w:t>
      </w:r>
      <w:r w:rsidR="00FD0BE8" w:rsidRPr="007B140B">
        <w:rPr>
          <w:rFonts w:ascii="Times New Roman" w:hAnsi="Times New Roman" w:cs="Times New Roman"/>
          <w:sz w:val="24"/>
          <w:szCs w:val="24"/>
          <w:lang w:val="en-US"/>
        </w:rPr>
        <w:t>written information a</w:t>
      </w:r>
      <w:r w:rsidR="00AB70C9" w:rsidRPr="007B140B">
        <w:rPr>
          <w:rFonts w:ascii="Times New Roman" w:hAnsi="Times New Roman" w:cs="Times New Roman"/>
          <w:sz w:val="24"/>
          <w:szCs w:val="24"/>
          <w:lang w:val="en-US"/>
        </w:rPr>
        <w:t>nd</w:t>
      </w:r>
      <w:r w:rsidRPr="007B140B">
        <w:rPr>
          <w:rFonts w:ascii="Times New Roman" w:hAnsi="Times New Roman" w:cs="Times New Roman"/>
          <w:sz w:val="24"/>
          <w:szCs w:val="24"/>
          <w:lang w:val="en-US"/>
        </w:rPr>
        <w:t xml:space="preserve"> the informed consent form. </w:t>
      </w:r>
      <w:r w:rsidR="008715F7" w:rsidRPr="007B140B">
        <w:rPr>
          <w:rFonts w:ascii="Times New Roman" w:hAnsi="Times New Roman" w:cs="Times New Roman"/>
          <w:sz w:val="24"/>
          <w:szCs w:val="24"/>
          <w:lang w:val="en-US"/>
        </w:rPr>
        <w:t xml:space="preserve">The </w:t>
      </w:r>
      <w:r w:rsidRPr="007B140B">
        <w:rPr>
          <w:rFonts w:ascii="Times New Roman" w:hAnsi="Times New Roman" w:cs="Times New Roman"/>
          <w:sz w:val="24"/>
          <w:szCs w:val="24"/>
          <w:lang w:val="en-US"/>
        </w:rPr>
        <w:t xml:space="preserve">informed consent </w:t>
      </w:r>
      <w:r w:rsidR="008715F7" w:rsidRPr="007B140B">
        <w:rPr>
          <w:rFonts w:ascii="Times New Roman" w:hAnsi="Times New Roman" w:cs="Times New Roman"/>
          <w:sz w:val="24"/>
          <w:szCs w:val="24"/>
          <w:lang w:val="en-US"/>
        </w:rPr>
        <w:t xml:space="preserve">form </w:t>
      </w:r>
      <w:r w:rsidRPr="007B140B">
        <w:rPr>
          <w:rFonts w:ascii="Times New Roman" w:hAnsi="Times New Roman" w:cs="Times New Roman"/>
          <w:sz w:val="24"/>
          <w:szCs w:val="24"/>
          <w:lang w:val="en-US"/>
        </w:rPr>
        <w:t xml:space="preserve">must be </w:t>
      </w:r>
      <w:r w:rsidR="008715F7" w:rsidRPr="007B140B">
        <w:rPr>
          <w:rFonts w:ascii="Times New Roman" w:hAnsi="Times New Roman" w:cs="Times New Roman"/>
          <w:sz w:val="24"/>
          <w:szCs w:val="24"/>
          <w:lang w:val="en-US"/>
        </w:rPr>
        <w:t xml:space="preserve">signed </w:t>
      </w:r>
      <w:r w:rsidRPr="007B140B">
        <w:rPr>
          <w:rFonts w:ascii="Times New Roman" w:hAnsi="Times New Roman" w:cs="Times New Roman"/>
          <w:sz w:val="24"/>
          <w:szCs w:val="24"/>
          <w:lang w:val="en-US"/>
        </w:rPr>
        <w:t>before any study-specific activity</w:t>
      </w:r>
      <w:r w:rsidR="008715F7" w:rsidRPr="007B140B">
        <w:rPr>
          <w:rFonts w:ascii="Times New Roman" w:hAnsi="Times New Roman" w:cs="Times New Roman"/>
          <w:sz w:val="24"/>
          <w:szCs w:val="24"/>
          <w:lang w:val="en-US"/>
        </w:rPr>
        <w:t xml:space="preserve"> is performed</w:t>
      </w:r>
      <w:r w:rsidRPr="007B140B">
        <w:rPr>
          <w:rFonts w:ascii="Times New Roman" w:hAnsi="Times New Roman" w:cs="Times New Roman"/>
          <w:sz w:val="24"/>
          <w:szCs w:val="24"/>
          <w:lang w:val="en-US"/>
        </w:rPr>
        <w:t xml:space="preserve">. </w:t>
      </w:r>
      <w:r w:rsidR="00CE3052" w:rsidRPr="007B140B">
        <w:rPr>
          <w:rFonts w:ascii="Times New Roman" w:eastAsia="Times New Roman" w:hAnsi="Times New Roman" w:cs="Times New Roman"/>
          <w:sz w:val="24"/>
          <w:szCs w:val="24"/>
          <w:lang w:val="en-US" w:eastAsia="sv-SE"/>
        </w:rPr>
        <w:t xml:space="preserve">According to </w:t>
      </w:r>
      <w:r w:rsidR="00CB28FF" w:rsidRPr="007B140B">
        <w:rPr>
          <w:rFonts w:ascii="Times New Roman" w:eastAsia="Times New Roman" w:hAnsi="Times New Roman" w:cs="Times New Roman"/>
          <w:sz w:val="24"/>
          <w:szCs w:val="24"/>
          <w:lang w:val="en-US" w:eastAsia="sv-SE"/>
        </w:rPr>
        <w:t>Swedish regulations,</w:t>
      </w:r>
      <w:r w:rsidR="00CE3052" w:rsidRPr="007B140B">
        <w:rPr>
          <w:rFonts w:ascii="Times New Roman" w:eastAsia="Times New Roman" w:hAnsi="Times New Roman" w:cs="Times New Roman"/>
          <w:sz w:val="24"/>
          <w:szCs w:val="24"/>
          <w:lang w:val="en-US" w:eastAsia="sv-SE"/>
        </w:rPr>
        <w:fldChar w:fldCharType="begin" w:fldLock="1"/>
      </w:r>
      <w:r w:rsidR="00E85D18">
        <w:rPr>
          <w:rFonts w:ascii="Times New Roman" w:eastAsia="Times New Roman" w:hAnsi="Times New Roman" w:cs="Times New Roman"/>
          <w:sz w:val="24"/>
          <w:szCs w:val="24"/>
          <w:lang w:val="en-US" w:eastAsia="sv-SE"/>
        </w:rPr>
        <w:instrText>ADDIN CSL_CITATION {"citationItems":[{"id":"ITEM-1","itemData":{"author":[{"dropping-particle":"","family":"Läkemedelsverket","given":"","non-dropping-particle":"","parse-names":false,"suffix":""}],"id":"ITEM-1","issued":{"date-parts":[["2013"]]},"title":"Vägledning till Läkemedelsverkets föreskrifter (LVFS 2011:19) om kliniska läkemedelsprövningar på människor","type":"book"},"uris":["http://www.mendeley.com/documents/?uuid=ba7c2736-94e9-439e-9b46-a0e4a8468adc"]}],"mendeley":{"formattedCitation":"&lt;sup&gt;&lt;sup&gt;65&lt;/sup&gt;&lt;/sup&gt;","plainTextFormattedCitation":"65","previouslyFormattedCitation":"&lt;sup&gt;&lt;sup&gt;66&lt;/sup&gt;&lt;/sup&gt;"},"properties":{"noteIndex":0},"schema":"https://github.com/citation-style-language/schema/raw/master/csl-citation.json"}</w:instrText>
      </w:r>
      <w:r w:rsidR="00CE3052" w:rsidRPr="007B140B">
        <w:rPr>
          <w:rFonts w:ascii="Times New Roman" w:eastAsia="Times New Roman" w:hAnsi="Times New Roman" w:cs="Times New Roman"/>
          <w:sz w:val="24"/>
          <w:szCs w:val="24"/>
          <w:lang w:val="en-US" w:eastAsia="sv-SE"/>
        </w:rPr>
        <w:fldChar w:fldCharType="separate"/>
      </w:r>
      <w:r w:rsidR="00E85D18" w:rsidRPr="00E85D18">
        <w:rPr>
          <w:rFonts w:ascii="Times New Roman" w:eastAsia="Times New Roman" w:hAnsi="Times New Roman" w:cs="Times New Roman"/>
          <w:noProof/>
          <w:sz w:val="24"/>
          <w:szCs w:val="24"/>
          <w:vertAlign w:val="superscript"/>
          <w:lang w:val="en-US" w:eastAsia="sv-SE"/>
        </w:rPr>
        <w:t>65</w:t>
      </w:r>
      <w:r w:rsidR="00CE3052" w:rsidRPr="007B140B">
        <w:rPr>
          <w:rFonts w:ascii="Times New Roman" w:eastAsia="Times New Roman" w:hAnsi="Times New Roman" w:cs="Times New Roman"/>
          <w:sz w:val="24"/>
          <w:szCs w:val="24"/>
          <w:lang w:val="en-US" w:eastAsia="sv-SE"/>
        </w:rPr>
        <w:fldChar w:fldCharType="end"/>
      </w:r>
      <w:r w:rsidR="00CB28FF" w:rsidRPr="007B140B">
        <w:rPr>
          <w:rFonts w:ascii="Times New Roman" w:eastAsia="Times New Roman" w:hAnsi="Times New Roman" w:cs="Times New Roman"/>
          <w:sz w:val="24"/>
          <w:szCs w:val="24"/>
          <w:lang w:val="en-US" w:eastAsia="sv-SE"/>
        </w:rPr>
        <w:t xml:space="preserve"> informed consent must be </w:t>
      </w:r>
      <w:r w:rsidR="003A25EE">
        <w:rPr>
          <w:rFonts w:ascii="Times New Roman" w:eastAsia="Times New Roman" w:hAnsi="Times New Roman" w:cs="Times New Roman"/>
          <w:sz w:val="24"/>
          <w:szCs w:val="24"/>
          <w:lang w:val="en-US" w:eastAsia="sv-SE"/>
        </w:rPr>
        <w:t>obtained</w:t>
      </w:r>
      <w:r w:rsidR="003A25EE" w:rsidRPr="007B140B">
        <w:rPr>
          <w:rFonts w:ascii="Times New Roman" w:eastAsia="Times New Roman" w:hAnsi="Times New Roman" w:cs="Times New Roman"/>
          <w:sz w:val="24"/>
          <w:szCs w:val="24"/>
          <w:lang w:val="en-US" w:eastAsia="sv-SE"/>
        </w:rPr>
        <w:t xml:space="preserve"> </w:t>
      </w:r>
      <w:r w:rsidR="00CB28FF" w:rsidRPr="007B140B">
        <w:rPr>
          <w:rFonts w:ascii="Times New Roman" w:eastAsia="Times New Roman" w:hAnsi="Times New Roman" w:cs="Times New Roman"/>
          <w:sz w:val="24"/>
          <w:szCs w:val="24"/>
          <w:lang w:val="en-US" w:eastAsia="sv-SE"/>
        </w:rPr>
        <w:t>by</w:t>
      </w:r>
      <w:r w:rsidR="004A4C51">
        <w:rPr>
          <w:rFonts w:ascii="Times New Roman" w:eastAsia="Times New Roman" w:hAnsi="Times New Roman" w:cs="Times New Roman"/>
          <w:sz w:val="24"/>
          <w:szCs w:val="24"/>
          <w:lang w:val="en-US" w:eastAsia="sv-SE"/>
        </w:rPr>
        <w:t xml:space="preserve"> </w:t>
      </w:r>
      <w:r w:rsidR="00DB551D">
        <w:rPr>
          <w:rFonts w:ascii="Times New Roman" w:eastAsia="Times New Roman" w:hAnsi="Times New Roman" w:cs="Times New Roman"/>
          <w:sz w:val="24"/>
          <w:szCs w:val="24"/>
          <w:lang w:val="en-US" w:eastAsia="sv-SE"/>
        </w:rPr>
        <w:t xml:space="preserve">a </w:t>
      </w:r>
      <w:r w:rsidR="00CB28FF" w:rsidRPr="007B140B">
        <w:rPr>
          <w:rFonts w:ascii="Times New Roman" w:eastAsia="Times New Roman" w:hAnsi="Times New Roman" w:cs="Times New Roman"/>
          <w:sz w:val="24"/>
          <w:szCs w:val="24"/>
          <w:lang w:val="en-US" w:eastAsia="sv-SE"/>
        </w:rPr>
        <w:t xml:space="preserve">qualified physician. </w:t>
      </w:r>
      <w:r w:rsidRPr="007B140B">
        <w:rPr>
          <w:rFonts w:ascii="Times New Roman" w:hAnsi="Times New Roman" w:cs="Times New Roman"/>
          <w:sz w:val="24"/>
          <w:szCs w:val="24"/>
          <w:lang w:val="en-US"/>
        </w:rPr>
        <w:t xml:space="preserve">If </w:t>
      </w:r>
      <w:r w:rsidR="001169BC" w:rsidRPr="007B140B">
        <w:rPr>
          <w:rFonts w:ascii="Times New Roman" w:hAnsi="Times New Roman" w:cs="Times New Roman"/>
          <w:sz w:val="24"/>
          <w:szCs w:val="24"/>
          <w:lang w:val="en-US"/>
        </w:rPr>
        <w:t>new information about participants is</w:t>
      </w:r>
      <w:r w:rsidRPr="007B140B">
        <w:rPr>
          <w:rFonts w:ascii="Times New Roman" w:hAnsi="Times New Roman" w:cs="Times New Roman"/>
          <w:sz w:val="24"/>
          <w:szCs w:val="24"/>
          <w:lang w:val="en-US"/>
        </w:rPr>
        <w:t xml:space="preserve"> </w:t>
      </w:r>
      <w:r w:rsidR="001169BC" w:rsidRPr="007B140B">
        <w:rPr>
          <w:rFonts w:ascii="Times New Roman" w:hAnsi="Times New Roman" w:cs="Times New Roman"/>
          <w:sz w:val="24"/>
          <w:szCs w:val="24"/>
          <w:lang w:val="en-US"/>
        </w:rPr>
        <w:t>to be collected</w:t>
      </w:r>
      <w:r w:rsidR="004E4F36" w:rsidRPr="007B140B">
        <w:rPr>
          <w:rFonts w:ascii="Times New Roman" w:hAnsi="Times New Roman" w:cs="Times New Roman"/>
          <w:sz w:val="24"/>
          <w:szCs w:val="24"/>
          <w:lang w:val="en-US"/>
        </w:rPr>
        <w:t xml:space="preserve"> after informed consent has been obtained</w:t>
      </w:r>
      <w:r w:rsidRPr="007B140B">
        <w:rPr>
          <w:rFonts w:ascii="Times New Roman" w:hAnsi="Times New Roman" w:cs="Times New Roman"/>
          <w:sz w:val="24"/>
          <w:szCs w:val="24"/>
          <w:lang w:val="en-US"/>
        </w:rPr>
        <w:t xml:space="preserve">, </w:t>
      </w:r>
      <w:r w:rsidR="001169BC" w:rsidRPr="007B140B">
        <w:rPr>
          <w:rFonts w:ascii="Times New Roman" w:hAnsi="Times New Roman" w:cs="Times New Roman"/>
          <w:sz w:val="24"/>
          <w:szCs w:val="24"/>
          <w:lang w:val="en-US"/>
        </w:rPr>
        <w:t>participants have</w:t>
      </w:r>
      <w:r w:rsidRPr="007B140B">
        <w:rPr>
          <w:rFonts w:ascii="Times New Roman" w:hAnsi="Times New Roman" w:cs="Times New Roman"/>
          <w:sz w:val="24"/>
          <w:szCs w:val="24"/>
          <w:lang w:val="en-US"/>
        </w:rPr>
        <w:t xml:space="preserve"> the right to reconsider whether </w:t>
      </w:r>
      <w:r w:rsidR="001169BC" w:rsidRPr="007B140B">
        <w:rPr>
          <w:rFonts w:ascii="Times New Roman" w:hAnsi="Times New Roman" w:cs="Times New Roman"/>
          <w:sz w:val="24"/>
          <w:szCs w:val="24"/>
          <w:lang w:val="en-US"/>
        </w:rPr>
        <w:t>to</w:t>
      </w:r>
      <w:r w:rsidRPr="007B140B">
        <w:rPr>
          <w:rFonts w:ascii="Times New Roman" w:hAnsi="Times New Roman" w:cs="Times New Roman"/>
          <w:sz w:val="24"/>
          <w:szCs w:val="24"/>
          <w:lang w:val="en-US"/>
        </w:rPr>
        <w:t xml:space="preserve"> continue their participation.</w:t>
      </w:r>
    </w:p>
    <w:p w14:paraId="2EBAC9EE" w14:textId="2E7B1376" w:rsidR="00C87BDC" w:rsidRPr="007B140B" w:rsidRDefault="00C87BDC" w:rsidP="00C87BDC">
      <w:p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Participants will have the right to withdraw from the study at any time, without </w:t>
      </w:r>
      <w:r w:rsidR="00F15D17" w:rsidRPr="007B140B">
        <w:rPr>
          <w:rFonts w:ascii="Times New Roman" w:hAnsi="Times New Roman" w:cs="Times New Roman"/>
          <w:sz w:val="24"/>
          <w:szCs w:val="24"/>
          <w:lang w:val="en-US"/>
        </w:rPr>
        <w:t>justification</w:t>
      </w:r>
      <w:r w:rsidRPr="007B140B">
        <w:rPr>
          <w:rFonts w:ascii="Times New Roman" w:hAnsi="Times New Roman" w:cs="Times New Roman"/>
          <w:sz w:val="24"/>
          <w:szCs w:val="24"/>
          <w:lang w:val="en-US"/>
        </w:rPr>
        <w:t xml:space="preserve">, and without any consequence to </w:t>
      </w:r>
      <w:r w:rsidR="001169BC" w:rsidRPr="007B140B">
        <w:rPr>
          <w:rFonts w:ascii="Times New Roman" w:hAnsi="Times New Roman" w:cs="Times New Roman"/>
          <w:sz w:val="24"/>
          <w:szCs w:val="24"/>
          <w:lang w:val="en-US"/>
        </w:rPr>
        <w:t>their</w:t>
      </w:r>
      <w:r w:rsidRPr="007B140B">
        <w:rPr>
          <w:rFonts w:ascii="Times New Roman" w:hAnsi="Times New Roman" w:cs="Times New Roman"/>
          <w:sz w:val="24"/>
          <w:szCs w:val="24"/>
          <w:lang w:val="en-US"/>
        </w:rPr>
        <w:t xml:space="preserve"> future medical care. </w:t>
      </w:r>
      <w:r w:rsidR="004F73F1">
        <w:rPr>
          <w:rFonts w:ascii="Times New Roman" w:hAnsi="Times New Roman" w:cs="Times New Roman"/>
          <w:sz w:val="24"/>
          <w:szCs w:val="24"/>
          <w:lang w:val="en-US"/>
        </w:rPr>
        <w:t>A</w:t>
      </w:r>
      <w:r w:rsidR="00535273" w:rsidRPr="007B140B">
        <w:rPr>
          <w:rFonts w:ascii="Times New Roman" w:hAnsi="Times New Roman" w:cs="Times New Roman"/>
          <w:sz w:val="24"/>
          <w:szCs w:val="24"/>
          <w:lang w:val="en-US"/>
        </w:rPr>
        <w:t>s recommended by ICH GCP</w:t>
      </w:r>
      <w:r w:rsidR="004F73F1">
        <w:rPr>
          <w:rFonts w:ascii="Times New Roman" w:hAnsi="Times New Roman" w:cs="Times New Roman"/>
          <w:sz w:val="24"/>
          <w:szCs w:val="24"/>
          <w:lang w:val="en-US"/>
        </w:rPr>
        <w:t xml:space="preserve"> however</w:t>
      </w:r>
      <w:r w:rsidR="00535273" w:rsidRPr="007B140B">
        <w:rPr>
          <w:rFonts w:ascii="Times New Roman" w:hAnsi="Times New Roman" w:cs="Times New Roman"/>
          <w:sz w:val="24"/>
          <w:szCs w:val="24"/>
          <w:lang w:val="en-US"/>
        </w:rPr>
        <w:t>,</w:t>
      </w:r>
      <w:r w:rsidR="00535273" w:rsidRPr="007B140B">
        <w:rPr>
          <w:rFonts w:ascii="Times New Roman" w:hAnsi="Times New Roman" w:cs="Times New Roman"/>
          <w:sz w:val="24"/>
          <w:szCs w:val="24"/>
          <w:lang w:val="en-US"/>
        </w:rPr>
        <w:fldChar w:fldCharType="begin" w:fldLock="1"/>
      </w:r>
      <w:r w:rsidR="00272560">
        <w:rPr>
          <w:rFonts w:ascii="Times New Roman" w:hAnsi="Times New Roman" w:cs="Times New Roman"/>
          <w:sz w:val="24"/>
          <w:szCs w:val="24"/>
          <w:lang w:val="en-US"/>
        </w:rPr>
        <w:instrText>ADDIN CSL_CITATION {"citationItems":[{"id":"ITEM-1","itemData":{"author":[{"dropping-particle":"","family":"International Conference on Harmonisation of Technical Requirements for Registration of Pharmaceuticals for Human Use","given":"","non-dropping-particle":"","parse-names":false,"suffix":""}],"id":"ITEM-1","issued":{"date-parts":[["2016"]]},"title":"ICH harmonised guideline E6(R2): integrated addendum to ICH E6(R1): guideline for good clinical practice","type":"book"},"uris":["http://www.mendeley.com/documents/?uuid=e64ecd0c-e131-4d95-b40a-f31ecd63cce2"]}],"mendeley":{"formattedCitation":"&lt;sup&gt;&lt;sup&gt;54&lt;/sup&gt;&lt;/sup&gt;","plainTextFormattedCitation":"54","previouslyFormattedCitation":"&lt;sup&gt;&lt;sup&gt;54&lt;/sup&gt;&lt;/sup&gt;"},"properties":{"noteIndex":0},"schema":"https://github.com/citation-style-language/schema/raw/master/csl-citation.json"}</w:instrText>
      </w:r>
      <w:r w:rsidR="00535273" w:rsidRPr="007B140B">
        <w:rPr>
          <w:rFonts w:ascii="Times New Roman" w:hAnsi="Times New Roman" w:cs="Times New Roman"/>
          <w:sz w:val="24"/>
          <w:szCs w:val="24"/>
          <w:lang w:val="en-US"/>
        </w:rPr>
        <w:fldChar w:fldCharType="separate"/>
      </w:r>
      <w:r w:rsidR="0081127D" w:rsidRPr="0081127D">
        <w:rPr>
          <w:rFonts w:ascii="Times New Roman" w:hAnsi="Times New Roman" w:cs="Times New Roman"/>
          <w:noProof/>
          <w:sz w:val="24"/>
          <w:szCs w:val="24"/>
          <w:vertAlign w:val="superscript"/>
          <w:lang w:val="en-US"/>
        </w:rPr>
        <w:t>54</w:t>
      </w:r>
      <w:r w:rsidR="00535273" w:rsidRPr="007B140B">
        <w:rPr>
          <w:rFonts w:ascii="Times New Roman" w:hAnsi="Times New Roman" w:cs="Times New Roman"/>
          <w:sz w:val="24"/>
          <w:szCs w:val="24"/>
          <w:lang w:val="en-US"/>
        </w:rPr>
        <w:fldChar w:fldCharType="end"/>
      </w:r>
      <w:r w:rsidR="00535273" w:rsidRPr="007B140B">
        <w:rPr>
          <w:rFonts w:ascii="Times New Roman" w:hAnsi="Times New Roman" w:cs="Times New Roman"/>
          <w:sz w:val="24"/>
          <w:szCs w:val="24"/>
          <w:lang w:val="en-US"/>
        </w:rPr>
        <w:t xml:space="preserve"> participants</w:t>
      </w:r>
      <w:r w:rsidRPr="007B140B">
        <w:rPr>
          <w:rFonts w:ascii="Times New Roman" w:hAnsi="Times New Roman" w:cs="Times New Roman"/>
          <w:sz w:val="24"/>
          <w:szCs w:val="24"/>
          <w:lang w:val="en-US"/>
        </w:rPr>
        <w:t xml:space="preserve"> who withdraw will be asked if they </w:t>
      </w:r>
      <w:r w:rsidR="00D762DC" w:rsidRPr="007B140B">
        <w:rPr>
          <w:rFonts w:ascii="Times New Roman" w:hAnsi="Times New Roman" w:cs="Times New Roman"/>
          <w:sz w:val="24"/>
          <w:szCs w:val="24"/>
          <w:lang w:val="en-US"/>
        </w:rPr>
        <w:t>want</w:t>
      </w:r>
      <w:r w:rsidRPr="007B140B">
        <w:rPr>
          <w:rFonts w:ascii="Times New Roman" w:hAnsi="Times New Roman" w:cs="Times New Roman"/>
          <w:sz w:val="24"/>
          <w:szCs w:val="24"/>
          <w:lang w:val="en-US"/>
        </w:rPr>
        <w:t xml:space="preserve"> to </w:t>
      </w:r>
      <w:r w:rsidR="001169BC" w:rsidRPr="007B140B">
        <w:rPr>
          <w:rFonts w:ascii="Times New Roman" w:hAnsi="Times New Roman" w:cs="Times New Roman"/>
          <w:sz w:val="24"/>
          <w:szCs w:val="24"/>
          <w:lang w:val="en-US"/>
        </w:rPr>
        <w:t>provide</w:t>
      </w:r>
      <w:r w:rsidRPr="007B140B">
        <w:rPr>
          <w:rFonts w:ascii="Times New Roman" w:hAnsi="Times New Roman" w:cs="Times New Roman"/>
          <w:sz w:val="24"/>
          <w:szCs w:val="24"/>
          <w:lang w:val="en-US"/>
        </w:rPr>
        <w:t xml:space="preserve"> a reason. Participants who request withdrawal will be given the options of just stopping treatment or </w:t>
      </w:r>
      <w:r w:rsidR="009516E7">
        <w:rPr>
          <w:rFonts w:ascii="Times New Roman" w:hAnsi="Times New Roman" w:cs="Times New Roman"/>
          <w:sz w:val="24"/>
          <w:szCs w:val="24"/>
          <w:lang w:val="en-US"/>
        </w:rPr>
        <w:t xml:space="preserve">of </w:t>
      </w:r>
      <w:r w:rsidRPr="007B140B">
        <w:rPr>
          <w:rFonts w:ascii="Times New Roman" w:hAnsi="Times New Roman" w:cs="Times New Roman"/>
          <w:sz w:val="24"/>
          <w:szCs w:val="24"/>
          <w:lang w:val="en-US"/>
        </w:rPr>
        <w:t xml:space="preserve">stopping both treatment and follow-up. </w:t>
      </w:r>
      <w:r w:rsidR="00FC3CB4">
        <w:rPr>
          <w:rFonts w:ascii="Times New Roman" w:hAnsi="Times New Roman" w:cs="Times New Roman"/>
          <w:sz w:val="24"/>
          <w:szCs w:val="24"/>
          <w:lang w:val="en-US"/>
        </w:rPr>
        <w:t xml:space="preserve">Upon withdrawal, all </w:t>
      </w:r>
      <w:r w:rsidR="00E555CF">
        <w:rPr>
          <w:rFonts w:ascii="Times New Roman" w:hAnsi="Times New Roman" w:cs="Times New Roman"/>
          <w:sz w:val="24"/>
          <w:szCs w:val="24"/>
          <w:lang w:val="en-US"/>
        </w:rPr>
        <w:t xml:space="preserve">participant </w:t>
      </w:r>
      <w:r w:rsidR="00FC3CB4">
        <w:rPr>
          <w:rFonts w:ascii="Times New Roman" w:hAnsi="Times New Roman" w:cs="Times New Roman"/>
          <w:sz w:val="24"/>
          <w:szCs w:val="24"/>
          <w:lang w:val="en-US"/>
        </w:rPr>
        <w:t xml:space="preserve">data that have previously been collected must be retained for archiving purposes. </w:t>
      </w:r>
      <w:r w:rsidRPr="007B140B">
        <w:rPr>
          <w:rFonts w:ascii="Times New Roman" w:hAnsi="Times New Roman" w:cs="Times New Roman"/>
          <w:sz w:val="24"/>
          <w:szCs w:val="24"/>
          <w:lang w:val="en-US"/>
        </w:rPr>
        <w:t>The right to retain research data after participant withdrawal is laid down by Swedish law.</w:t>
      </w:r>
      <w:r w:rsidRPr="007B140B">
        <w:rPr>
          <w:rFonts w:ascii="Times New Roman" w:hAnsi="Times New Roman" w:cs="Times New Roman"/>
          <w:sz w:val="24"/>
          <w:szCs w:val="24"/>
          <w:lang w:val="en-US"/>
        </w:rPr>
        <w:fldChar w:fldCharType="begin" w:fldLock="1"/>
      </w:r>
      <w:r w:rsidR="00E85D18">
        <w:rPr>
          <w:rFonts w:ascii="Times New Roman" w:hAnsi="Times New Roman" w:cs="Times New Roman"/>
          <w:sz w:val="24"/>
          <w:szCs w:val="24"/>
          <w:lang w:val="en-US"/>
        </w:rPr>
        <w:instrText>ADDIN CSL_CITATION {"citationItems":[{"id":"ITEM-1","itemData":{"id":"ITEM-1","issued":{"date-parts":[["0"]]},"title":"Lag (2003:460) om etikprövning av forskning som avser människor","type":"book"},"uris":["http://www.mendeley.com/documents/?uuid=64a2c1cb-4d09-4ef7-9854-a53970f55155"]},{"id":"ITEM-2","itemData":{"id":"ITEM-2","issued":{"date-parts":[["0"]]},"title":"Läkemedelslag (2015:315)","type":"book"},"uris":["http://www.mendeley.com/documents/?uuid=84d4c322-3f4b-47c1-91ea-1cc51bba2000"]}],"mendeley":{"formattedCitation":"&lt;sup&gt;&lt;sup&gt;67&lt;/sup&gt;,&lt;sup&gt;68&lt;/sup&gt;&lt;/sup&gt;","plainTextFormattedCitation":"67,68","previouslyFormattedCitation":"&lt;sup&gt;&lt;sup&gt;68&lt;/sup&gt;,&lt;sup&gt;69&lt;/sup&gt;&lt;/sup&gt;"},"properties":{"noteIndex":0},"schema":"https://github.com/citation-style-language/schema/raw/master/csl-citation.json"}</w:instrText>
      </w:r>
      <w:r w:rsidRPr="007B140B">
        <w:rPr>
          <w:rFonts w:ascii="Times New Roman" w:hAnsi="Times New Roman" w:cs="Times New Roman"/>
          <w:sz w:val="24"/>
          <w:szCs w:val="24"/>
          <w:lang w:val="en-US"/>
        </w:rPr>
        <w:fldChar w:fldCharType="separate"/>
      </w:r>
      <w:r w:rsidR="00E85D18" w:rsidRPr="00E85D18">
        <w:rPr>
          <w:rFonts w:ascii="Times New Roman" w:hAnsi="Times New Roman" w:cs="Times New Roman"/>
          <w:noProof/>
          <w:sz w:val="24"/>
          <w:szCs w:val="24"/>
          <w:vertAlign w:val="superscript"/>
          <w:lang w:val="en-US"/>
        </w:rPr>
        <w:t>67,68</w:t>
      </w:r>
      <w:r w:rsidRPr="007B140B">
        <w:rPr>
          <w:rFonts w:ascii="Times New Roman" w:hAnsi="Times New Roman" w:cs="Times New Roman"/>
          <w:sz w:val="24"/>
          <w:szCs w:val="24"/>
          <w:lang w:val="en-US"/>
        </w:rPr>
        <w:fldChar w:fldCharType="end"/>
      </w:r>
    </w:p>
    <w:p w14:paraId="18F9D943" w14:textId="529F342A" w:rsidR="00C87BDC" w:rsidRPr="007B140B" w:rsidRDefault="00C87BDC" w:rsidP="00273AA9">
      <w:pPr>
        <w:rPr>
          <w:rFonts w:ascii="Times New Roman" w:hAnsi="Times New Roman" w:cs="Times New Roman"/>
          <w:sz w:val="24"/>
          <w:szCs w:val="24"/>
          <w:lang w:val="en-US"/>
        </w:rPr>
      </w:pPr>
    </w:p>
    <w:p w14:paraId="40A10D85" w14:textId="687004E5" w:rsidR="00304185" w:rsidRPr="007B140B" w:rsidRDefault="00304185" w:rsidP="00D36611">
      <w:pPr>
        <w:pStyle w:val="Formatmall3"/>
        <w:rPr>
          <w:rFonts w:cs="Times New Roman"/>
          <w:lang w:val="en-US"/>
        </w:rPr>
      </w:pPr>
      <w:bookmarkStart w:id="108" w:name="_Toc99001447"/>
      <w:r w:rsidRPr="007B140B">
        <w:rPr>
          <w:rFonts w:cs="Times New Roman"/>
          <w:lang w:val="en-US"/>
        </w:rPr>
        <w:lastRenderedPageBreak/>
        <w:t>Medical record</w:t>
      </w:r>
      <w:r w:rsidR="00531E5D" w:rsidRPr="007B140B">
        <w:rPr>
          <w:rFonts w:cs="Times New Roman"/>
          <w:lang w:val="en-US"/>
        </w:rPr>
        <w:t xml:space="preserve"> registration</w:t>
      </w:r>
      <w:bookmarkEnd w:id="108"/>
    </w:p>
    <w:p w14:paraId="675C63CD" w14:textId="7365A7A3" w:rsidR="00304185" w:rsidRPr="007B140B" w:rsidRDefault="00304185" w:rsidP="00304185">
      <w:pPr>
        <w:rPr>
          <w:rFonts w:ascii="Times New Roman" w:eastAsia="Times New Roman" w:hAnsi="Times New Roman" w:cs="Times New Roman"/>
          <w:sz w:val="24"/>
          <w:szCs w:val="24"/>
          <w:lang w:val="en-US" w:eastAsia="sv-SE"/>
        </w:rPr>
      </w:pPr>
      <w:r w:rsidRPr="007B140B">
        <w:rPr>
          <w:rFonts w:ascii="Times New Roman" w:eastAsia="Times New Roman" w:hAnsi="Times New Roman" w:cs="Times New Roman"/>
          <w:sz w:val="24"/>
          <w:szCs w:val="24"/>
          <w:lang w:val="en-US" w:eastAsia="sv-SE"/>
        </w:rPr>
        <w:t>In accordance with Swedish regulations,</w:t>
      </w:r>
      <w:r w:rsidRPr="007B140B">
        <w:rPr>
          <w:rFonts w:ascii="Times New Roman" w:eastAsia="Times New Roman" w:hAnsi="Times New Roman" w:cs="Times New Roman"/>
          <w:sz w:val="24"/>
          <w:szCs w:val="24"/>
          <w:lang w:val="en-US" w:eastAsia="sv-SE"/>
        </w:rPr>
        <w:fldChar w:fldCharType="begin" w:fldLock="1"/>
      </w:r>
      <w:r w:rsidR="00E85D18">
        <w:rPr>
          <w:rFonts w:ascii="Times New Roman" w:eastAsia="Times New Roman" w:hAnsi="Times New Roman" w:cs="Times New Roman"/>
          <w:sz w:val="24"/>
          <w:szCs w:val="24"/>
          <w:lang w:val="en-US" w:eastAsia="sv-SE"/>
        </w:rPr>
        <w:instrText>ADDIN CSL_CITATION {"citationItems":[{"id":"ITEM-1","itemData":{"author":[{"dropping-particle":"","family":"Läkemedelsverket","given":"","non-dropping-particle":"","parse-names":false,"suffix":""}],"id":"ITEM-1","issued":{"date-parts":[["2013"]]},"title":"Vägledning till Läkemedelsverkets föreskrifter (LVFS 2011:19) om kliniska läkemedelsprövningar på människor","type":"book"},"uris":["http://www.mendeley.com/documents/?uuid=ba7c2736-94e9-439e-9b46-a0e4a8468adc"]}],"mendeley":{"formattedCitation":"&lt;sup&gt;&lt;sup&gt;65&lt;/sup&gt;&lt;/sup&gt;","plainTextFormattedCitation":"65","previouslyFormattedCitation":"&lt;sup&gt;&lt;sup&gt;66&lt;/sup&gt;&lt;/sup&gt;"},"properties":{"noteIndex":0},"schema":"https://github.com/citation-style-language/schema/raw/master/csl-citation.json"}</w:instrText>
      </w:r>
      <w:r w:rsidRPr="007B140B">
        <w:rPr>
          <w:rFonts w:ascii="Times New Roman" w:eastAsia="Times New Roman" w:hAnsi="Times New Roman" w:cs="Times New Roman"/>
          <w:sz w:val="24"/>
          <w:szCs w:val="24"/>
          <w:lang w:val="en-US" w:eastAsia="sv-SE"/>
        </w:rPr>
        <w:fldChar w:fldCharType="separate"/>
      </w:r>
      <w:r w:rsidR="00E85D18" w:rsidRPr="00E85D18">
        <w:rPr>
          <w:rFonts w:ascii="Times New Roman" w:eastAsia="Times New Roman" w:hAnsi="Times New Roman" w:cs="Times New Roman"/>
          <w:noProof/>
          <w:sz w:val="24"/>
          <w:szCs w:val="24"/>
          <w:vertAlign w:val="superscript"/>
          <w:lang w:val="en-US" w:eastAsia="sv-SE"/>
        </w:rPr>
        <w:t>65</w:t>
      </w:r>
      <w:r w:rsidRPr="007B140B">
        <w:rPr>
          <w:rFonts w:ascii="Times New Roman" w:eastAsia="Times New Roman" w:hAnsi="Times New Roman" w:cs="Times New Roman"/>
          <w:sz w:val="24"/>
          <w:szCs w:val="24"/>
          <w:lang w:val="en-US" w:eastAsia="sv-SE"/>
        </w:rPr>
        <w:fldChar w:fldCharType="end"/>
      </w:r>
      <w:r w:rsidRPr="007B140B">
        <w:rPr>
          <w:rFonts w:ascii="Times New Roman" w:eastAsia="Times New Roman" w:hAnsi="Times New Roman" w:cs="Times New Roman"/>
          <w:sz w:val="24"/>
          <w:szCs w:val="24"/>
          <w:lang w:val="en-US" w:eastAsia="sv-SE"/>
        </w:rPr>
        <w:t xml:space="preserve"> investigators must </w:t>
      </w:r>
      <w:r w:rsidR="00531E5D" w:rsidRPr="007B140B">
        <w:rPr>
          <w:rFonts w:ascii="Times New Roman" w:eastAsia="Times New Roman" w:hAnsi="Times New Roman" w:cs="Times New Roman"/>
          <w:sz w:val="24"/>
          <w:szCs w:val="24"/>
          <w:lang w:val="en-US" w:eastAsia="sv-SE"/>
        </w:rPr>
        <w:t>register</w:t>
      </w:r>
      <w:r w:rsidRPr="007B140B">
        <w:rPr>
          <w:rFonts w:ascii="Times New Roman" w:eastAsia="Times New Roman" w:hAnsi="Times New Roman" w:cs="Times New Roman"/>
          <w:sz w:val="24"/>
          <w:szCs w:val="24"/>
          <w:lang w:val="en-US" w:eastAsia="sv-SE"/>
        </w:rPr>
        <w:t xml:space="preserve"> in participants’ medical records that </w:t>
      </w:r>
      <w:r w:rsidR="00531E5D" w:rsidRPr="007B140B">
        <w:rPr>
          <w:rFonts w:ascii="Times New Roman" w:eastAsia="Times New Roman" w:hAnsi="Times New Roman" w:cs="Times New Roman"/>
          <w:sz w:val="24"/>
          <w:szCs w:val="24"/>
          <w:lang w:val="en-US" w:eastAsia="sv-SE"/>
        </w:rPr>
        <w:t>the participants</w:t>
      </w:r>
      <w:r w:rsidRPr="007B140B">
        <w:rPr>
          <w:rFonts w:ascii="Times New Roman" w:eastAsia="Times New Roman" w:hAnsi="Times New Roman" w:cs="Times New Roman"/>
          <w:sz w:val="24"/>
          <w:szCs w:val="24"/>
          <w:lang w:val="en-US" w:eastAsia="sv-SE"/>
        </w:rPr>
        <w:t xml:space="preserve"> are involved in a clinical trial. These entries must include the following information:</w:t>
      </w:r>
    </w:p>
    <w:p w14:paraId="5E6D96DF" w14:textId="77777777" w:rsidR="00304185" w:rsidRPr="007B140B" w:rsidRDefault="00304185" w:rsidP="00304185">
      <w:pPr>
        <w:pStyle w:val="Liststycke"/>
        <w:numPr>
          <w:ilvl w:val="0"/>
          <w:numId w:val="22"/>
        </w:numPr>
        <w:rPr>
          <w:rFonts w:ascii="Times New Roman" w:hAnsi="Times New Roman" w:cs="Times New Roman"/>
          <w:sz w:val="24"/>
          <w:szCs w:val="24"/>
          <w:lang w:val="en-US"/>
        </w:rPr>
      </w:pPr>
      <w:r w:rsidRPr="007B140B">
        <w:rPr>
          <w:rFonts w:ascii="Times New Roman" w:eastAsia="Times New Roman" w:hAnsi="Times New Roman" w:cs="Times New Roman"/>
          <w:sz w:val="24"/>
          <w:szCs w:val="24"/>
          <w:lang w:val="en-US" w:eastAsia="sv-SE"/>
        </w:rPr>
        <w:t xml:space="preserve">The trial is randomized and double-blind. </w:t>
      </w:r>
    </w:p>
    <w:p w14:paraId="2D41DC54" w14:textId="5AC14A92" w:rsidR="00304185" w:rsidRPr="007B140B" w:rsidRDefault="00304185" w:rsidP="00304185">
      <w:pPr>
        <w:pStyle w:val="Liststycke"/>
        <w:numPr>
          <w:ilvl w:val="0"/>
          <w:numId w:val="22"/>
        </w:numPr>
        <w:rPr>
          <w:rFonts w:ascii="Times New Roman" w:hAnsi="Times New Roman" w:cs="Times New Roman"/>
          <w:sz w:val="24"/>
          <w:szCs w:val="24"/>
          <w:lang w:val="en-US"/>
        </w:rPr>
      </w:pPr>
      <w:r w:rsidRPr="007B140B">
        <w:rPr>
          <w:rFonts w:ascii="Times New Roman" w:eastAsia="Times New Roman" w:hAnsi="Times New Roman" w:cs="Times New Roman"/>
          <w:sz w:val="24"/>
          <w:szCs w:val="24"/>
          <w:lang w:val="en-US" w:eastAsia="sv-SE"/>
        </w:rPr>
        <w:t>The investigational products are zoledronic acid and placebo (normal saline), given as two</w:t>
      </w:r>
      <w:r w:rsidR="00145F67" w:rsidRPr="007B140B">
        <w:rPr>
          <w:rFonts w:ascii="Times New Roman" w:eastAsia="Times New Roman" w:hAnsi="Times New Roman" w:cs="Times New Roman"/>
          <w:sz w:val="24"/>
          <w:szCs w:val="24"/>
          <w:lang w:val="en-US" w:eastAsia="sv-SE"/>
        </w:rPr>
        <w:t xml:space="preserve"> intravenous</w:t>
      </w:r>
      <w:r w:rsidRPr="007B140B">
        <w:rPr>
          <w:rFonts w:ascii="Times New Roman" w:eastAsia="Times New Roman" w:hAnsi="Times New Roman" w:cs="Times New Roman"/>
          <w:sz w:val="24"/>
          <w:szCs w:val="24"/>
          <w:lang w:val="en-US" w:eastAsia="sv-SE"/>
        </w:rPr>
        <w:t xml:space="preserve"> infusions at a dose of 5 mg with two years in between.</w:t>
      </w:r>
    </w:p>
    <w:p w14:paraId="52AE4AE5" w14:textId="467F9D6C" w:rsidR="00304185" w:rsidRPr="007B140B" w:rsidRDefault="006B654C" w:rsidP="00304185">
      <w:pPr>
        <w:pStyle w:val="Liststycke"/>
        <w:numPr>
          <w:ilvl w:val="0"/>
          <w:numId w:val="22"/>
        </w:numPr>
        <w:rPr>
          <w:rFonts w:ascii="Times New Roman" w:hAnsi="Times New Roman" w:cs="Times New Roman"/>
          <w:sz w:val="24"/>
          <w:szCs w:val="24"/>
          <w:lang w:val="en-US"/>
        </w:rPr>
      </w:pPr>
      <w:r>
        <w:rPr>
          <w:rFonts w:ascii="Times New Roman" w:eastAsia="Times New Roman" w:hAnsi="Times New Roman" w:cs="Times New Roman"/>
          <w:sz w:val="24"/>
          <w:szCs w:val="24"/>
          <w:lang w:val="en-US" w:eastAsia="sv-SE"/>
        </w:rPr>
        <w:t>A</w:t>
      </w:r>
      <w:r w:rsidR="00304185" w:rsidRPr="007B140B">
        <w:rPr>
          <w:rFonts w:ascii="Times New Roman" w:eastAsia="Times New Roman" w:hAnsi="Times New Roman" w:cs="Times New Roman"/>
          <w:sz w:val="24"/>
          <w:szCs w:val="24"/>
          <w:lang w:val="en-US" w:eastAsia="sv-SE"/>
        </w:rPr>
        <w:t xml:space="preserve"> loading dose of</w:t>
      </w:r>
      <w:r w:rsidR="008B511B">
        <w:rPr>
          <w:rFonts w:ascii="Times New Roman" w:eastAsia="Times New Roman" w:hAnsi="Times New Roman" w:cs="Times New Roman"/>
          <w:sz w:val="24"/>
          <w:szCs w:val="24"/>
          <w:lang w:val="en-US" w:eastAsia="sv-SE"/>
        </w:rPr>
        <w:t xml:space="preserve"> vitamin D</w:t>
      </w:r>
      <w:r w:rsidR="00304185" w:rsidRPr="007B140B">
        <w:rPr>
          <w:rFonts w:ascii="Times New Roman" w:eastAsia="Times New Roman" w:hAnsi="Times New Roman" w:cs="Times New Roman"/>
          <w:sz w:val="24"/>
          <w:szCs w:val="24"/>
          <w:lang w:val="en-US" w:eastAsia="sv-SE"/>
        </w:rPr>
        <w:t xml:space="preserve"> </w:t>
      </w:r>
      <w:r w:rsidR="008B511B">
        <w:rPr>
          <w:rFonts w:ascii="Times New Roman" w:eastAsia="Times New Roman" w:hAnsi="Times New Roman" w:cs="Times New Roman"/>
          <w:sz w:val="24"/>
          <w:szCs w:val="24"/>
          <w:lang w:val="en-US" w:eastAsia="sv-SE"/>
        </w:rPr>
        <w:t>(</w:t>
      </w:r>
      <w:r w:rsidR="00E60D56">
        <w:rPr>
          <w:rFonts w:ascii="Times New Roman" w:hAnsi="Times New Roman" w:cs="Times New Roman"/>
          <w:sz w:val="24"/>
          <w:szCs w:val="24"/>
          <w:lang w:val="en-US" w:eastAsia="zh-CN"/>
        </w:rPr>
        <w:t>10</w:t>
      </w:r>
      <w:r w:rsidR="00304185" w:rsidRPr="007B140B">
        <w:rPr>
          <w:rFonts w:ascii="Times New Roman" w:hAnsi="Times New Roman" w:cs="Times New Roman"/>
          <w:sz w:val="24"/>
          <w:szCs w:val="24"/>
          <w:lang w:val="en-US" w:eastAsia="zh-CN"/>
        </w:rPr>
        <w:t xml:space="preserve">0,000 IU </w:t>
      </w:r>
      <w:r w:rsidR="008B511B">
        <w:rPr>
          <w:rFonts w:ascii="Times New Roman" w:hAnsi="Times New Roman" w:cs="Times New Roman"/>
          <w:sz w:val="24"/>
          <w:szCs w:val="24"/>
          <w:lang w:val="en-US" w:eastAsia="zh-CN"/>
        </w:rPr>
        <w:t xml:space="preserve">or </w:t>
      </w:r>
      <w:r w:rsidR="00304185" w:rsidRPr="007B140B">
        <w:rPr>
          <w:rFonts w:ascii="Times New Roman" w:hAnsi="Times New Roman" w:cs="Times New Roman"/>
          <w:sz w:val="24"/>
          <w:szCs w:val="24"/>
          <w:lang w:val="en-US" w:eastAsia="zh-CN"/>
        </w:rPr>
        <w:t>2.5 mg) has been given</w:t>
      </w:r>
      <w:r w:rsidR="00304185" w:rsidRPr="007B140B">
        <w:rPr>
          <w:rFonts w:ascii="Times New Roman" w:eastAsia="Times New Roman" w:hAnsi="Times New Roman" w:cs="Times New Roman"/>
          <w:sz w:val="24"/>
          <w:szCs w:val="24"/>
          <w:lang w:val="en-US" w:eastAsia="sv-SE"/>
        </w:rPr>
        <w:t xml:space="preserve">. </w:t>
      </w:r>
    </w:p>
    <w:p w14:paraId="037C1EDE" w14:textId="77777777" w:rsidR="00304185" w:rsidRPr="007B140B" w:rsidRDefault="00304185" w:rsidP="00304185">
      <w:pPr>
        <w:pStyle w:val="Liststycke"/>
        <w:numPr>
          <w:ilvl w:val="0"/>
          <w:numId w:val="22"/>
        </w:numPr>
        <w:rPr>
          <w:rFonts w:ascii="Times New Roman" w:hAnsi="Times New Roman" w:cs="Times New Roman"/>
          <w:sz w:val="24"/>
          <w:szCs w:val="24"/>
          <w:lang w:val="en-US"/>
        </w:rPr>
      </w:pPr>
      <w:r w:rsidRPr="007B140B">
        <w:rPr>
          <w:rFonts w:ascii="Times New Roman" w:eastAsia="Times New Roman" w:hAnsi="Times New Roman" w:cs="Times New Roman"/>
          <w:sz w:val="24"/>
          <w:szCs w:val="24"/>
          <w:lang w:val="en-US" w:eastAsia="sv-SE"/>
        </w:rPr>
        <w:t xml:space="preserve">Written informed consent has been obtained. </w:t>
      </w:r>
    </w:p>
    <w:p w14:paraId="4BB8DECC" w14:textId="78D0ABC7" w:rsidR="00304185" w:rsidRPr="007B140B" w:rsidRDefault="008C4F2F" w:rsidP="00304185">
      <w:pPr>
        <w:pStyle w:val="Liststycke"/>
        <w:numPr>
          <w:ilvl w:val="0"/>
          <w:numId w:val="22"/>
        </w:numPr>
        <w:rPr>
          <w:rFonts w:ascii="Times New Roman" w:hAnsi="Times New Roman" w:cs="Times New Roman"/>
          <w:sz w:val="24"/>
          <w:szCs w:val="24"/>
          <w:lang w:val="en-US"/>
        </w:rPr>
      </w:pPr>
      <w:r w:rsidRPr="007B140B">
        <w:rPr>
          <w:rFonts w:ascii="Times New Roman" w:eastAsia="Times New Roman" w:hAnsi="Times New Roman" w:cs="Times New Roman"/>
          <w:sz w:val="24"/>
          <w:szCs w:val="24"/>
          <w:lang w:val="en-US" w:eastAsia="sv-SE"/>
        </w:rPr>
        <w:t>Participant</w:t>
      </w:r>
      <w:r w:rsidR="00304185" w:rsidRPr="007B140B">
        <w:rPr>
          <w:rFonts w:ascii="Times New Roman" w:eastAsia="Times New Roman" w:hAnsi="Times New Roman" w:cs="Times New Roman"/>
          <w:sz w:val="24"/>
          <w:szCs w:val="24"/>
          <w:lang w:val="en-US" w:eastAsia="sv-SE"/>
        </w:rPr>
        <w:t xml:space="preserve"> ID.</w:t>
      </w:r>
    </w:p>
    <w:p w14:paraId="00524D05" w14:textId="77777777" w:rsidR="00304185" w:rsidRPr="007B140B" w:rsidRDefault="00304185" w:rsidP="00304185">
      <w:pPr>
        <w:pStyle w:val="Liststycke"/>
        <w:numPr>
          <w:ilvl w:val="0"/>
          <w:numId w:val="22"/>
        </w:numPr>
        <w:rPr>
          <w:rFonts w:ascii="Times New Roman" w:hAnsi="Times New Roman" w:cs="Times New Roman"/>
          <w:sz w:val="24"/>
          <w:szCs w:val="24"/>
          <w:lang w:val="en-US"/>
        </w:rPr>
      </w:pPr>
      <w:r w:rsidRPr="007B140B">
        <w:rPr>
          <w:rFonts w:ascii="Times New Roman" w:eastAsia="Times New Roman" w:hAnsi="Times New Roman" w:cs="Times New Roman"/>
          <w:sz w:val="24"/>
          <w:szCs w:val="24"/>
          <w:lang w:val="en-US" w:eastAsia="sv-SE"/>
        </w:rPr>
        <w:t>Instructions for emergency unblinding.</w:t>
      </w:r>
    </w:p>
    <w:p w14:paraId="7061640C" w14:textId="77777777" w:rsidR="00304185" w:rsidRPr="007B140B" w:rsidRDefault="00304185" w:rsidP="00304185">
      <w:pPr>
        <w:pStyle w:val="Liststycke"/>
        <w:numPr>
          <w:ilvl w:val="0"/>
          <w:numId w:val="22"/>
        </w:numPr>
        <w:rPr>
          <w:rFonts w:ascii="Times New Roman" w:hAnsi="Times New Roman" w:cs="Times New Roman"/>
          <w:sz w:val="24"/>
          <w:szCs w:val="24"/>
          <w:lang w:val="en-US"/>
        </w:rPr>
      </w:pPr>
      <w:r w:rsidRPr="007B140B">
        <w:rPr>
          <w:rFonts w:ascii="Times New Roman" w:eastAsia="Times New Roman" w:hAnsi="Times New Roman" w:cs="Times New Roman"/>
          <w:sz w:val="24"/>
          <w:szCs w:val="24"/>
          <w:lang w:val="en-US" w:eastAsia="sv-SE"/>
        </w:rPr>
        <w:t xml:space="preserve">Investigational product received (once unblinded). </w:t>
      </w:r>
    </w:p>
    <w:p w14:paraId="109AC099" w14:textId="2D2CFCB6" w:rsidR="00304185" w:rsidRPr="007B140B" w:rsidRDefault="00304185" w:rsidP="00273AA9">
      <w:pPr>
        <w:rPr>
          <w:rFonts w:ascii="Times New Roman" w:hAnsi="Times New Roman" w:cs="Times New Roman"/>
          <w:sz w:val="24"/>
          <w:szCs w:val="24"/>
          <w:lang w:val="en-US"/>
        </w:rPr>
      </w:pPr>
    </w:p>
    <w:p w14:paraId="6CF261E3" w14:textId="77777777" w:rsidR="004670FC" w:rsidRPr="007B140B" w:rsidRDefault="004670FC" w:rsidP="00D36611">
      <w:pPr>
        <w:pStyle w:val="Formatmall3"/>
        <w:rPr>
          <w:rFonts w:cs="Times New Roman"/>
          <w:lang w:val="en-US"/>
        </w:rPr>
      </w:pPr>
      <w:bookmarkStart w:id="109" w:name="_Toc99001448"/>
      <w:r w:rsidRPr="007B140B">
        <w:rPr>
          <w:rFonts w:cs="Times New Roman"/>
          <w:lang w:val="en-US"/>
        </w:rPr>
        <w:t>Insurance</w:t>
      </w:r>
      <w:bookmarkEnd w:id="109"/>
    </w:p>
    <w:p w14:paraId="7AB0E771" w14:textId="166A9457" w:rsidR="004670FC" w:rsidRPr="007B140B" w:rsidRDefault="00DC1F59" w:rsidP="004D7B4A">
      <w:pPr>
        <w:rPr>
          <w:rFonts w:ascii="Times New Roman" w:hAnsi="Times New Roman" w:cs="Times New Roman"/>
          <w:sz w:val="24"/>
          <w:szCs w:val="24"/>
          <w:lang w:val="en-US"/>
        </w:rPr>
      </w:pPr>
      <w:r w:rsidRPr="007B140B">
        <w:rPr>
          <w:rFonts w:ascii="Times New Roman" w:hAnsi="Times New Roman" w:cs="Times New Roman"/>
          <w:sz w:val="24"/>
          <w:szCs w:val="24"/>
          <w:lang w:val="en-US"/>
        </w:rPr>
        <w:t>Participants</w:t>
      </w:r>
      <w:r w:rsidR="00B03F5C" w:rsidRPr="007B140B">
        <w:rPr>
          <w:rFonts w:ascii="Times New Roman" w:hAnsi="Times New Roman" w:cs="Times New Roman"/>
          <w:sz w:val="24"/>
          <w:szCs w:val="24"/>
          <w:lang w:val="en-US"/>
        </w:rPr>
        <w:t xml:space="preserve"> </w:t>
      </w:r>
      <w:r w:rsidRPr="007B140B">
        <w:rPr>
          <w:rFonts w:ascii="Times New Roman" w:hAnsi="Times New Roman" w:cs="Times New Roman"/>
          <w:sz w:val="24"/>
          <w:szCs w:val="24"/>
          <w:lang w:val="en-US"/>
        </w:rPr>
        <w:t>will be</w:t>
      </w:r>
      <w:r w:rsidR="004670FC" w:rsidRPr="007B140B">
        <w:rPr>
          <w:rFonts w:ascii="Times New Roman" w:hAnsi="Times New Roman" w:cs="Times New Roman"/>
          <w:sz w:val="24"/>
          <w:szCs w:val="24"/>
          <w:lang w:val="en-US"/>
        </w:rPr>
        <w:t xml:space="preserve"> protected by the Swedish Patient Insurance and by </w:t>
      </w:r>
      <w:r w:rsidRPr="007B140B">
        <w:rPr>
          <w:rFonts w:ascii="Times New Roman" w:hAnsi="Times New Roman" w:cs="Times New Roman"/>
          <w:sz w:val="24"/>
          <w:szCs w:val="24"/>
          <w:lang w:val="en-US"/>
        </w:rPr>
        <w:t xml:space="preserve">the </w:t>
      </w:r>
      <w:r w:rsidR="004670FC" w:rsidRPr="007B140B">
        <w:rPr>
          <w:rFonts w:ascii="Times New Roman" w:hAnsi="Times New Roman" w:cs="Times New Roman"/>
          <w:sz w:val="24"/>
          <w:szCs w:val="24"/>
          <w:lang w:val="en-US"/>
        </w:rPr>
        <w:t>Swedish Pharmaceutical Insurance.</w:t>
      </w:r>
    </w:p>
    <w:p w14:paraId="11C9922B" w14:textId="77777777" w:rsidR="00DC1F59" w:rsidRPr="007B140B" w:rsidRDefault="00DC1F59" w:rsidP="004D7B4A">
      <w:pPr>
        <w:rPr>
          <w:rFonts w:ascii="Times New Roman" w:hAnsi="Times New Roman" w:cs="Times New Roman"/>
          <w:sz w:val="24"/>
          <w:szCs w:val="24"/>
          <w:lang w:val="en-US"/>
        </w:rPr>
      </w:pPr>
    </w:p>
    <w:p w14:paraId="22B609E4" w14:textId="1AEC525B" w:rsidR="00884BA9" w:rsidRPr="007B140B" w:rsidRDefault="00884BA9" w:rsidP="00D36611">
      <w:pPr>
        <w:pStyle w:val="Formatmall3"/>
        <w:rPr>
          <w:rFonts w:cs="Times New Roman"/>
          <w:lang w:val="en-US"/>
        </w:rPr>
      </w:pPr>
      <w:bookmarkStart w:id="110" w:name="_Toc99001449"/>
      <w:r w:rsidRPr="007B140B">
        <w:rPr>
          <w:rFonts w:cs="Times New Roman"/>
          <w:lang w:val="en-US"/>
        </w:rPr>
        <w:t>Confidentiality</w:t>
      </w:r>
      <w:bookmarkEnd w:id="110"/>
    </w:p>
    <w:p w14:paraId="31DF5AAB" w14:textId="144AB3FF" w:rsidR="009F6DBA" w:rsidRPr="007B140B" w:rsidRDefault="00002F41" w:rsidP="00273AA9">
      <w:pPr>
        <w:rPr>
          <w:rFonts w:ascii="Times New Roman" w:hAnsi="Times New Roman" w:cs="Times New Roman"/>
          <w:sz w:val="24"/>
          <w:szCs w:val="24"/>
          <w:lang w:val="en-US"/>
        </w:rPr>
      </w:pPr>
      <w:r w:rsidRPr="007B140B">
        <w:rPr>
          <w:rFonts w:ascii="Times New Roman" w:hAnsi="Times New Roman" w:cs="Times New Roman"/>
          <w:sz w:val="24"/>
          <w:szCs w:val="24"/>
          <w:lang w:val="en-US"/>
        </w:rPr>
        <w:t>Data collected in t</w:t>
      </w:r>
      <w:r w:rsidR="008A0FA9" w:rsidRPr="007B140B">
        <w:rPr>
          <w:rFonts w:ascii="Times New Roman" w:hAnsi="Times New Roman" w:cs="Times New Roman"/>
          <w:sz w:val="24"/>
          <w:szCs w:val="24"/>
          <w:lang w:val="en-US"/>
        </w:rPr>
        <w:t xml:space="preserve">he trial, whether </w:t>
      </w:r>
      <w:r w:rsidR="00E76826">
        <w:rPr>
          <w:rFonts w:ascii="Times New Roman" w:hAnsi="Times New Roman" w:cs="Times New Roman"/>
          <w:sz w:val="24"/>
          <w:szCs w:val="24"/>
          <w:lang w:val="en-US"/>
        </w:rPr>
        <w:t xml:space="preserve">in </w:t>
      </w:r>
      <w:r w:rsidR="008A0FA9" w:rsidRPr="007B140B">
        <w:rPr>
          <w:rFonts w:ascii="Times New Roman" w:hAnsi="Times New Roman" w:cs="Times New Roman"/>
          <w:sz w:val="24"/>
          <w:szCs w:val="24"/>
          <w:lang w:val="en-US"/>
        </w:rPr>
        <w:t>electronic or</w:t>
      </w:r>
      <w:r w:rsidRPr="007B140B">
        <w:rPr>
          <w:rFonts w:ascii="Times New Roman" w:hAnsi="Times New Roman" w:cs="Times New Roman"/>
          <w:sz w:val="24"/>
          <w:szCs w:val="24"/>
          <w:lang w:val="en-US"/>
        </w:rPr>
        <w:t xml:space="preserve"> physical form, w</w:t>
      </w:r>
      <w:r w:rsidR="00EE7152" w:rsidRPr="007B140B">
        <w:rPr>
          <w:rFonts w:ascii="Times New Roman" w:hAnsi="Times New Roman" w:cs="Times New Roman"/>
          <w:sz w:val="24"/>
          <w:szCs w:val="24"/>
          <w:lang w:val="en-US"/>
        </w:rPr>
        <w:t>ill be</w:t>
      </w:r>
      <w:r w:rsidR="004670FC" w:rsidRPr="007B140B">
        <w:rPr>
          <w:rFonts w:ascii="Times New Roman" w:hAnsi="Times New Roman" w:cs="Times New Roman"/>
          <w:sz w:val="24"/>
          <w:szCs w:val="24"/>
          <w:lang w:val="en-US"/>
        </w:rPr>
        <w:t xml:space="preserve"> </w:t>
      </w:r>
      <w:r w:rsidRPr="007B140B">
        <w:rPr>
          <w:rFonts w:ascii="Times New Roman" w:hAnsi="Times New Roman" w:cs="Times New Roman"/>
          <w:sz w:val="24"/>
          <w:szCs w:val="24"/>
          <w:lang w:val="en-US"/>
        </w:rPr>
        <w:t>processed</w:t>
      </w:r>
      <w:r w:rsidR="004670FC" w:rsidRPr="007B140B">
        <w:rPr>
          <w:rFonts w:ascii="Times New Roman" w:hAnsi="Times New Roman" w:cs="Times New Roman"/>
          <w:sz w:val="24"/>
          <w:szCs w:val="24"/>
          <w:lang w:val="en-US"/>
        </w:rPr>
        <w:t xml:space="preserve"> </w:t>
      </w:r>
      <w:r w:rsidRPr="007B140B">
        <w:rPr>
          <w:rFonts w:ascii="Times New Roman" w:hAnsi="Times New Roman" w:cs="Times New Roman"/>
          <w:sz w:val="24"/>
          <w:szCs w:val="24"/>
          <w:lang w:val="en-US"/>
        </w:rPr>
        <w:t xml:space="preserve">so that only </w:t>
      </w:r>
      <w:r w:rsidR="009F6DBA" w:rsidRPr="007B140B">
        <w:rPr>
          <w:rFonts w:ascii="Times New Roman" w:hAnsi="Times New Roman" w:cs="Times New Roman"/>
          <w:sz w:val="24"/>
          <w:szCs w:val="24"/>
          <w:lang w:val="en-US"/>
        </w:rPr>
        <w:t>authorized persons</w:t>
      </w:r>
      <w:r w:rsidRPr="007B140B">
        <w:rPr>
          <w:rFonts w:ascii="Times New Roman" w:hAnsi="Times New Roman" w:cs="Times New Roman"/>
          <w:sz w:val="24"/>
          <w:szCs w:val="24"/>
          <w:lang w:val="en-US"/>
        </w:rPr>
        <w:t xml:space="preserve"> have access</w:t>
      </w:r>
      <w:r w:rsidR="00C57D0D" w:rsidRPr="007B140B">
        <w:rPr>
          <w:rFonts w:ascii="Times New Roman" w:hAnsi="Times New Roman" w:cs="Times New Roman"/>
          <w:sz w:val="24"/>
          <w:szCs w:val="24"/>
          <w:lang w:val="en-US"/>
        </w:rPr>
        <w:t xml:space="preserve"> to it</w:t>
      </w:r>
      <w:r w:rsidR="009F6DBA" w:rsidRPr="007B140B">
        <w:rPr>
          <w:rFonts w:ascii="Times New Roman" w:hAnsi="Times New Roman" w:cs="Times New Roman"/>
          <w:sz w:val="24"/>
          <w:szCs w:val="24"/>
          <w:lang w:val="en-US"/>
        </w:rPr>
        <w:t xml:space="preserve">. </w:t>
      </w:r>
      <w:r w:rsidR="00CF2555" w:rsidRPr="007B140B">
        <w:rPr>
          <w:rFonts w:ascii="Times New Roman" w:hAnsi="Times New Roman" w:cs="Times New Roman"/>
          <w:sz w:val="24"/>
          <w:szCs w:val="24"/>
          <w:lang w:val="en-US"/>
        </w:rPr>
        <w:t>Data</w:t>
      </w:r>
      <w:r w:rsidRPr="007B140B">
        <w:rPr>
          <w:rFonts w:ascii="Times New Roman" w:hAnsi="Times New Roman" w:cs="Times New Roman"/>
          <w:sz w:val="24"/>
          <w:szCs w:val="24"/>
          <w:lang w:val="en-US"/>
        </w:rPr>
        <w:t>set</w:t>
      </w:r>
      <w:r w:rsidR="007133D0" w:rsidRPr="007B140B">
        <w:rPr>
          <w:rFonts w:ascii="Times New Roman" w:hAnsi="Times New Roman" w:cs="Times New Roman"/>
          <w:sz w:val="24"/>
          <w:szCs w:val="24"/>
          <w:lang w:val="en-US"/>
        </w:rPr>
        <w:t xml:space="preserve">s used </w:t>
      </w:r>
      <w:r w:rsidR="00166295">
        <w:rPr>
          <w:rFonts w:ascii="Times New Roman" w:hAnsi="Times New Roman" w:cs="Times New Roman"/>
          <w:sz w:val="24"/>
          <w:szCs w:val="24"/>
          <w:lang w:val="en-US"/>
        </w:rPr>
        <w:t>for</w:t>
      </w:r>
      <w:r w:rsidR="00166295" w:rsidRPr="007B140B">
        <w:rPr>
          <w:rFonts w:ascii="Times New Roman" w:hAnsi="Times New Roman" w:cs="Times New Roman"/>
          <w:sz w:val="24"/>
          <w:szCs w:val="24"/>
          <w:lang w:val="en-US"/>
        </w:rPr>
        <w:t xml:space="preserve"> </w:t>
      </w:r>
      <w:r w:rsidR="007133D0" w:rsidRPr="007B140B">
        <w:rPr>
          <w:rFonts w:ascii="Times New Roman" w:hAnsi="Times New Roman" w:cs="Times New Roman"/>
          <w:sz w:val="24"/>
          <w:szCs w:val="24"/>
          <w:lang w:val="en-US"/>
        </w:rPr>
        <w:t xml:space="preserve">statistical analysis, </w:t>
      </w:r>
      <w:r w:rsidR="008208E6" w:rsidRPr="007B140B">
        <w:rPr>
          <w:rFonts w:ascii="Times New Roman" w:hAnsi="Times New Roman" w:cs="Times New Roman"/>
          <w:sz w:val="24"/>
          <w:szCs w:val="24"/>
          <w:lang w:val="en-US"/>
        </w:rPr>
        <w:t>eCRFs</w:t>
      </w:r>
      <w:r w:rsidR="007133D0" w:rsidRPr="007B140B">
        <w:rPr>
          <w:rFonts w:ascii="Times New Roman" w:hAnsi="Times New Roman" w:cs="Times New Roman"/>
          <w:sz w:val="24"/>
          <w:szCs w:val="24"/>
          <w:lang w:val="en-US"/>
        </w:rPr>
        <w:t>, and questionnaires</w:t>
      </w:r>
      <w:r w:rsidR="008208E6" w:rsidRPr="007B140B">
        <w:rPr>
          <w:rFonts w:ascii="Times New Roman" w:hAnsi="Times New Roman" w:cs="Times New Roman"/>
          <w:sz w:val="24"/>
          <w:szCs w:val="24"/>
          <w:lang w:val="en-US"/>
        </w:rPr>
        <w:t xml:space="preserve"> will be pseudo-</w:t>
      </w:r>
      <w:r w:rsidR="002E15B1" w:rsidRPr="007B140B">
        <w:rPr>
          <w:rFonts w:ascii="Times New Roman" w:hAnsi="Times New Roman" w:cs="Times New Roman"/>
          <w:sz w:val="24"/>
          <w:szCs w:val="24"/>
          <w:lang w:val="en-US"/>
        </w:rPr>
        <w:t>anonymized</w:t>
      </w:r>
      <w:r w:rsidR="008208E6" w:rsidRPr="007B140B">
        <w:rPr>
          <w:rFonts w:ascii="Times New Roman" w:hAnsi="Times New Roman" w:cs="Times New Roman"/>
          <w:sz w:val="24"/>
          <w:szCs w:val="24"/>
          <w:lang w:val="en-US"/>
        </w:rPr>
        <w:t xml:space="preserve"> us</w:t>
      </w:r>
      <w:r w:rsidR="002E15B1" w:rsidRPr="007B140B">
        <w:rPr>
          <w:rFonts w:ascii="Times New Roman" w:hAnsi="Times New Roman" w:cs="Times New Roman"/>
          <w:sz w:val="24"/>
          <w:szCs w:val="24"/>
          <w:lang w:val="en-US"/>
        </w:rPr>
        <w:t>ing</w:t>
      </w:r>
      <w:r w:rsidR="008208E6" w:rsidRPr="007B140B">
        <w:rPr>
          <w:rFonts w:ascii="Times New Roman" w:hAnsi="Times New Roman" w:cs="Times New Roman"/>
          <w:sz w:val="24"/>
          <w:szCs w:val="24"/>
          <w:lang w:val="en-US"/>
        </w:rPr>
        <w:t xml:space="preserve"> </w:t>
      </w:r>
      <w:r w:rsidR="008C4F2F" w:rsidRPr="007B140B">
        <w:rPr>
          <w:rFonts w:ascii="Times New Roman" w:hAnsi="Times New Roman" w:cs="Times New Roman"/>
          <w:sz w:val="24"/>
          <w:szCs w:val="24"/>
          <w:lang w:val="en-US"/>
        </w:rPr>
        <w:t>participant</w:t>
      </w:r>
      <w:r w:rsidR="008208E6" w:rsidRPr="007B140B">
        <w:rPr>
          <w:rFonts w:ascii="Times New Roman" w:hAnsi="Times New Roman" w:cs="Times New Roman"/>
          <w:sz w:val="24"/>
          <w:szCs w:val="24"/>
          <w:lang w:val="en-US"/>
        </w:rPr>
        <w:t xml:space="preserve"> ID</w:t>
      </w:r>
      <w:r w:rsidR="003B5723" w:rsidRPr="007B140B">
        <w:rPr>
          <w:rFonts w:ascii="Times New Roman" w:hAnsi="Times New Roman" w:cs="Times New Roman"/>
          <w:sz w:val="24"/>
          <w:szCs w:val="24"/>
          <w:lang w:val="en-US"/>
        </w:rPr>
        <w:t xml:space="preserve"> </w:t>
      </w:r>
      <w:r w:rsidR="008C4F2F" w:rsidRPr="007B140B">
        <w:rPr>
          <w:rFonts w:ascii="Times New Roman" w:hAnsi="Times New Roman" w:cs="Times New Roman"/>
          <w:sz w:val="24"/>
          <w:szCs w:val="24"/>
          <w:lang w:val="en-US"/>
        </w:rPr>
        <w:t>codes</w:t>
      </w:r>
      <w:r w:rsidR="00263093" w:rsidRPr="007B140B">
        <w:rPr>
          <w:rFonts w:ascii="Times New Roman" w:hAnsi="Times New Roman" w:cs="Times New Roman"/>
          <w:sz w:val="24"/>
          <w:szCs w:val="24"/>
          <w:lang w:val="en-US"/>
        </w:rPr>
        <w:t xml:space="preserve"> (see Section 12.1)</w:t>
      </w:r>
      <w:r w:rsidRPr="007B140B">
        <w:rPr>
          <w:rFonts w:ascii="Times New Roman" w:hAnsi="Times New Roman" w:cs="Times New Roman"/>
          <w:sz w:val="24"/>
          <w:szCs w:val="24"/>
          <w:lang w:val="en-US"/>
        </w:rPr>
        <w:t>.</w:t>
      </w:r>
      <w:r w:rsidR="00430BB9" w:rsidRPr="007B140B">
        <w:rPr>
          <w:rFonts w:ascii="Times New Roman" w:hAnsi="Times New Roman" w:cs="Times New Roman"/>
          <w:color w:val="000000" w:themeColor="text1"/>
          <w:sz w:val="24"/>
          <w:szCs w:val="24"/>
          <w:lang w:val="en-US"/>
        </w:rPr>
        <w:t xml:space="preserve"> </w:t>
      </w:r>
    </w:p>
    <w:p w14:paraId="07CB63AB" w14:textId="77777777" w:rsidR="00A37EDC" w:rsidRPr="007B140B" w:rsidRDefault="00A37EDC" w:rsidP="00273AA9">
      <w:pPr>
        <w:rPr>
          <w:rFonts w:ascii="Times New Roman" w:hAnsi="Times New Roman" w:cs="Times New Roman"/>
          <w:sz w:val="24"/>
          <w:szCs w:val="24"/>
          <w:lang w:val="en-US"/>
        </w:rPr>
      </w:pPr>
    </w:p>
    <w:p w14:paraId="45693D95" w14:textId="18A153B0" w:rsidR="00884BA9" w:rsidRPr="007B140B" w:rsidRDefault="00884BA9" w:rsidP="00D36611">
      <w:pPr>
        <w:pStyle w:val="Formatmall3"/>
        <w:rPr>
          <w:rFonts w:cs="Times New Roman"/>
          <w:lang w:val="en-US"/>
        </w:rPr>
      </w:pPr>
      <w:bookmarkStart w:id="111" w:name="_Toc99001450"/>
      <w:r w:rsidRPr="007B140B">
        <w:rPr>
          <w:rFonts w:cs="Times New Roman"/>
          <w:lang w:val="en-US"/>
        </w:rPr>
        <w:t>Conflicts of interest</w:t>
      </w:r>
      <w:bookmarkEnd w:id="111"/>
    </w:p>
    <w:p w14:paraId="001443C9" w14:textId="3F1F2FE9" w:rsidR="002C15F9" w:rsidRPr="007B140B" w:rsidRDefault="002C15F9" w:rsidP="002C15F9">
      <w:pPr>
        <w:rPr>
          <w:rFonts w:ascii="Times New Roman" w:hAnsi="Times New Roman" w:cs="Times New Roman"/>
          <w:sz w:val="24"/>
          <w:szCs w:val="24"/>
          <w:lang w:val="en-US"/>
        </w:rPr>
      </w:pPr>
      <w:r w:rsidRPr="007B140B">
        <w:rPr>
          <w:rFonts w:ascii="Times New Roman" w:hAnsi="Times New Roman" w:cs="Times New Roman"/>
          <w:sz w:val="24"/>
          <w:szCs w:val="24"/>
          <w:lang w:val="en-US"/>
        </w:rPr>
        <w:t>The sponsor</w:t>
      </w:r>
      <w:r w:rsidR="00263093" w:rsidRPr="007B140B">
        <w:rPr>
          <w:rFonts w:ascii="Times New Roman" w:hAnsi="Times New Roman" w:cs="Times New Roman"/>
          <w:sz w:val="24"/>
          <w:szCs w:val="24"/>
          <w:lang w:val="en-US"/>
        </w:rPr>
        <w:t>/coordinating investigator</w:t>
      </w:r>
      <w:r w:rsidRPr="007B140B">
        <w:rPr>
          <w:rFonts w:ascii="Times New Roman" w:hAnsi="Times New Roman" w:cs="Times New Roman"/>
          <w:sz w:val="24"/>
          <w:szCs w:val="24"/>
          <w:lang w:val="en-US"/>
        </w:rPr>
        <w:t xml:space="preserve"> and authors of this protocol declare that they have no conflicts of interest.</w:t>
      </w:r>
    </w:p>
    <w:p w14:paraId="5F80D873" w14:textId="77777777" w:rsidR="00BE08DE" w:rsidRPr="007B140B" w:rsidRDefault="00BE08DE" w:rsidP="002C15F9">
      <w:pPr>
        <w:rPr>
          <w:rFonts w:ascii="Times New Roman" w:hAnsi="Times New Roman" w:cs="Times New Roman"/>
          <w:sz w:val="24"/>
          <w:szCs w:val="24"/>
          <w:lang w:val="en-US"/>
        </w:rPr>
      </w:pPr>
    </w:p>
    <w:p w14:paraId="6AA304EA" w14:textId="4FE215C3" w:rsidR="00884BA9" w:rsidRPr="007B140B" w:rsidRDefault="00BE08DE" w:rsidP="00D36611">
      <w:pPr>
        <w:pStyle w:val="Formatmall3"/>
        <w:rPr>
          <w:rFonts w:cs="Times New Roman"/>
          <w:lang w:val="en-US"/>
        </w:rPr>
      </w:pPr>
      <w:bookmarkStart w:id="112" w:name="_Toc99001451"/>
      <w:r w:rsidRPr="007B140B">
        <w:rPr>
          <w:rFonts w:cs="Times New Roman"/>
          <w:lang w:val="en-US"/>
        </w:rPr>
        <w:t>Post</w:t>
      </w:r>
      <w:r w:rsidR="00884BA9" w:rsidRPr="007B140B">
        <w:rPr>
          <w:rFonts w:cs="Times New Roman"/>
          <w:lang w:val="en-US"/>
        </w:rPr>
        <w:t>-trial care</w:t>
      </w:r>
      <w:bookmarkEnd w:id="112"/>
    </w:p>
    <w:p w14:paraId="3A84BED2" w14:textId="77CD4731" w:rsidR="00490243" w:rsidRPr="007B140B" w:rsidRDefault="007E7482" w:rsidP="00273AA9">
      <w:pPr>
        <w:rPr>
          <w:rFonts w:ascii="Times New Roman" w:hAnsi="Times New Roman" w:cs="Times New Roman"/>
          <w:sz w:val="24"/>
          <w:szCs w:val="24"/>
          <w:lang w:val="en-US"/>
        </w:rPr>
      </w:pPr>
      <w:r>
        <w:rPr>
          <w:rFonts w:ascii="Times New Roman" w:hAnsi="Times New Roman" w:cs="Times New Roman"/>
          <w:sz w:val="24"/>
          <w:szCs w:val="24"/>
          <w:lang w:val="en-US"/>
        </w:rPr>
        <w:t xml:space="preserve">There will be no post-trial care at the end of </w:t>
      </w:r>
      <w:r w:rsidR="00810027">
        <w:rPr>
          <w:rFonts w:ascii="Times New Roman" w:hAnsi="Times New Roman" w:cs="Times New Roman"/>
          <w:sz w:val="24"/>
          <w:szCs w:val="24"/>
          <w:lang w:val="en-US"/>
        </w:rPr>
        <w:t xml:space="preserve">the Main </w:t>
      </w:r>
      <w:r w:rsidR="00434064">
        <w:rPr>
          <w:rFonts w:ascii="Times New Roman" w:hAnsi="Times New Roman" w:cs="Times New Roman"/>
          <w:sz w:val="24"/>
          <w:szCs w:val="24"/>
          <w:lang w:val="en-US"/>
        </w:rPr>
        <w:t>P</w:t>
      </w:r>
      <w:r w:rsidR="00810027">
        <w:rPr>
          <w:rFonts w:ascii="Times New Roman" w:hAnsi="Times New Roman" w:cs="Times New Roman"/>
          <w:sz w:val="24"/>
          <w:szCs w:val="24"/>
          <w:lang w:val="en-US"/>
        </w:rPr>
        <w:t>hase or Secondary Phase</w:t>
      </w:r>
      <w:r>
        <w:rPr>
          <w:rFonts w:ascii="Times New Roman" w:hAnsi="Times New Roman" w:cs="Times New Roman"/>
          <w:sz w:val="24"/>
          <w:szCs w:val="24"/>
          <w:lang w:val="en-US"/>
        </w:rPr>
        <w:t>. Instead, p</w:t>
      </w:r>
      <w:r w:rsidR="00EE7152" w:rsidRPr="007B140B">
        <w:rPr>
          <w:rFonts w:ascii="Times New Roman" w:hAnsi="Times New Roman" w:cs="Times New Roman"/>
          <w:sz w:val="24"/>
          <w:szCs w:val="24"/>
          <w:lang w:val="en-US"/>
        </w:rPr>
        <w:t>articipants will be i</w:t>
      </w:r>
      <w:r w:rsidR="00490243" w:rsidRPr="007B140B">
        <w:rPr>
          <w:rFonts w:ascii="Times New Roman" w:hAnsi="Times New Roman" w:cs="Times New Roman"/>
          <w:sz w:val="24"/>
          <w:szCs w:val="24"/>
          <w:lang w:val="en-US"/>
        </w:rPr>
        <w:t>nformed of the trea</w:t>
      </w:r>
      <w:r w:rsidR="00BE08DE" w:rsidRPr="007B140B">
        <w:rPr>
          <w:rFonts w:ascii="Times New Roman" w:hAnsi="Times New Roman" w:cs="Times New Roman"/>
          <w:sz w:val="24"/>
          <w:szCs w:val="24"/>
          <w:lang w:val="en-US"/>
        </w:rPr>
        <w:t>tment they received</w:t>
      </w:r>
      <w:r w:rsidR="007E2527">
        <w:rPr>
          <w:rFonts w:ascii="Times New Roman" w:hAnsi="Times New Roman" w:cs="Times New Roman"/>
          <w:sz w:val="24"/>
          <w:szCs w:val="24"/>
          <w:lang w:val="en-US"/>
        </w:rPr>
        <w:t xml:space="preserve"> when they have completed </w:t>
      </w:r>
      <w:r w:rsidR="00810027">
        <w:rPr>
          <w:rFonts w:ascii="Times New Roman" w:hAnsi="Times New Roman" w:cs="Times New Roman"/>
          <w:sz w:val="24"/>
          <w:szCs w:val="24"/>
          <w:lang w:val="en-US"/>
        </w:rPr>
        <w:t>the 4-year Main Phase</w:t>
      </w:r>
      <w:r w:rsidR="007E2527">
        <w:rPr>
          <w:rFonts w:ascii="Times New Roman" w:hAnsi="Times New Roman" w:cs="Times New Roman"/>
          <w:sz w:val="24"/>
          <w:szCs w:val="24"/>
          <w:lang w:val="en-US"/>
        </w:rPr>
        <w:t xml:space="preserve"> or </w:t>
      </w:r>
      <w:r w:rsidR="0031624C">
        <w:rPr>
          <w:rFonts w:ascii="Times New Roman" w:hAnsi="Times New Roman" w:cs="Times New Roman"/>
          <w:sz w:val="24"/>
          <w:szCs w:val="24"/>
          <w:lang w:val="en-US"/>
        </w:rPr>
        <w:t>when they withdraw</w:t>
      </w:r>
      <w:r w:rsidR="007E2527">
        <w:rPr>
          <w:rFonts w:ascii="Times New Roman" w:hAnsi="Times New Roman" w:cs="Times New Roman"/>
          <w:sz w:val="24"/>
          <w:szCs w:val="24"/>
          <w:lang w:val="en-US"/>
        </w:rPr>
        <w:t xml:space="preserve"> from the study</w:t>
      </w:r>
      <w:r w:rsidR="00BE08DE" w:rsidRPr="007B140B">
        <w:rPr>
          <w:rFonts w:ascii="Times New Roman" w:hAnsi="Times New Roman" w:cs="Times New Roman"/>
          <w:sz w:val="24"/>
          <w:szCs w:val="24"/>
          <w:lang w:val="en-US"/>
        </w:rPr>
        <w:t xml:space="preserve">. </w:t>
      </w:r>
      <w:r w:rsidR="0002444C" w:rsidRPr="007B140B">
        <w:rPr>
          <w:rFonts w:ascii="Times New Roman" w:hAnsi="Times New Roman" w:cs="Times New Roman"/>
          <w:sz w:val="24"/>
          <w:szCs w:val="24"/>
          <w:lang w:val="en-US"/>
        </w:rPr>
        <w:t xml:space="preserve">Participants </w:t>
      </w:r>
      <w:r w:rsidR="00BE08DE" w:rsidRPr="007B140B">
        <w:rPr>
          <w:rFonts w:ascii="Times New Roman" w:hAnsi="Times New Roman" w:cs="Times New Roman"/>
          <w:sz w:val="24"/>
          <w:szCs w:val="24"/>
          <w:lang w:val="en-US"/>
        </w:rPr>
        <w:t>in</w:t>
      </w:r>
      <w:r w:rsidR="0002444C" w:rsidRPr="007B140B">
        <w:rPr>
          <w:rFonts w:ascii="Times New Roman" w:hAnsi="Times New Roman" w:cs="Times New Roman"/>
          <w:sz w:val="24"/>
          <w:szCs w:val="24"/>
          <w:lang w:val="en-US"/>
        </w:rPr>
        <w:t xml:space="preserve"> the placebo group will not be offered zoledronic acid</w:t>
      </w:r>
      <w:r w:rsidR="008770F5">
        <w:rPr>
          <w:rFonts w:ascii="Times New Roman" w:hAnsi="Times New Roman" w:cs="Times New Roman"/>
          <w:sz w:val="24"/>
          <w:szCs w:val="24"/>
          <w:lang w:val="en-US"/>
        </w:rPr>
        <w:t xml:space="preserve"> </w:t>
      </w:r>
      <w:r w:rsidR="00265C53">
        <w:rPr>
          <w:rFonts w:ascii="Times New Roman" w:hAnsi="Times New Roman" w:cs="Times New Roman"/>
          <w:sz w:val="24"/>
          <w:szCs w:val="24"/>
          <w:lang w:val="en-US"/>
        </w:rPr>
        <w:t>because of</w:t>
      </w:r>
      <w:r w:rsidR="008770F5">
        <w:rPr>
          <w:rFonts w:ascii="Times New Roman" w:hAnsi="Times New Roman" w:cs="Times New Roman"/>
          <w:sz w:val="24"/>
          <w:szCs w:val="24"/>
          <w:lang w:val="en-US"/>
        </w:rPr>
        <w:t xml:space="preserve"> </w:t>
      </w:r>
      <w:r w:rsidR="009129EC">
        <w:rPr>
          <w:rFonts w:ascii="Times New Roman" w:hAnsi="Times New Roman" w:cs="Times New Roman"/>
          <w:sz w:val="24"/>
          <w:szCs w:val="24"/>
          <w:lang w:val="en-US"/>
        </w:rPr>
        <w:t>budget</w:t>
      </w:r>
      <w:r w:rsidR="008770F5">
        <w:rPr>
          <w:rFonts w:ascii="Times New Roman" w:hAnsi="Times New Roman" w:cs="Times New Roman"/>
          <w:sz w:val="24"/>
          <w:szCs w:val="24"/>
          <w:lang w:val="en-US"/>
        </w:rPr>
        <w:t xml:space="preserve"> </w:t>
      </w:r>
      <w:r w:rsidR="00265C53">
        <w:rPr>
          <w:rFonts w:ascii="Times New Roman" w:hAnsi="Times New Roman" w:cs="Times New Roman"/>
          <w:sz w:val="24"/>
          <w:szCs w:val="24"/>
          <w:lang w:val="en-US"/>
        </w:rPr>
        <w:t>constraints</w:t>
      </w:r>
      <w:r w:rsidR="008770F5">
        <w:rPr>
          <w:rFonts w:ascii="Times New Roman" w:hAnsi="Times New Roman" w:cs="Times New Roman"/>
          <w:sz w:val="24"/>
          <w:szCs w:val="24"/>
          <w:lang w:val="en-US"/>
        </w:rPr>
        <w:t xml:space="preserve"> and</w:t>
      </w:r>
      <w:r w:rsidR="0002444C" w:rsidRPr="007B140B">
        <w:rPr>
          <w:rFonts w:ascii="Times New Roman" w:hAnsi="Times New Roman" w:cs="Times New Roman"/>
          <w:sz w:val="24"/>
          <w:szCs w:val="24"/>
          <w:lang w:val="en-US"/>
        </w:rPr>
        <w:t xml:space="preserve"> </w:t>
      </w:r>
      <w:r w:rsidR="002C15F9" w:rsidRPr="007B140B">
        <w:rPr>
          <w:rFonts w:ascii="Times New Roman" w:hAnsi="Times New Roman" w:cs="Times New Roman"/>
          <w:sz w:val="24"/>
          <w:szCs w:val="24"/>
          <w:lang w:val="en-US"/>
        </w:rPr>
        <w:t xml:space="preserve">because treatment </w:t>
      </w:r>
      <w:r w:rsidR="0002444C" w:rsidRPr="007B140B">
        <w:rPr>
          <w:rFonts w:ascii="Times New Roman" w:hAnsi="Times New Roman" w:cs="Times New Roman"/>
          <w:sz w:val="24"/>
          <w:szCs w:val="24"/>
          <w:lang w:val="en-US"/>
        </w:rPr>
        <w:t xml:space="preserve">decisions should be based on individual assessments </w:t>
      </w:r>
      <w:r w:rsidR="006617E8" w:rsidRPr="007B140B">
        <w:rPr>
          <w:rFonts w:ascii="Times New Roman" w:hAnsi="Times New Roman" w:cs="Times New Roman"/>
          <w:sz w:val="24"/>
          <w:szCs w:val="24"/>
          <w:lang w:val="en-US"/>
        </w:rPr>
        <w:t xml:space="preserve">made </w:t>
      </w:r>
      <w:r w:rsidR="002C15F9" w:rsidRPr="007B140B">
        <w:rPr>
          <w:rFonts w:ascii="Times New Roman" w:hAnsi="Times New Roman" w:cs="Times New Roman"/>
          <w:sz w:val="24"/>
          <w:szCs w:val="24"/>
          <w:lang w:val="en-US"/>
        </w:rPr>
        <w:t xml:space="preserve">according </w:t>
      </w:r>
      <w:r w:rsidR="0002444C" w:rsidRPr="007B140B">
        <w:rPr>
          <w:rFonts w:ascii="Times New Roman" w:hAnsi="Times New Roman" w:cs="Times New Roman"/>
          <w:sz w:val="24"/>
          <w:szCs w:val="24"/>
          <w:lang w:val="en-US"/>
        </w:rPr>
        <w:t>to local guidelines.</w:t>
      </w:r>
    </w:p>
    <w:p w14:paraId="1C04CBF4" w14:textId="1452AD30" w:rsidR="007133D0" w:rsidRPr="007B140B" w:rsidRDefault="007133D0" w:rsidP="00273AA9">
      <w:pPr>
        <w:rPr>
          <w:rFonts w:ascii="Times New Roman" w:hAnsi="Times New Roman" w:cs="Times New Roman"/>
          <w:sz w:val="24"/>
          <w:szCs w:val="24"/>
          <w:lang w:val="en-US"/>
        </w:rPr>
      </w:pPr>
    </w:p>
    <w:p w14:paraId="42CABB84" w14:textId="5EBE91C1" w:rsidR="007133D0" w:rsidRPr="007B140B" w:rsidRDefault="007133D0" w:rsidP="00D36611">
      <w:pPr>
        <w:pStyle w:val="Formatmall3"/>
        <w:rPr>
          <w:rFonts w:cs="Times New Roman"/>
          <w:lang w:val="en-US"/>
        </w:rPr>
      </w:pPr>
      <w:bookmarkStart w:id="113" w:name="_Toc99001452"/>
      <w:r w:rsidRPr="007B140B">
        <w:rPr>
          <w:rFonts w:cs="Times New Roman"/>
          <w:lang w:val="en-US"/>
        </w:rPr>
        <w:lastRenderedPageBreak/>
        <w:t>Data access</w:t>
      </w:r>
      <w:bookmarkEnd w:id="113"/>
    </w:p>
    <w:p w14:paraId="4A147D55" w14:textId="23FBC358" w:rsidR="00BE08DE" w:rsidRPr="007B140B" w:rsidRDefault="007133D0" w:rsidP="00273AA9">
      <w:p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Principal investigators will have complete access to the data at their center, but they will not </w:t>
      </w:r>
      <w:r w:rsidR="00E51E88" w:rsidRPr="007B140B">
        <w:rPr>
          <w:rFonts w:ascii="Times New Roman" w:hAnsi="Times New Roman" w:cs="Times New Roman"/>
          <w:sz w:val="24"/>
          <w:szCs w:val="24"/>
          <w:lang w:val="en-US"/>
        </w:rPr>
        <w:t xml:space="preserve">have </w:t>
      </w:r>
      <w:r w:rsidRPr="007B140B">
        <w:rPr>
          <w:rFonts w:ascii="Times New Roman" w:hAnsi="Times New Roman" w:cs="Times New Roman"/>
          <w:sz w:val="24"/>
          <w:szCs w:val="24"/>
          <w:lang w:val="en-US"/>
        </w:rPr>
        <w:t xml:space="preserve">access to the data </w:t>
      </w:r>
      <w:r w:rsidR="00E76826">
        <w:rPr>
          <w:rFonts w:ascii="Times New Roman" w:hAnsi="Times New Roman" w:cs="Times New Roman"/>
          <w:sz w:val="24"/>
          <w:szCs w:val="24"/>
          <w:lang w:val="en-US"/>
        </w:rPr>
        <w:t>at</w:t>
      </w:r>
      <w:r w:rsidR="00E76826" w:rsidRPr="007B140B">
        <w:rPr>
          <w:rFonts w:ascii="Times New Roman" w:hAnsi="Times New Roman" w:cs="Times New Roman"/>
          <w:sz w:val="24"/>
          <w:szCs w:val="24"/>
          <w:lang w:val="en-US"/>
        </w:rPr>
        <w:t xml:space="preserve"> </w:t>
      </w:r>
      <w:r w:rsidRPr="007B140B">
        <w:rPr>
          <w:rFonts w:ascii="Times New Roman" w:hAnsi="Times New Roman" w:cs="Times New Roman"/>
          <w:sz w:val="24"/>
          <w:szCs w:val="24"/>
          <w:lang w:val="en-US"/>
        </w:rPr>
        <w:t xml:space="preserve">other centers. The sponsor and trial statistician will have access to all </w:t>
      </w:r>
      <w:r w:rsidR="00410886" w:rsidRPr="007B140B">
        <w:rPr>
          <w:rFonts w:ascii="Times New Roman" w:hAnsi="Times New Roman" w:cs="Times New Roman"/>
          <w:sz w:val="24"/>
          <w:szCs w:val="24"/>
          <w:lang w:val="en-US"/>
        </w:rPr>
        <w:t xml:space="preserve">participant lists and </w:t>
      </w:r>
      <w:r w:rsidRPr="007B140B">
        <w:rPr>
          <w:rFonts w:ascii="Times New Roman" w:hAnsi="Times New Roman" w:cs="Times New Roman"/>
          <w:sz w:val="24"/>
          <w:szCs w:val="24"/>
          <w:lang w:val="en-US"/>
        </w:rPr>
        <w:t>eCRFs</w:t>
      </w:r>
      <w:r w:rsidR="00451451" w:rsidRPr="007B140B">
        <w:rPr>
          <w:rFonts w:ascii="Times New Roman" w:hAnsi="Times New Roman" w:cs="Times New Roman"/>
          <w:sz w:val="24"/>
          <w:szCs w:val="24"/>
          <w:lang w:val="en-US"/>
        </w:rPr>
        <w:t xml:space="preserve">. </w:t>
      </w:r>
      <w:r w:rsidR="00E51E88" w:rsidRPr="007B140B">
        <w:rPr>
          <w:rFonts w:ascii="Times New Roman" w:hAnsi="Times New Roman" w:cs="Times New Roman"/>
          <w:sz w:val="24"/>
          <w:szCs w:val="24"/>
          <w:lang w:val="en-US"/>
        </w:rPr>
        <w:t>All principal investigators will receive the final</w:t>
      </w:r>
      <w:r w:rsidR="00503141" w:rsidRPr="007B140B">
        <w:rPr>
          <w:rFonts w:ascii="Times New Roman" w:hAnsi="Times New Roman" w:cs="Times New Roman"/>
          <w:sz w:val="24"/>
          <w:szCs w:val="24"/>
          <w:lang w:val="en-US"/>
        </w:rPr>
        <w:t>, pseudo-anonymized</w:t>
      </w:r>
      <w:r w:rsidR="00503D56">
        <w:rPr>
          <w:rFonts w:ascii="Times New Roman" w:hAnsi="Times New Roman" w:cs="Times New Roman"/>
          <w:sz w:val="24"/>
          <w:szCs w:val="24"/>
          <w:lang w:val="en-US"/>
        </w:rPr>
        <w:t>,</w:t>
      </w:r>
      <w:r w:rsidR="00503141" w:rsidRPr="007B140B">
        <w:rPr>
          <w:rFonts w:ascii="Times New Roman" w:hAnsi="Times New Roman" w:cs="Times New Roman"/>
          <w:sz w:val="24"/>
          <w:szCs w:val="24"/>
          <w:lang w:val="en-US"/>
        </w:rPr>
        <w:t xml:space="preserve"> analysis dataset</w:t>
      </w:r>
      <w:r w:rsidR="005D1CB2">
        <w:rPr>
          <w:rFonts w:ascii="Times New Roman" w:hAnsi="Times New Roman" w:cs="Times New Roman"/>
          <w:sz w:val="24"/>
          <w:szCs w:val="24"/>
          <w:lang w:val="en-US"/>
        </w:rPr>
        <w:t>s</w:t>
      </w:r>
      <w:r w:rsidR="00E51E88" w:rsidRPr="007B140B">
        <w:rPr>
          <w:rFonts w:ascii="Times New Roman" w:hAnsi="Times New Roman" w:cs="Times New Roman"/>
          <w:sz w:val="24"/>
          <w:szCs w:val="24"/>
          <w:lang w:val="en-US"/>
        </w:rPr>
        <w:t>.</w:t>
      </w:r>
    </w:p>
    <w:p w14:paraId="562B8E61" w14:textId="77777777" w:rsidR="007133D0" w:rsidRPr="007B140B" w:rsidRDefault="007133D0" w:rsidP="00273AA9">
      <w:pPr>
        <w:rPr>
          <w:rFonts w:ascii="Times New Roman" w:hAnsi="Times New Roman" w:cs="Times New Roman"/>
          <w:sz w:val="24"/>
          <w:szCs w:val="24"/>
          <w:lang w:val="en-US"/>
        </w:rPr>
      </w:pPr>
    </w:p>
    <w:p w14:paraId="0D2E7006" w14:textId="6506F2A8" w:rsidR="00884BA9" w:rsidRPr="007B140B" w:rsidRDefault="00884BA9" w:rsidP="00D36611">
      <w:pPr>
        <w:pStyle w:val="Formatmall4"/>
        <w:rPr>
          <w:rFonts w:cs="Times New Roman"/>
          <w:lang w:val="en-US"/>
        </w:rPr>
      </w:pPr>
      <w:bookmarkStart w:id="114" w:name="_Toc99001453"/>
      <w:r w:rsidRPr="007B140B">
        <w:rPr>
          <w:rFonts w:cs="Times New Roman"/>
          <w:lang w:val="en-US"/>
        </w:rPr>
        <w:t>Dissemination</w:t>
      </w:r>
      <w:bookmarkEnd w:id="114"/>
    </w:p>
    <w:p w14:paraId="2FEA251D" w14:textId="2906FD8F" w:rsidR="004670FC" w:rsidRPr="007B140B" w:rsidRDefault="0069137F">
      <w:pPr>
        <w:rPr>
          <w:rFonts w:ascii="Times New Roman" w:hAnsi="Times New Roman" w:cs="Times New Roman"/>
          <w:sz w:val="24"/>
          <w:szCs w:val="24"/>
          <w:lang w:val="en-US"/>
        </w:rPr>
      </w:pPr>
      <w:r>
        <w:rPr>
          <w:rFonts w:ascii="Times New Roman" w:hAnsi="Times New Roman" w:cs="Times New Roman"/>
          <w:sz w:val="24"/>
          <w:szCs w:val="24"/>
          <w:lang w:val="en-US"/>
        </w:rPr>
        <w:t>A</w:t>
      </w:r>
      <w:r w:rsidR="00CE3052" w:rsidRPr="007B140B">
        <w:rPr>
          <w:rFonts w:ascii="Times New Roman" w:hAnsi="Times New Roman" w:cs="Times New Roman"/>
          <w:sz w:val="24"/>
          <w:szCs w:val="24"/>
          <w:lang w:val="en-US"/>
        </w:rPr>
        <w:t xml:space="preserve"> </w:t>
      </w:r>
      <w:r>
        <w:rPr>
          <w:rFonts w:ascii="Times New Roman" w:hAnsi="Times New Roman" w:cs="Times New Roman"/>
          <w:sz w:val="24"/>
          <w:szCs w:val="24"/>
          <w:lang w:val="en-US"/>
        </w:rPr>
        <w:t>Clinical Study Report</w:t>
      </w:r>
      <w:r w:rsidR="00CE3052" w:rsidRPr="007B140B">
        <w:rPr>
          <w:rFonts w:ascii="Times New Roman" w:hAnsi="Times New Roman" w:cs="Times New Roman"/>
          <w:sz w:val="24"/>
          <w:szCs w:val="24"/>
          <w:lang w:val="en-US"/>
        </w:rPr>
        <w:t xml:space="preserve"> of the trial</w:t>
      </w:r>
      <w:r>
        <w:rPr>
          <w:rFonts w:ascii="Times New Roman" w:hAnsi="Times New Roman" w:cs="Times New Roman"/>
          <w:sz w:val="24"/>
          <w:szCs w:val="24"/>
          <w:lang w:val="en-US"/>
        </w:rPr>
        <w:t>’s results</w:t>
      </w:r>
      <w:r w:rsidR="00CE3052" w:rsidRPr="007B140B">
        <w:rPr>
          <w:rFonts w:ascii="Times New Roman" w:hAnsi="Times New Roman" w:cs="Times New Roman"/>
          <w:sz w:val="24"/>
          <w:szCs w:val="24"/>
          <w:lang w:val="en-US"/>
        </w:rPr>
        <w:t xml:space="preserve"> will be </w:t>
      </w:r>
      <w:r w:rsidR="008B3DD0" w:rsidRPr="007B140B">
        <w:rPr>
          <w:rFonts w:ascii="Times New Roman" w:hAnsi="Times New Roman" w:cs="Times New Roman"/>
          <w:sz w:val="24"/>
          <w:szCs w:val="24"/>
          <w:lang w:val="en-US"/>
        </w:rPr>
        <w:t>completed</w:t>
      </w:r>
      <w:r w:rsidR="00CE3052" w:rsidRPr="007B140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twice </w:t>
      </w:r>
      <w:r w:rsidR="00CE3052" w:rsidRPr="007B140B">
        <w:rPr>
          <w:rFonts w:ascii="Times New Roman" w:hAnsi="Times New Roman" w:cs="Times New Roman"/>
          <w:sz w:val="24"/>
          <w:szCs w:val="24"/>
          <w:lang w:val="en-US"/>
        </w:rPr>
        <w:t xml:space="preserve">in </w:t>
      </w:r>
      <w:r w:rsidR="00F43A17" w:rsidRPr="007B140B">
        <w:rPr>
          <w:rFonts w:ascii="Times New Roman" w:hAnsi="Times New Roman" w:cs="Times New Roman"/>
          <w:sz w:val="24"/>
          <w:szCs w:val="24"/>
          <w:lang w:val="en-US"/>
        </w:rPr>
        <w:t>accordance</w:t>
      </w:r>
      <w:r w:rsidR="00CE3052" w:rsidRPr="007B140B">
        <w:rPr>
          <w:rFonts w:ascii="Times New Roman" w:hAnsi="Times New Roman" w:cs="Times New Roman"/>
          <w:sz w:val="24"/>
          <w:szCs w:val="24"/>
          <w:lang w:val="en-US"/>
        </w:rPr>
        <w:t xml:space="preserve"> with Annex 1 </w:t>
      </w:r>
      <w:r w:rsidR="00F43A17" w:rsidRPr="007B140B">
        <w:rPr>
          <w:rFonts w:ascii="Times New Roman" w:hAnsi="Times New Roman" w:cs="Times New Roman"/>
          <w:sz w:val="24"/>
          <w:szCs w:val="24"/>
          <w:lang w:val="en-US"/>
        </w:rPr>
        <w:t xml:space="preserve">of </w:t>
      </w:r>
      <w:r w:rsidR="00CE3052" w:rsidRPr="007B140B">
        <w:rPr>
          <w:rFonts w:ascii="Times New Roman" w:hAnsi="Times New Roman" w:cs="Times New Roman"/>
          <w:sz w:val="24"/>
          <w:szCs w:val="24"/>
          <w:lang w:val="en-US"/>
        </w:rPr>
        <w:t>the ICH E3 guidelines</w:t>
      </w:r>
      <w:r w:rsidR="00F43A17" w:rsidRPr="007B140B">
        <w:rPr>
          <w:rFonts w:ascii="Times New Roman" w:hAnsi="Times New Roman" w:cs="Times New Roman"/>
          <w:sz w:val="24"/>
          <w:szCs w:val="24"/>
          <w:lang w:val="en-US"/>
        </w:rPr>
        <w:t>.</w:t>
      </w:r>
      <w:r w:rsidR="0094339B" w:rsidRPr="007B140B">
        <w:rPr>
          <w:rFonts w:ascii="Times New Roman" w:hAnsi="Times New Roman" w:cs="Times New Roman"/>
          <w:sz w:val="24"/>
          <w:szCs w:val="24"/>
          <w:lang w:val="en-US"/>
        </w:rPr>
        <w:fldChar w:fldCharType="begin" w:fldLock="1"/>
      </w:r>
      <w:r w:rsidR="00E85D18">
        <w:rPr>
          <w:rFonts w:ascii="Times New Roman" w:hAnsi="Times New Roman" w:cs="Times New Roman"/>
          <w:sz w:val="24"/>
          <w:szCs w:val="24"/>
          <w:lang w:val="en-US"/>
        </w:rPr>
        <w:instrText>ADDIN CSL_CITATION {"citationItems":[{"id":"ITEM-1","itemData":{"author":[{"dropping-particle":"","family":"International Conference on Harmonisation of Technical Requirements for Registration of Pharmaceuticals for Human Use","given":"","non-dropping-particle":"","parse-names":false,"suffix":""}],"id":"ITEM-1","issued":{"date-parts":[["1995"]]},"title":"ICH harmonised tripartite guideline E3: structure and content of clinical study reports","type":"book"},"uris":["http://www.mendeley.com/documents/?uuid=59fd40f4-b325-48bc-a163-b86820140230"]}],"mendeley":{"formattedCitation":"&lt;sup&gt;&lt;sup&gt;69&lt;/sup&gt;&lt;/sup&gt;","plainTextFormattedCitation":"69","previouslyFormattedCitation":"&lt;sup&gt;&lt;sup&gt;70&lt;/sup&gt;&lt;/sup&gt;"},"properties":{"noteIndex":0},"schema":"https://github.com/citation-style-language/schema/raw/master/csl-citation.json"}</w:instrText>
      </w:r>
      <w:r w:rsidR="0094339B" w:rsidRPr="007B140B">
        <w:rPr>
          <w:rFonts w:ascii="Times New Roman" w:hAnsi="Times New Roman" w:cs="Times New Roman"/>
          <w:sz w:val="24"/>
          <w:szCs w:val="24"/>
          <w:lang w:val="en-US"/>
        </w:rPr>
        <w:fldChar w:fldCharType="separate"/>
      </w:r>
      <w:r w:rsidR="00E85D18" w:rsidRPr="00E85D18">
        <w:rPr>
          <w:rFonts w:ascii="Times New Roman" w:hAnsi="Times New Roman" w:cs="Times New Roman"/>
          <w:noProof/>
          <w:sz w:val="24"/>
          <w:szCs w:val="24"/>
          <w:vertAlign w:val="superscript"/>
          <w:lang w:val="en-US"/>
        </w:rPr>
        <w:t>69</w:t>
      </w:r>
      <w:r w:rsidR="0094339B" w:rsidRPr="007B140B">
        <w:rPr>
          <w:rFonts w:ascii="Times New Roman" w:hAnsi="Times New Roman" w:cs="Times New Roman"/>
          <w:sz w:val="24"/>
          <w:szCs w:val="24"/>
          <w:lang w:val="en-US"/>
        </w:rPr>
        <w:fldChar w:fldCharType="end"/>
      </w:r>
      <w:r w:rsidR="00F43A17" w:rsidRPr="007B140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first time will be within a year after </w:t>
      </w:r>
      <w:r w:rsidRPr="007B140B">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end of the Main Phase. The second time will be at the end of the Secondary Phase (i.e., the End of Trial). The second report will be </w:t>
      </w:r>
      <w:r w:rsidR="00CE3052" w:rsidRPr="007B140B">
        <w:rPr>
          <w:rFonts w:ascii="Times New Roman" w:hAnsi="Times New Roman" w:cs="Times New Roman"/>
          <w:sz w:val="24"/>
          <w:szCs w:val="24"/>
          <w:lang w:val="en-US"/>
        </w:rPr>
        <w:t>submitted to the Swedish Medical Products Agency.</w:t>
      </w:r>
      <w:r w:rsidR="00CE3052" w:rsidRPr="007B140B">
        <w:rPr>
          <w:rFonts w:ascii="Times New Roman" w:hAnsi="Times New Roman" w:cs="Times New Roman"/>
          <w:sz w:val="24"/>
          <w:szCs w:val="24"/>
          <w:lang w:val="en-US"/>
        </w:rPr>
        <w:fldChar w:fldCharType="begin" w:fldLock="1"/>
      </w:r>
      <w:r w:rsidR="00E85D18">
        <w:rPr>
          <w:rFonts w:ascii="Times New Roman" w:hAnsi="Times New Roman" w:cs="Times New Roman"/>
          <w:sz w:val="24"/>
          <w:szCs w:val="24"/>
          <w:lang w:val="en-US"/>
        </w:rPr>
        <w:instrText>ADDIN CSL_CITATION {"citationItems":[{"id":"ITEM-1","itemData":{"author":[{"dropping-particle":"","family":"Läkemedelsverket","given":"","non-dropping-particle":"","parse-names":false,"suffix":""}],"id":"ITEM-1","issued":{"date-parts":[["2013"]]},"title":"Vägledning till Läkemedelsverkets föreskrifter (LVFS 2011:19) om kliniska läkemedelsprövningar på människor","type":"book"},"uris":["http://www.mendeley.com/documents/?uuid=ba7c2736-94e9-439e-9b46-a0e4a8468adc"]}],"mendeley":{"formattedCitation":"&lt;sup&gt;&lt;sup&gt;65&lt;/sup&gt;&lt;/sup&gt;","plainTextFormattedCitation":"65","previouslyFormattedCitation":"&lt;sup&gt;&lt;sup&gt;66&lt;/sup&gt;&lt;/sup&gt;"},"properties":{"noteIndex":0},"schema":"https://github.com/citation-style-language/schema/raw/master/csl-citation.json"}</w:instrText>
      </w:r>
      <w:r w:rsidR="00CE3052" w:rsidRPr="007B140B">
        <w:rPr>
          <w:rFonts w:ascii="Times New Roman" w:hAnsi="Times New Roman" w:cs="Times New Roman"/>
          <w:sz w:val="24"/>
          <w:szCs w:val="24"/>
          <w:lang w:val="en-US"/>
        </w:rPr>
        <w:fldChar w:fldCharType="separate"/>
      </w:r>
      <w:r w:rsidR="00E85D18" w:rsidRPr="00E85D18">
        <w:rPr>
          <w:rFonts w:ascii="Times New Roman" w:hAnsi="Times New Roman" w:cs="Times New Roman"/>
          <w:noProof/>
          <w:sz w:val="24"/>
          <w:szCs w:val="24"/>
          <w:vertAlign w:val="superscript"/>
          <w:lang w:val="en-US"/>
        </w:rPr>
        <w:t>65</w:t>
      </w:r>
      <w:r w:rsidR="00CE3052" w:rsidRPr="007B140B">
        <w:rPr>
          <w:rFonts w:ascii="Times New Roman" w:hAnsi="Times New Roman" w:cs="Times New Roman"/>
          <w:sz w:val="24"/>
          <w:szCs w:val="24"/>
          <w:lang w:val="en-US"/>
        </w:rPr>
        <w:fldChar w:fldCharType="end"/>
      </w:r>
      <w:r w:rsidR="00994311" w:rsidRPr="007B140B">
        <w:rPr>
          <w:rFonts w:ascii="Times New Roman" w:hAnsi="Times New Roman" w:cs="Times New Roman"/>
          <w:sz w:val="24"/>
          <w:szCs w:val="24"/>
          <w:lang w:val="en-US"/>
        </w:rPr>
        <w:t xml:space="preserve"> It will also be posted on the European Union Drug Regulating Authorities Clinical Trials Database (EudraCT).</w:t>
      </w:r>
      <w:r w:rsidR="0028473B" w:rsidRPr="007B140B">
        <w:rPr>
          <w:rFonts w:ascii="Times New Roman" w:hAnsi="Times New Roman" w:cs="Times New Roman"/>
          <w:sz w:val="24"/>
          <w:szCs w:val="24"/>
          <w:lang w:val="en-US"/>
        </w:rPr>
        <w:t xml:space="preserve"> Participants will receive a non-technical su</w:t>
      </w:r>
      <w:r w:rsidR="00B51920" w:rsidRPr="007B140B">
        <w:rPr>
          <w:rFonts w:ascii="Times New Roman" w:hAnsi="Times New Roman" w:cs="Times New Roman"/>
          <w:sz w:val="24"/>
          <w:szCs w:val="24"/>
          <w:lang w:val="en-US"/>
        </w:rPr>
        <w:t>mmary of the study results</w:t>
      </w:r>
      <w:r w:rsidR="00DA4668">
        <w:rPr>
          <w:rFonts w:ascii="Times New Roman" w:hAnsi="Times New Roman" w:cs="Times New Roman"/>
          <w:sz w:val="24"/>
          <w:szCs w:val="24"/>
          <w:lang w:val="en-US"/>
        </w:rPr>
        <w:t xml:space="preserve"> when the </w:t>
      </w:r>
      <w:r w:rsidR="00B031E9">
        <w:rPr>
          <w:rFonts w:ascii="Times New Roman" w:hAnsi="Times New Roman" w:cs="Times New Roman"/>
          <w:sz w:val="24"/>
          <w:szCs w:val="24"/>
          <w:lang w:val="en-US"/>
        </w:rPr>
        <w:t xml:space="preserve">last participant </w:t>
      </w:r>
      <w:r>
        <w:rPr>
          <w:rFonts w:ascii="Times New Roman" w:hAnsi="Times New Roman" w:cs="Times New Roman"/>
          <w:sz w:val="24"/>
          <w:szCs w:val="24"/>
          <w:lang w:val="en-US"/>
        </w:rPr>
        <w:t xml:space="preserve">after </w:t>
      </w:r>
      <w:r w:rsidR="00B031E9">
        <w:rPr>
          <w:rFonts w:ascii="Times New Roman" w:hAnsi="Times New Roman" w:cs="Times New Roman"/>
          <w:sz w:val="24"/>
          <w:szCs w:val="24"/>
          <w:lang w:val="en-US"/>
        </w:rPr>
        <w:t>the Main Phase of the trial</w:t>
      </w:r>
      <w:r w:rsidR="00B51920" w:rsidRPr="007B140B">
        <w:rPr>
          <w:rFonts w:ascii="Times New Roman" w:hAnsi="Times New Roman" w:cs="Times New Roman"/>
          <w:sz w:val="24"/>
          <w:szCs w:val="24"/>
          <w:lang w:val="en-US"/>
        </w:rPr>
        <w:t xml:space="preserve">. </w:t>
      </w:r>
      <w:r w:rsidR="00DB087B">
        <w:rPr>
          <w:rFonts w:ascii="Times New Roman" w:hAnsi="Times New Roman" w:cs="Times New Roman"/>
          <w:sz w:val="24"/>
          <w:szCs w:val="24"/>
          <w:lang w:val="en-US"/>
        </w:rPr>
        <w:t>C</w:t>
      </w:r>
      <w:r w:rsidR="00871D8F" w:rsidRPr="007B140B">
        <w:rPr>
          <w:rFonts w:ascii="Times New Roman" w:hAnsi="Times New Roman" w:cs="Times New Roman"/>
          <w:sz w:val="24"/>
          <w:szCs w:val="24"/>
          <w:lang w:val="en-US"/>
        </w:rPr>
        <w:t>linical s</w:t>
      </w:r>
      <w:r w:rsidR="0028473B" w:rsidRPr="007B140B">
        <w:rPr>
          <w:rFonts w:ascii="Times New Roman" w:hAnsi="Times New Roman" w:cs="Times New Roman"/>
          <w:sz w:val="24"/>
          <w:szCs w:val="24"/>
          <w:lang w:val="en-US"/>
        </w:rPr>
        <w:t>taff will also receive a summary of the results.</w:t>
      </w:r>
    </w:p>
    <w:p w14:paraId="530F67FA" w14:textId="7A927BF0" w:rsidR="00D667BD" w:rsidRDefault="0024605C" w:rsidP="00A134C1">
      <w:p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The </w:t>
      </w:r>
      <w:r w:rsidR="009832DF" w:rsidRPr="007B140B">
        <w:rPr>
          <w:rFonts w:ascii="Times New Roman" w:hAnsi="Times New Roman" w:cs="Times New Roman"/>
          <w:sz w:val="24"/>
          <w:szCs w:val="24"/>
          <w:lang w:val="en-US"/>
        </w:rPr>
        <w:t xml:space="preserve">results of the </w:t>
      </w:r>
      <w:r w:rsidR="00D667BD">
        <w:rPr>
          <w:rFonts w:ascii="Times New Roman" w:hAnsi="Times New Roman" w:cs="Times New Roman"/>
          <w:sz w:val="24"/>
          <w:szCs w:val="24"/>
          <w:lang w:val="en-US"/>
        </w:rPr>
        <w:t xml:space="preserve">Main Phase </w:t>
      </w:r>
      <w:r w:rsidRPr="007B140B">
        <w:rPr>
          <w:rFonts w:ascii="Times New Roman" w:hAnsi="Times New Roman" w:cs="Times New Roman"/>
          <w:sz w:val="24"/>
          <w:szCs w:val="24"/>
          <w:lang w:val="en-US"/>
        </w:rPr>
        <w:t xml:space="preserve">will be published in a </w:t>
      </w:r>
      <w:r w:rsidR="00173281" w:rsidRPr="007B140B">
        <w:rPr>
          <w:rFonts w:ascii="Times New Roman" w:hAnsi="Times New Roman" w:cs="Times New Roman"/>
          <w:sz w:val="24"/>
          <w:szCs w:val="24"/>
          <w:lang w:val="en-US"/>
        </w:rPr>
        <w:t xml:space="preserve">peer-reviewed </w:t>
      </w:r>
      <w:r w:rsidRPr="007B140B">
        <w:rPr>
          <w:rFonts w:ascii="Times New Roman" w:hAnsi="Times New Roman" w:cs="Times New Roman"/>
          <w:sz w:val="24"/>
          <w:szCs w:val="24"/>
          <w:lang w:val="en-US"/>
        </w:rPr>
        <w:t>scientific journal</w:t>
      </w:r>
      <w:r w:rsidR="00320B91">
        <w:rPr>
          <w:rFonts w:ascii="Times New Roman" w:hAnsi="Times New Roman" w:cs="Times New Roman"/>
          <w:sz w:val="24"/>
          <w:szCs w:val="24"/>
          <w:lang w:val="en-US"/>
        </w:rPr>
        <w:t xml:space="preserve"> </w:t>
      </w:r>
      <w:r w:rsidR="00D667BD">
        <w:rPr>
          <w:rFonts w:ascii="Times New Roman" w:hAnsi="Times New Roman" w:cs="Times New Roman"/>
          <w:sz w:val="24"/>
          <w:szCs w:val="24"/>
          <w:lang w:val="en-US"/>
        </w:rPr>
        <w:t xml:space="preserve">after the completion of </w:t>
      </w:r>
      <w:r w:rsidR="00B031E9">
        <w:rPr>
          <w:rFonts w:ascii="Times New Roman" w:hAnsi="Times New Roman" w:cs="Times New Roman"/>
          <w:sz w:val="24"/>
          <w:szCs w:val="24"/>
          <w:lang w:val="en-US"/>
        </w:rPr>
        <w:t>the Main Phase</w:t>
      </w:r>
      <w:r w:rsidR="00D473DB" w:rsidRPr="007B140B">
        <w:rPr>
          <w:rFonts w:ascii="Times New Roman" w:hAnsi="Times New Roman" w:cs="Times New Roman"/>
          <w:sz w:val="24"/>
          <w:szCs w:val="24"/>
          <w:lang w:val="en-US"/>
        </w:rPr>
        <w:t xml:space="preserve">, regardless of </w:t>
      </w:r>
      <w:proofErr w:type="gramStart"/>
      <w:r w:rsidR="00D473DB" w:rsidRPr="007B140B">
        <w:rPr>
          <w:rFonts w:ascii="Times New Roman" w:hAnsi="Times New Roman" w:cs="Times New Roman"/>
          <w:sz w:val="24"/>
          <w:szCs w:val="24"/>
          <w:lang w:val="en-US"/>
        </w:rPr>
        <w:t>whether or not</w:t>
      </w:r>
      <w:proofErr w:type="gramEnd"/>
      <w:r w:rsidR="00D473DB" w:rsidRPr="007B140B">
        <w:rPr>
          <w:rFonts w:ascii="Times New Roman" w:hAnsi="Times New Roman" w:cs="Times New Roman"/>
          <w:sz w:val="24"/>
          <w:szCs w:val="24"/>
          <w:lang w:val="en-US"/>
        </w:rPr>
        <w:t xml:space="preserve"> </w:t>
      </w:r>
      <w:r w:rsidR="0056030F" w:rsidRPr="007B140B">
        <w:rPr>
          <w:rFonts w:ascii="Times New Roman" w:hAnsi="Times New Roman" w:cs="Times New Roman"/>
          <w:sz w:val="24"/>
          <w:szCs w:val="24"/>
          <w:lang w:val="en-US"/>
        </w:rPr>
        <w:t>the results</w:t>
      </w:r>
      <w:r w:rsidR="00D473DB" w:rsidRPr="007B140B">
        <w:rPr>
          <w:rFonts w:ascii="Times New Roman" w:hAnsi="Times New Roman" w:cs="Times New Roman"/>
          <w:sz w:val="24"/>
          <w:szCs w:val="24"/>
          <w:lang w:val="en-US"/>
        </w:rPr>
        <w:t xml:space="preserve"> show a significant treatment effect</w:t>
      </w:r>
      <w:r w:rsidRPr="007B140B">
        <w:rPr>
          <w:rFonts w:ascii="Times New Roman" w:hAnsi="Times New Roman" w:cs="Times New Roman"/>
          <w:sz w:val="24"/>
          <w:szCs w:val="24"/>
          <w:lang w:val="en-US"/>
        </w:rPr>
        <w:t>.</w:t>
      </w:r>
      <w:r w:rsidR="00D667BD">
        <w:rPr>
          <w:rFonts w:ascii="Times New Roman" w:hAnsi="Times New Roman" w:cs="Times New Roman"/>
          <w:sz w:val="24"/>
          <w:szCs w:val="24"/>
          <w:lang w:val="en-US"/>
        </w:rPr>
        <w:t xml:space="preserve"> The results of the Secondary Phase will be published similarly.</w:t>
      </w:r>
      <w:r w:rsidR="003377B0" w:rsidRPr="007B140B">
        <w:rPr>
          <w:rFonts w:ascii="Times New Roman" w:hAnsi="Times New Roman" w:cs="Times New Roman"/>
          <w:sz w:val="24"/>
          <w:szCs w:val="24"/>
          <w:lang w:val="en-US"/>
        </w:rPr>
        <w:t xml:space="preserve"> Study centers must not</w:t>
      </w:r>
      <w:r w:rsidR="00567CD4" w:rsidRPr="007B140B">
        <w:rPr>
          <w:rFonts w:ascii="Times New Roman" w:hAnsi="Times New Roman" w:cs="Times New Roman"/>
          <w:sz w:val="24"/>
          <w:szCs w:val="24"/>
          <w:lang w:val="en-US"/>
        </w:rPr>
        <w:t xml:space="preserve"> publish their own results, because</w:t>
      </w:r>
      <w:r w:rsidR="003377B0" w:rsidRPr="007B140B">
        <w:rPr>
          <w:rFonts w:ascii="Times New Roman" w:hAnsi="Times New Roman" w:cs="Times New Roman"/>
          <w:sz w:val="24"/>
          <w:szCs w:val="24"/>
          <w:lang w:val="en-US"/>
        </w:rPr>
        <w:t xml:space="preserve"> </w:t>
      </w:r>
      <w:r w:rsidR="00567CD4" w:rsidRPr="007B140B">
        <w:rPr>
          <w:rFonts w:ascii="Times New Roman" w:hAnsi="Times New Roman" w:cs="Times New Roman"/>
          <w:sz w:val="24"/>
          <w:szCs w:val="24"/>
          <w:lang w:val="en-US"/>
        </w:rPr>
        <w:t xml:space="preserve">the </w:t>
      </w:r>
      <w:r w:rsidR="003377B0" w:rsidRPr="007B140B">
        <w:rPr>
          <w:rFonts w:ascii="Times New Roman" w:hAnsi="Times New Roman" w:cs="Times New Roman"/>
          <w:sz w:val="24"/>
          <w:szCs w:val="24"/>
          <w:lang w:val="en-US"/>
        </w:rPr>
        <w:t xml:space="preserve">results </w:t>
      </w:r>
      <w:r w:rsidR="00567CD4" w:rsidRPr="007B140B">
        <w:rPr>
          <w:rFonts w:ascii="Times New Roman" w:hAnsi="Times New Roman" w:cs="Times New Roman"/>
          <w:sz w:val="24"/>
          <w:szCs w:val="24"/>
          <w:lang w:val="en-US"/>
        </w:rPr>
        <w:t xml:space="preserve">from all centers </w:t>
      </w:r>
      <w:r w:rsidR="003377B0" w:rsidRPr="007B140B">
        <w:rPr>
          <w:rFonts w:ascii="Times New Roman" w:hAnsi="Times New Roman" w:cs="Times New Roman"/>
          <w:sz w:val="24"/>
          <w:szCs w:val="24"/>
          <w:lang w:val="en-US"/>
        </w:rPr>
        <w:t xml:space="preserve">will be </w:t>
      </w:r>
      <w:r w:rsidR="00567CD4" w:rsidRPr="007B140B">
        <w:rPr>
          <w:rFonts w:ascii="Times New Roman" w:hAnsi="Times New Roman" w:cs="Times New Roman"/>
          <w:sz w:val="24"/>
          <w:szCs w:val="24"/>
          <w:lang w:val="en-US"/>
        </w:rPr>
        <w:t xml:space="preserve">pooled and </w:t>
      </w:r>
      <w:r w:rsidR="003377B0" w:rsidRPr="007B140B">
        <w:rPr>
          <w:rFonts w:ascii="Times New Roman" w:hAnsi="Times New Roman" w:cs="Times New Roman"/>
          <w:sz w:val="24"/>
          <w:szCs w:val="24"/>
          <w:lang w:val="en-US"/>
        </w:rPr>
        <w:t>published jointly. Any exceptions from this rule must be approved by the sponsor.</w:t>
      </w:r>
      <w:bookmarkStart w:id="115" w:name="_Toc27746720"/>
      <w:bookmarkStart w:id="116" w:name="_Toc27746958"/>
      <w:bookmarkStart w:id="117" w:name="_Toc530594144"/>
      <w:bookmarkStart w:id="118" w:name="_Toc530594216"/>
      <w:bookmarkStart w:id="119" w:name="_Toc530594227"/>
      <w:bookmarkStart w:id="120" w:name="_Toc530594368"/>
      <w:bookmarkStart w:id="121" w:name="_Toc530595859"/>
      <w:bookmarkStart w:id="122" w:name="_Toc530595982"/>
      <w:bookmarkStart w:id="123" w:name="_Toc530596877"/>
      <w:bookmarkStart w:id="124" w:name="_Toc530597096"/>
      <w:bookmarkStart w:id="125" w:name="_Toc530733868"/>
      <w:bookmarkStart w:id="126" w:name="_Toc530733951"/>
      <w:bookmarkStart w:id="127" w:name="_Toc530734558"/>
      <w:bookmarkStart w:id="128" w:name="_Toc530734643"/>
      <w:bookmarkStart w:id="129" w:name="_Toc530987708"/>
      <w:bookmarkStart w:id="130" w:name="_Toc530987793"/>
      <w:bookmarkStart w:id="131" w:name="_Toc530988213"/>
      <w:bookmarkStart w:id="132" w:name="_Toc530995901"/>
      <w:bookmarkStart w:id="133" w:name="_Toc530995986"/>
      <w:bookmarkStart w:id="134" w:name="_Toc531515004"/>
      <w:bookmarkStart w:id="135" w:name="_Toc531550842"/>
      <w:bookmarkStart w:id="136" w:name="_Toc532822571"/>
      <w:bookmarkStart w:id="137" w:name="_Toc533058071"/>
      <w:bookmarkStart w:id="138" w:name="_Toc533078000"/>
      <w:bookmarkStart w:id="139" w:name="_Toc533078114"/>
      <w:bookmarkStart w:id="140" w:name="_Toc534928514"/>
      <w:bookmarkStart w:id="141" w:name="_Toc530594145"/>
      <w:bookmarkStart w:id="142" w:name="_Toc530594217"/>
      <w:bookmarkStart w:id="143" w:name="_Toc530594228"/>
      <w:bookmarkStart w:id="144" w:name="_Toc530594369"/>
      <w:bookmarkStart w:id="145" w:name="_Toc530595860"/>
      <w:bookmarkStart w:id="146" w:name="_Toc530595983"/>
      <w:bookmarkStart w:id="147" w:name="_Toc530596878"/>
      <w:bookmarkStart w:id="148" w:name="_Toc530597097"/>
      <w:bookmarkStart w:id="149" w:name="_Toc530733869"/>
      <w:bookmarkStart w:id="150" w:name="_Toc530733952"/>
      <w:bookmarkStart w:id="151" w:name="_Toc530734559"/>
      <w:bookmarkStart w:id="152" w:name="_Toc530734644"/>
      <w:bookmarkStart w:id="153" w:name="_Toc530987709"/>
      <w:bookmarkStart w:id="154" w:name="_Toc530987794"/>
      <w:bookmarkStart w:id="155" w:name="_Toc530988214"/>
      <w:bookmarkStart w:id="156" w:name="_Toc530995902"/>
      <w:bookmarkStart w:id="157" w:name="_Toc530995987"/>
      <w:bookmarkStart w:id="158" w:name="_Toc531515005"/>
      <w:bookmarkStart w:id="159" w:name="_Toc531550843"/>
      <w:bookmarkStart w:id="160" w:name="_Toc532822572"/>
      <w:bookmarkStart w:id="161" w:name="_Toc533058072"/>
      <w:bookmarkStart w:id="162" w:name="_Toc533078001"/>
      <w:bookmarkStart w:id="163" w:name="_Toc533078115"/>
      <w:bookmarkStart w:id="164" w:name="_Toc534928515"/>
      <w:bookmarkStart w:id="165" w:name="_Toc535944194"/>
      <w:bookmarkStart w:id="166" w:name="_Toc530594146"/>
      <w:bookmarkStart w:id="167" w:name="_Toc530594218"/>
      <w:bookmarkStart w:id="168" w:name="_Toc530594229"/>
      <w:bookmarkStart w:id="169" w:name="_Toc530594370"/>
      <w:bookmarkStart w:id="170" w:name="_Toc530595861"/>
      <w:bookmarkStart w:id="171" w:name="_Toc530595984"/>
      <w:bookmarkStart w:id="172" w:name="_Toc530596879"/>
      <w:bookmarkStart w:id="173" w:name="_Toc530597098"/>
      <w:bookmarkStart w:id="174" w:name="_Toc530733870"/>
      <w:bookmarkStart w:id="175" w:name="_Toc530733953"/>
      <w:bookmarkStart w:id="176" w:name="_Toc530734560"/>
      <w:bookmarkStart w:id="177" w:name="_Toc530734645"/>
      <w:bookmarkStart w:id="178" w:name="_Toc530987710"/>
      <w:bookmarkStart w:id="179" w:name="_Toc530987795"/>
      <w:bookmarkStart w:id="180" w:name="_Toc530988215"/>
      <w:bookmarkStart w:id="181" w:name="_Toc530995903"/>
      <w:bookmarkStart w:id="182" w:name="_Toc530995988"/>
      <w:bookmarkStart w:id="183" w:name="_Toc531515006"/>
      <w:bookmarkStart w:id="184" w:name="_Toc531550844"/>
      <w:bookmarkStart w:id="185" w:name="_Toc532822573"/>
      <w:bookmarkStart w:id="186" w:name="_Toc533058073"/>
      <w:bookmarkStart w:id="187" w:name="_Toc533078002"/>
      <w:bookmarkStart w:id="188" w:name="_Toc533078116"/>
      <w:bookmarkStart w:id="189" w:name="_Toc534928516"/>
      <w:bookmarkStart w:id="190" w:name="_Toc535944195"/>
      <w:bookmarkStart w:id="191" w:name="_Toc530594147"/>
      <w:bookmarkStart w:id="192" w:name="_Toc530594219"/>
      <w:bookmarkStart w:id="193" w:name="_Toc530594230"/>
      <w:bookmarkStart w:id="194" w:name="_Toc530594371"/>
      <w:bookmarkStart w:id="195" w:name="_Toc530595862"/>
      <w:bookmarkStart w:id="196" w:name="_Toc530595985"/>
      <w:bookmarkStart w:id="197" w:name="_Toc530596880"/>
      <w:bookmarkStart w:id="198" w:name="_Toc530597099"/>
      <w:bookmarkStart w:id="199" w:name="_Toc530733871"/>
      <w:bookmarkStart w:id="200" w:name="_Toc530733954"/>
      <w:bookmarkStart w:id="201" w:name="_Toc530734561"/>
      <w:bookmarkStart w:id="202" w:name="_Toc530734646"/>
      <w:bookmarkStart w:id="203" w:name="_Toc530987711"/>
      <w:bookmarkStart w:id="204" w:name="_Toc530987796"/>
      <w:bookmarkStart w:id="205" w:name="_Toc530988216"/>
      <w:bookmarkStart w:id="206" w:name="_Toc530995904"/>
      <w:bookmarkStart w:id="207" w:name="_Toc530995989"/>
      <w:bookmarkStart w:id="208" w:name="_Toc531515007"/>
      <w:bookmarkStart w:id="209" w:name="_Toc531550845"/>
      <w:bookmarkStart w:id="210" w:name="_Toc532822574"/>
      <w:bookmarkStart w:id="211" w:name="_Toc533058074"/>
      <w:bookmarkStart w:id="212" w:name="_Toc533078003"/>
      <w:bookmarkStart w:id="213" w:name="_Toc533078117"/>
      <w:bookmarkStart w:id="214" w:name="_Toc534928517"/>
      <w:bookmarkStart w:id="215" w:name="_Toc535944196"/>
      <w:bookmarkStart w:id="216" w:name="_Toc530476509"/>
      <w:bookmarkStart w:id="217" w:name="_Toc530496020"/>
      <w:bookmarkStart w:id="218" w:name="_Toc530496126"/>
      <w:bookmarkStart w:id="219" w:name="_Toc530496227"/>
      <w:bookmarkStart w:id="220" w:name="_Toc530496328"/>
      <w:bookmarkStart w:id="221" w:name="_Toc530498545"/>
      <w:bookmarkStart w:id="222" w:name="_Toc530498650"/>
      <w:bookmarkStart w:id="223" w:name="_Toc530560047"/>
      <w:bookmarkStart w:id="224" w:name="_Toc530560152"/>
      <w:bookmarkStart w:id="225" w:name="_Toc27746737"/>
      <w:bookmarkStart w:id="226" w:name="_Toc27746975"/>
      <w:bookmarkStart w:id="227" w:name="_Toc27746738"/>
      <w:bookmarkStart w:id="228" w:name="_Toc27746976"/>
      <w:bookmarkStart w:id="229" w:name="_Toc27746740"/>
      <w:bookmarkStart w:id="230" w:name="_Toc27746978"/>
      <w:bookmarkStart w:id="231" w:name="_Toc532822586"/>
      <w:bookmarkStart w:id="232" w:name="_Toc533058086"/>
      <w:bookmarkStart w:id="233" w:name="_Toc533078015"/>
      <w:bookmarkStart w:id="234" w:name="_Toc533078129"/>
      <w:bookmarkStart w:id="235" w:name="_Toc532822587"/>
      <w:bookmarkStart w:id="236" w:name="_Toc533058087"/>
      <w:bookmarkStart w:id="237" w:name="_Toc533078016"/>
      <w:bookmarkStart w:id="238" w:name="_Toc533078130"/>
      <w:bookmarkStart w:id="239" w:name="_Toc530476515"/>
      <w:bookmarkStart w:id="240" w:name="_Toc530496026"/>
      <w:bookmarkStart w:id="241" w:name="_Toc530496132"/>
      <w:bookmarkStart w:id="242" w:name="_Toc530496233"/>
      <w:bookmarkStart w:id="243" w:name="_Toc530496334"/>
      <w:bookmarkStart w:id="244" w:name="_Toc530498551"/>
      <w:bookmarkStart w:id="245" w:name="_Toc530498656"/>
      <w:bookmarkStart w:id="246" w:name="_Toc530560053"/>
      <w:bookmarkStart w:id="247" w:name="_Toc530560158"/>
      <w:bookmarkStart w:id="248" w:name="_Toc27746744"/>
      <w:bookmarkStart w:id="249" w:name="_Toc27746982"/>
      <w:bookmarkStart w:id="250" w:name="_Toc530476521"/>
      <w:bookmarkStart w:id="251" w:name="_Toc530496032"/>
      <w:bookmarkStart w:id="252" w:name="_Toc530496138"/>
      <w:bookmarkStart w:id="253" w:name="_Toc530496239"/>
      <w:bookmarkStart w:id="254" w:name="_Toc530496340"/>
      <w:bookmarkStart w:id="255" w:name="_Toc530498557"/>
      <w:bookmarkStart w:id="256" w:name="_Toc530498662"/>
      <w:bookmarkStart w:id="257" w:name="_Toc530560059"/>
      <w:bookmarkStart w:id="258" w:name="_Toc530560164"/>
      <w:bookmarkStart w:id="259" w:name="_Toc27746751"/>
      <w:bookmarkStart w:id="260" w:name="_Toc27746989"/>
      <w:bookmarkStart w:id="261" w:name="_Toc27746752"/>
      <w:bookmarkStart w:id="262" w:name="_Toc27746990"/>
      <w:bookmarkStart w:id="263" w:name="_Toc27746754"/>
      <w:bookmarkStart w:id="264" w:name="_Toc27746992"/>
      <w:bookmarkStart w:id="265" w:name="_Toc27746755"/>
      <w:bookmarkStart w:id="266" w:name="_Toc27746993"/>
      <w:bookmarkStart w:id="267" w:name="_Toc27746757"/>
      <w:bookmarkStart w:id="268" w:name="_Toc27746995"/>
      <w:bookmarkStart w:id="269" w:name="_Toc27746760"/>
      <w:bookmarkStart w:id="270" w:name="_Toc27746998"/>
      <w:bookmarkStart w:id="271" w:name="_Toc27746763"/>
      <w:bookmarkStart w:id="272" w:name="_Toc27747001"/>
      <w:bookmarkStart w:id="273" w:name="_Toc27746764"/>
      <w:bookmarkStart w:id="274" w:name="_Toc27747002"/>
      <w:bookmarkStart w:id="275" w:name="_Toc27746765"/>
      <w:bookmarkStart w:id="276" w:name="_Toc27747003"/>
      <w:bookmarkStart w:id="277" w:name="_Toc27746767"/>
      <w:bookmarkStart w:id="278" w:name="_Toc27747005"/>
      <w:bookmarkStart w:id="279" w:name="_Toc27746768"/>
      <w:bookmarkStart w:id="280" w:name="_Toc27747006"/>
      <w:bookmarkStart w:id="281" w:name="_Toc27746769"/>
      <w:bookmarkStart w:id="282" w:name="_Toc27747007"/>
      <w:bookmarkStart w:id="283" w:name="_Toc27746770"/>
      <w:bookmarkStart w:id="284" w:name="_Toc27747008"/>
      <w:bookmarkStart w:id="285" w:name="_Toc27746772"/>
      <w:bookmarkStart w:id="286" w:name="_Toc27747010"/>
      <w:bookmarkStart w:id="287" w:name="_Toc27746773"/>
      <w:bookmarkStart w:id="288" w:name="_Toc27747011"/>
      <w:bookmarkStart w:id="289" w:name="_Toc27746774"/>
      <w:bookmarkStart w:id="290" w:name="_Toc27747012"/>
      <w:bookmarkStart w:id="291" w:name="_Toc27746775"/>
      <w:bookmarkStart w:id="292" w:name="_Toc27747013"/>
      <w:bookmarkStart w:id="293" w:name="_Toc27746777"/>
      <w:bookmarkStart w:id="294" w:name="_Toc27747015"/>
      <w:bookmarkStart w:id="295" w:name="_Toc27746779"/>
      <w:bookmarkStart w:id="296" w:name="_Toc27747017"/>
      <w:bookmarkStart w:id="297" w:name="_Toc27746780"/>
      <w:bookmarkStart w:id="298" w:name="_Toc27747018"/>
      <w:bookmarkStart w:id="299" w:name="_Toc27746782"/>
      <w:bookmarkStart w:id="300" w:name="_Toc27747020"/>
      <w:bookmarkStart w:id="301" w:name="_Toc27746783"/>
      <w:bookmarkStart w:id="302" w:name="_Toc27747021"/>
      <w:bookmarkStart w:id="303" w:name="_Toc27746784"/>
      <w:bookmarkStart w:id="304" w:name="_Toc27747022"/>
      <w:bookmarkStart w:id="305" w:name="_Toc27746785"/>
      <w:bookmarkStart w:id="306" w:name="_Toc27747023"/>
      <w:bookmarkStart w:id="307" w:name="_Toc27746787"/>
      <w:bookmarkStart w:id="308" w:name="_Toc27747025"/>
      <w:bookmarkStart w:id="309" w:name="_Toc27746788"/>
      <w:bookmarkStart w:id="310" w:name="_Toc27747026"/>
      <w:bookmarkStart w:id="311" w:name="_Toc27746789"/>
      <w:bookmarkStart w:id="312" w:name="_Toc27747027"/>
      <w:bookmarkStart w:id="313" w:name="_Toc27746790"/>
      <w:bookmarkStart w:id="314" w:name="_Toc27747028"/>
      <w:bookmarkStart w:id="315" w:name="_Toc27746792"/>
      <w:bookmarkStart w:id="316" w:name="_Toc27747030"/>
      <w:bookmarkStart w:id="317" w:name="_Toc27746793"/>
      <w:bookmarkStart w:id="318" w:name="_Toc27747031"/>
      <w:bookmarkStart w:id="319" w:name="_Toc27746794"/>
      <w:bookmarkStart w:id="320" w:name="_Toc27747032"/>
      <w:bookmarkStart w:id="321" w:name="_Toc27746795"/>
      <w:bookmarkStart w:id="322" w:name="_Toc27747033"/>
      <w:bookmarkStart w:id="323" w:name="_Toc27746796"/>
      <w:bookmarkStart w:id="324" w:name="_Toc27747034"/>
      <w:bookmarkStart w:id="325" w:name="_Toc27746799"/>
      <w:bookmarkStart w:id="326" w:name="_Toc27747037"/>
      <w:bookmarkStart w:id="327" w:name="_Toc27746800"/>
      <w:bookmarkStart w:id="328" w:name="_Toc27747038"/>
      <w:bookmarkStart w:id="329" w:name="_Toc27746801"/>
      <w:bookmarkStart w:id="330" w:name="_Toc27747039"/>
      <w:bookmarkStart w:id="331" w:name="_Toc27746803"/>
      <w:bookmarkStart w:id="332" w:name="_Toc27747041"/>
      <w:bookmarkStart w:id="333" w:name="_Toc27746804"/>
      <w:bookmarkStart w:id="334" w:name="_Toc27747042"/>
      <w:bookmarkStart w:id="335" w:name="_Toc530560070"/>
      <w:bookmarkStart w:id="336" w:name="_Toc530560175"/>
      <w:bookmarkStart w:id="337" w:name="_Toc530476530"/>
      <w:bookmarkStart w:id="338" w:name="_Toc530496041"/>
      <w:bookmarkStart w:id="339" w:name="_Toc530496147"/>
      <w:bookmarkStart w:id="340" w:name="_Toc530496248"/>
      <w:bookmarkStart w:id="341" w:name="_Toc530496349"/>
      <w:bookmarkStart w:id="342" w:name="_Toc530498569"/>
      <w:bookmarkStart w:id="343" w:name="_Toc530498674"/>
      <w:bookmarkStart w:id="344" w:name="_Toc530733898"/>
      <w:bookmarkStart w:id="345" w:name="_Toc530733981"/>
      <w:bookmarkStart w:id="346" w:name="_Toc530734588"/>
      <w:bookmarkStart w:id="347" w:name="_Toc530734673"/>
      <w:bookmarkStart w:id="348" w:name="_Toc530987738"/>
      <w:bookmarkStart w:id="349" w:name="_Toc530987823"/>
      <w:bookmarkStart w:id="350" w:name="_Toc530988243"/>
      <w:bookmarkStart w:id="351" w:name="_Toc530995931"/>
      <w:bookmarkStart w:id="352" w:name="_Toc530996016"/>
      <w:bookmarkStart w:id="353" w:name="_Toc531515034"/>
      <w:bookmarkStart w:id="354" w:name="_Toc531550876"/>
      <w:bookmarkStart w:id="355" w:name="_Toc532822606"/>
      <w:bookmarkStart w:id="356" w:name="_Toc533058106"/>
      <w:bookmarkStart w:id="357" w:name="_Toc533078035"/>
      <w:bookmarkStart w:id="358" w:name="_Toc533078149"/>
      <w:bookmarkStart w:id="359" w:name="_Toc534928547"/>
      <w:bookmarkStart w:id="360" w:name="_Toc530733906"/>
      <w:bookmarkStart w:id="361" w:name="_Toc530733989"/>
      <w:bookmarkStart w:id="362" w:name="_Toc530734596"/>
      <w:bookmarkStart w:id="363" w:name="_Toc530734681"/>
      <w:bookmarkStart w:id="364" w:name="_Toc530987746"/>
      <w:bookmarkStart w:id="365" w:name="_Toc530987831"/>
      <w:bookmarkStart w:id="366" w:name="_Toc530988251"/>
      <w:bookmarkStart w:id="367" w:name="_Toc530995939"/>
      <w:bookmarkStart w:id="368" w:name="_Toc530996024"/>
      <w:bookmarkStart w:id="369" w:name="_Toc531515042"/>
      <w:bookmarkStart w:id="370" w:name="_Toc531550884"/>
      <w:bookmarkStart w:id="371" w:name="_Toc532822614"/>
      <w:bookmarkStart w:id="372" w:name="_Toc533058114"/>
      <w:bookmarkStart w:id="373" w:name="_Toc533078043"/>
      <w:bookmarkStart w:id="374" w:name="_Toc533078157"/>
      <w:bookmarkStart w:id="375" w:name="_Toc534928555"/>
      <w:bookmarkStart w:id="376" w:name="_Toc27746824"/>
      <w:bookmarkStart w:id="377" w:name="_Toc27747062"/>
      <w:bookmarkStart w:id="378" w:name="_Toc530496046"/>
      <w:bookmarkStart w:id="379" w:name="_Toc530496152"/>
      <w:bookmarkStart w:id="380" w:name="_Toc530496253"/>
      <w:bookmarkStart w:id="381" w:name="_Toc530496354"/>
      <w:bookmarkStart w:id="382" w:name="_Toc530498575"/>
      <w:bookmarkStart w:id="383" w:name="_Toc530498680"/>
      <w:bookmarkStart w:id="384" w:name="_Toc530560077"/>
      <w:bookmarkStart w:id="385" w:name="_Toc530560182"/>
      <w:bookmarkStart w:id="386" w:name="_Toc530476535"/>
      <w:bookmarkStart w:id="387" w:name="_Toc530733912"/>
      <w:bookmarkStart w:id="388" w:name="_Toc530733995"/>
      <w:bookmarkStart w:id="389" w:name="_Toc530734602"/>
      <w:bookmarkStart w:id="390" w:name="_Toc530734687"/>
      <w:bookmarkStart w:id="391" w:name="_Toc530987752"/>
      <w:bookmarkStart w:id="392" w:name="_Toc530987837"/>
      <w:bookmarkStart w:id="393" w:name="_Toc530988257"/>
      <w:bookmarkStart w:id="394" w:name="_Toc530995945"/>
      <w:bookmarkStart w:id="395" w:name="_Toc530996030"/>
      <w:bookmarkStart w:id="396" w:name="_Toc531515048"/>
      <w:bookmarkStart w:id="397" w:name="_Toc531550890"/>
      <w:bookmarkStart w:id="398" w:name="_Toc532822620"/>
      <w:bookmarkStart w:id="399" w:name="_Toc533058120"/>
      <w:bookmarkStart w:id="400" w:name="_Toc533078049"/>
      <w:bookmarkStart w:id="401" w:name="_Toc533078163"/>
      <w:bookmarkStart w:id="402" w:name="_Toc534928561"/>
      <w:bookmarkStart w:id="403" w:name="_Toc535944239"/>
      <w:bookmarkStart w:id="404" w:name="_Toc530733913"/>
      <w:bookmarkStart w:id="405" w:name="_Toc530733996"/>
      <w:bookmarkStart w:id="406" w:name="_Toc530734603"/>
      <w:bookmarkStart w:id="407" w:name="_Toc530734688"/>
      <w:bookmarkStart w:id="408" w:name="_Toc530987753"/>
      <w:bookmarkStart w:id="409" w:name="_Toc530987838"/>
      <w:bookmarkStart w:id="410" w:name="_Toc530988258"/>
      <w:bookmarkStart w:id="411" w:name="_Toc530995946"/>
      <w:bookmarkStart w:id="412" w:name="_Toc530996031"/>
      <w:bookmarkStart w:id="413" w:name="_Toc531515049"/>
      <w:bookmarkStart w:id="414" w:name="_Toc531550891"/>
      <w:bookmarkStart w:id="415" w:name="_Toc532822621"/>
      <w:bookmarkStart w:id="416" w:name="_Toc533058121"/>
      <w:bookmarkStart w:id="417" w:name="_Toc533078050"/>
      <w:bookmarkStart w:id="418" w:name="_Toc533078164"/>
      <w:bookmarkStart w:id="419" w:name="_Toc534928562"/>
      <w:bookmarkStart w:id="420" w:name="_Toc535944240"/>
      <w:bookmarkStart w:id="421" w:name="_Toc27746832"/>
      <w:bookmarkStart w:id="422" w:name="_Toc27747070"/>
      <w:bookmarkStart w:id="423" w:name="_Toc27746833"/>
      <w:bookmarkStart w:id="424" w:name="_Toc27747071"/>
      <w:bookmarkStart w:id="425" w:name="_Toc533058129"/>
      <w:bookmarkStart w:id="426" w:name="_Toc532822629"/>
      <w:bookmarkStart w:id="427" w:name="_Toc533058130"/>
      <w:bookmarkStart w:id="428" w:name="_Toc533058132"/>
      <w:bookmarkStart w:id="429" w:name="_Toc27746839"/>
      <w:bookmarkStart w:id="430" w:name="_Toc27747077"/>
      <w:bookmarkStart w:id="431" w:name="_Toc27746840"/>
      <w:bookmarkStart w:id="432" w:name="_Toc27747078"/>
      <w:bookmarkStart w:id="433" w:name="_Toc533058134"/>
      <w:bookmarkStart w:id="434" w:name="_Toc533058139"/>
      <w:bookmarkStart w:id="435" w:name="_Toc533078064"/>
      <w:bookmarkStart w:id="436" w:name="_Toc533078178"/>
      <w:bookmarkStart w:id="437" w:name="_Toc27746848"/>
      <w:bookmarkStart w:id="438" w:name="_Toc27747086"/>
      <w:bookmarkStart w:id="439" w:name="_Toc530496082"/>
      <w:bookmarkStart w:id="440" w:name="_Toc530496188"/>
      <w:bookmarkStart w:id="441" w:name="_Toc530496289"/>
      <w:bookmarkStart w:id="442" w:name="_Toc530496390"/>
      <w:bookmarkStart w:id="443" w:name="_Toc530498611"/>
      <w:bookmarkStart w:id="444" w:name="_Toc530498716"/>
      <w:bookmarkStart w:id="445" w:name="_Toc530560113"/>
      <w:bookmarkStart w:id="446" w:name="_Toc530560218"/>
      <w:bookmarkStart w:id="447" w:name="_Toc1983392"/>
      <w:bookmarkStart w:id="448" w:name="_Toc1985168"/>
      <w:bookmarkStart w:id="449" w:name="_Toc2083447"/>
      <w:bookmarkStart w:id="450" w:name="_Toc27746854"/>
      <w:bookmarkStart w:id="451" w:name="_Toc27747092"/>
      <w:bookmarkStart w:id="452" w:name="_Toc27746857"/>
      <w:bookmarkStart w:id="453" w:name="_Toc27747095"/>
      <w:bookmarkStart w:id="454" w:name="_Toc27746859"/>
      <w:bookmarkStart w:id="455" w:name="_Toc27747097"/>
      <w:bookmarkStart w:id="456" w:name="_Toc27746860"/>
      <w:bookmarkStart w:id="457" w:name="_Toc27747098"/>
      <w:bookmarkStart w:id="458" w:name="_Toc27746863"/>
      <w:bookmarkStart w:id="459" w:name="_Toc27747101"/>
      <w:bookmarkStart w:id="460" w:name="_Toc532822646"/>
      <w:bookmarkStart w:id="461" w:name="_Toc533058149"/>
      <w:bookmarkStart w:id="462" w:name="_Toc533078074"/>
      <w:bookmarkStart w:id="463" w:name="_Toc533078188"/>
      <w:bookmarkStart w:id="464" w:name="_Toc532822647"/>
      <w:bookmarkStart w:id="465" w:name="_Toc533058150"/>
      <w:bookmarkStart w:id="466" w:name="_Toc533078075"/>
      <w:bookmarkStart w:id="467" w:name="_Toc533078189"/>
      <w:bookmarkStart w:id="468" w:name="_Toc532822648"/>
      <w:bookmarkStart w:id="469" w:name="_Toc533058151"/>
      <w:bookmarkStart w:id="470" w:name="_Toc533078076"/>
      <w:bookmarkStart w:id="471" w:name="_Toc533078190"/>
      <w:bookmarkStart w:id="472" w:name="_Toc532822649"/>
      <w:bookmarkStart w:id="473" w:name="_Toc533058152"/>
      <w:bookmarkStart w:id="474" w:name="_Toc533078077"/>
      <w:bookmarkStart w:id="475" w:name="_Toc533078191"/>
      <w:bookmarkStart w:id="476" w:name="_Toc530476547"/>
      <w:bookmarkStart w:id="477" w:name="_Toc530496088"/>
      <w:bookmarkStart w:id="478" w:name="_Toc530496194"/>
      <w:bookmarkStart w:id="479" w:name="_Toc530496295"/>
      <w:bookmarkStart w:id="480" w:name="_Toc530496396"/>
      <w:bookmarkStart w:id="481" w:name="_Toc530498617"/>
      <w:bookmarkStart w:id="482" w:name="_Toc530498722"/>
      <w:bookmarkStart w:id="483" w:name="_Toc530560119"/>
      <w:bookmarkStart w:id="484" w:name="_Toc530560224"/>
      <w:bookmarkStart w:id="485" w:name="_Toc27746869"/>
      <w:bookmarkStart w:id="486" w:name="_Toc27747107"/>
      <w:bookmarkStart w:id="487" w:name="_Toc530476552"/>
      <w:bookmarkStart w:id="488" w:name="_Toc530496093"/>
      <w:bookmarkStart w:id="489" w:name="_Toc530496199"/>
      <w:bookmarkStart w:id="490" w:name="_Toc530496300"/>
      <w:bookmarkStart w:id="491" w:name="_Toc530496401"/>
      <w:bookmarkStart w:id="492" w:name="_Toc530498622"/>
      <w:bookmarkStart w:id="493" w:name="_Toc530498727"/>
      <w:bookmarkStart w:id="494" w:name="_Toc530560124"/>
      <w:bookmarkStart w:id="495" w:name="_Toc530560229"/>
      <w:bookmarkStart w:id="496" w:name="_Toc533058159"/>
      <w:bookmarkStart w:id="497" w:name="_Toc532822659"/>
      <w:bookmarkStart w:id="498" w:name="_Toc533058163"/>
      <w:bookmarkStart w:id="499" w:name="_Toc533078087"/>
      <w:bookmarkStart w:id="500" w:name="_Toc533078201"/>
      <w:bookmarkStart w:id="501" w:name="_Toc27746879"/>
      <w:bookmarkStart w:id="502" w:name="_Toc27747117"/>
      <w:bookmarkStart w:id="503" w:name="_Toc533078091"/>
      <w:bookmarkStart w:id="504" w:name="_Toc533078205"/>
      <w:bookmarkStart w:id="505" w:name="_Toc530560239"/>
      <w:bookmarkStart w:id="506" w:name="_Toc208347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sidR="00173281" w:rsidRPr="007B140B">
        <w:rPr>
          <w:rFonts w:ascii="Times New Roman" w:hAnsi="Times New Roman" w:cs="Times New Roman"/>
          <w:sz w:val="24"/>
          <w:szCs w:val="24"/>
          <w:lang w:val="en-US"/>
        </w:rPr>
        <w:t xml:space="preserve"> </w:t>
      </w:r>
    </w:p>
    <w:p w14:paraId="556F6003" w14:textId="7BCBB670" w:rsidR="003377B0" w:rsidRPr="007B140B" w:rsidRDefault="001550FE" w:rsidP="00A134C1">
      <w:pPr>
        <w:rPr>
          <w:rFonts w:ascii="Times New Roman" w:hAnsi="Times New Roman" w:cs="Times New Roman"/>
          <w:sz w:val="24"/>
          <w:szCs w:val="24"/>
          <w:lang w:val="en-US"/>
        </w:rPr>
      </w:pPr>
      <w:r w:rsidRPr="007B140B">
        <w:rPr>
          <w:rFonts w:ascii="Times New Roman" w:hAnsi="Times New Roman" w:cs="Times New Roman"/>
          <w:sz w:val="24"/>
          <w:szCs w:val="24"/>
          <w:lang w:val="en-US"/>
        </w:rPr>
        <w:t>R code for randomization, data management, and analysis will be made publically available</w:t>
      </w:r>
      <w:r w:rsidR="00173281" w:rsidRPr="007B140B">
        <w:rPr>
          <w:rFonts w:ascii="Times New Roman" w:hAnsi="Times New Roman" w:cs="Times New Roman"/>
          <w:sz w:val="24"/>
          <w:szCs w:val="24"/>
          <w:lang w:val="en-US"/>
        </w:rPr>
        <w:t xml:space="preserve"> at the time of publication</w:t>
      </w:r>
      <w:r w:rsidR="003377B0" w:rsidRPr="007B140B">
        <w:rPr>
          <w:rFonts w:ascii="Times New Roman" w:hAnsi="Times New Roman" w:cs="Times New Roman"/>
          <w:sz w:val="24"/>
          <w:szCs w:val="24"/>
          <w:lang w:val="en-US"/>
        </w:rPr>
        <w:t xml:space="preserve">. The </w:t>
      </w:r>
      <w:r w:rsidR="008526AA">
        <w:rPr>
          <w:rFonts w:ascii="Times New Roman" w:hAnsi="Times New Roman" w:cs="Times New Roman"/>
          <w:sz w:val="24"/>
          <w:szCs w:val="24"/>
          <w:lang w:val="en-US"/>
        </w:rPr>
        <w:t>C</w:t>
      </w:r>
      <w:r w:rsidR="003377B0" w:rsidRPr="007B140B">
        <w:rPr>
          <w:rFonts w:ascii="Times New Roman" w:hAnsi="Times New Roman" w:cs="Times New Roman"/>
          <w:sz w:val="24"/>
          <w:szCs w:val="24"/>
          <w:lang w:val="en-US"/>
        </w:rPr>
        <w:t xml:space="preserve">linical </w:t>
      </w:r>
      <w:r w:rsidR="008526AA">
        <w:rPr>
          <w:rFonts w:ascii="Times New Roman" w:hAnsi="Times New Roman" w:cs="Times New Roman"/>
          <w:sz w:val="24"/>
          <w:szCs w:val="24"/>
          <w:lang w:val="en-US"/>
        </w:rPr>
        <w:t>S</w:t>
      </w:r>
      <w:r w:rsidR="003377B0" w:rsidRPr="007B140B">
        <w:rPr>
          <w:rFonts w:ascii="Times New Roman" w:hAnsi="Times New Roman" w:cs="Times New Roman"/>
          <w:sz w:val="24"/>
          <w:szCs w:val="24"/>
          <w:lang w:val="en-US"/>
        </w:rPr>
        <w:t xml:space="preserve">tudy </w:t>
      </w:r>
      <w:r w:rsidR="008526AA">
        <w:rPr>
          <w:rFonts w:ascii="Times New Roman" w:hAnsi="Times New Roman" w:cs="Times New Roman"/>
          <w:sz w:val="24"/>
          <w:szCs w:val="24"/>
          <w:lang w:val="en-US"/>
        </w:rPr>
        <w:t>R</w:t>
      </w:r>
      <w:r w:rsidRPr="007B140B">
        <w:rPr>
          <w:rFonts w:ascii="Times New Roman" w:hAnsi="Times New Roman" w:cs="Times New Roman"/>
          <w:sz w:val="24"/>
          <w:szCs w:val="24"/>
          <w:lang w:val="en-US"/>
        </w:rPr>
        <w:t>eport</w:t>
      </w:r>
      <w:r w:rsidR="00D667BD">
        <w:rPr>
          <w:rFonts w:ascii="Times New Roman" w:hAnsi="Times New Roman" w:cs="Times New Roman"/>
          <w:sz w:val="24"/>
          <w:szCs w:val="24"/>
          <w:lang w:val="en-US"/>
        </w:rPr>
        <w:t>s</w:t>
      </w:r>
      <w:r w:rsidRPr="007B140B">
        <w:rPr>
          <w:rFonts w:ascii="Times New Roman" w:hAnsi="Times New Roman" w:cs="Times New Roman"/>
          <w:sz w:val="24"/>
          <w:szCs w:val="24"/>
          <w:lang w:val="en-US"/>
        </w:rPr>
        <w:t xml:space="preserve"> will </w:t>
      </w:r>
      <w:r w:rsidR="00D667BD">
        <w:rPr>
          <w:rFonts w:ascii="Times New Roman" w:hAnsi="Times New Roman" w:cs="Times New Roman"/>
          <w:sz w:val="24"/>
          <w:szCs w:val="24"/>
          <w:lang w:val="en-US"/>
        </w:rPr>
        <w:t xml:space="preserve">also </w:t>
      </w:r>
      <w:r w:rsidRPr="007B140B">
        <w:rPr>
          <w:rFonts w:ascii="Times New Roman" w:hAnsi="Times New Roman" w:cs="Times New Roman"/>
          <w:sz w:val="24"/>
          <w:szCs w:val="24"/>
          <w:lang w:val="en-US"/>
        </w:rPr>
        <w:t>be made publically availa</w:t>
      </w:r>
      <w:r w:rsidR="003377B0" w:rsidRPr="007B140B">
        <w:rPr>
          <w:rFonts w:ascii="Times New Roman" w:hAnsi="Times New Roman" w:cs="Times New Roman"/>
          <w:sz w:val="24"/>
          <w:szCs w:val="24"/>
          <w:lang w:val="en-US"/>
        </w:rPr>
        <w:t>ble</w:t>
      </w:r>
      <w:r w:rsidR="00A65C41" w:rsidRPr="007B140B">
        <w:rPr>
          <w:rFonts w:ascii="Times New Roman" w:hAnsi="Times New Roman" w:cs="Times New Roman"/>
          <w:sz w:val="24"/>
          <w:szCs w:val="24"/>
          <w:lang w:val="en-US"/>
        </w:rPr>
        <w:t xml:space="preserve">, with </w:t>
      </w:r>
      <w:r w:rsidR="0056030F" w:rsidRPr="007B140B">
        <w:rPr>
          <w:rFonts w:ascii="Times New Roman" w:hAnsi="Times New Roman" w:cs="Times New Roman"/>
          <w:sz w:val="24"/>
          <w:szCs w:val="24"/>
          <w:lang w:val="en-US"/>
        </w:rPr>
        <w:t xml:space="preserve">possible </w:t>
      </w:r>
      <w:r w:rsidR="00A65C41" w:rsidRPr="007B140B">
        <w:rPr>
          <w:rFonts w:ascii="Times New Roman" w:hAnsi="Times New Roman" w:cs="Times New Roman"/>
          <w:sz w:val="24"/>
          <w:szCs w:val="24"/>
          <w:lang w:val="en-US"/>
        </w:rPr>
        <w:t>redaction of individual-level data if</w:t>
      </w:r>
      <w:r w:rsidR="00C339EC" w:rsidRPr="007B140B">
        <w:rPr>
          <w:rFonts w:ascii="Times New Roman" w:hAnsi="Times New Roman" w:cs="Times New Roman"/>
          <w:sz w:val="24"/>
          <w:szCs w:val="24"/>
          <w:lang w:val="en-US"/>
        </w:rPr>
        <w:t xml:space="preserve"> </w:t>
      </w:r>
      <w:r w:rsidR="008526AA">
        <w:rPr>
          <w:rFonts w:ascii="Times New Roman" w:hAnsi="Times New Roman" w:cs="Times New Roman"/>
          <w:sz w:val="24"/>
          <w:szCs w:val="24"/>
          <w:lang w:val="en-US"/>
        </w:rPr>
        <w:t xml:space="preserve">this is </w:t>
      </w:r>
      <w:r w:rsidR="00A65C41" w:rsidRPr="007B140B">
        <w:rPr>
          <w:rFonts w:ascii="Times New Roman" w:hAnsi="Times New Roman" w:cs="Times New Roman"/>
          <w:sz w:val="24"/>
          <w:szCs w:val="24"/>
          <w:lang w:val="en-US"/>
        </w:rPr>
        <w:t>necessary to ensure the participants’ integrity</w:t>
      </w:r>
      <w:r w:rsidR="003377B0" w:rsidRPr="007B140B">
        <w:rPr>
          <w:rFonts w:ascii="Times New Roman" w:hAnsi="Times New Roman" w:cs="Times New Roman"/>
          <w:sz w:val="24"/>
          <w:szCs w:val="24"/>
          <w:lang w:val="en-US"/>
        </w:rPr>
        <w:t xml:space="preserve">. </w:t>
      </w:r>
      <w:r w:rsidR="000C382A" w:rsidRPr="007B140B">
        <w:rPr>
          <w:rFonts w:ascii="Times New Roman" w:hAnsi="Times New Roman" w:cs="Times New Roman"/>
          <w:sz w:val="24"/>
          <w:szCs w:val="24"/>
          <w:lang w:val="en-US"/>
        </w:rPr>
        <w:t>The pseudo-anonymized analysis dataset</w:t>
      </w:r>
      <w:r w:rsidR="00FF5F30">
        <w:rPr>
          <w:rFonts w:ascii="Times New Roman" w:hAnsi="Times New Roman" w:cs="Times New Roman"/>
          <w:sz w:val="24"/>
          <w:szCs w:val="24"/>
          <w:lang w:val="en-US"/>
        </w:rPr>
        <w:t>s</w:t>
      </w:r>
      <w:r w:rsidR="000C382A" w:rsidRPr="007B140B">
        <w:rPr>
          <w:rFonts w:ascii="Times New Roman" w:hAnsi="Times New Roman" w:cs="Times New Roman"/>
          <w:sz w:val="24"/>
          <w:szCs w:val="24"/>
          <w:lang w:val="en-US"/>
        </w:rPr>
        <w:t xml:space="preserve"> will not be made publically available, because these are still considered personal data </w:t>
      </w:r>
      <w:r w:rsidR="00C339EC" w:rsidRPr="007B140B">
        <w:rPr>
          <w:rFonts w:ascii="Times New Roman" w:hAnsi="Times New Roman" w:cs="Times New Roman"/>
          <w:sz w:val="24"/>
          <w:szCs w:val="24"/>
          <w:lang w:val="en-US"/>
        </w:rPr>
        <w:t>under</w:t>
      </w:r>
      <w:r w:rsidR="000C382A" w:rsidRPr="007B140B">
        <w:rPr>
          <w:rFonts w:ascii="Times New Roman" w:hAnsi="Times New Roman" w:cs="Times New Roman"/>
          <w:sz w:val="24"/>
          <w:szCs w:val="24"/>
          <w:lang w:val="en-US"/>
        </w:rPr>
        <w:t xml:space="preserve"> the European Union General Data Protection Regulation (GDPR)</w:t>
      </w:r>
      <w:r w:rsidR="00FF5F30">
        <w:rPr>
          <w:rFonts w:ascii="Times New Roman" w:hAnsi="Times New Roman" w:cs="Times New Roman"/>
          <w:sz w:val="24"/>
          <w:szCs w:val="24"/>
          <w:lang w:val="en-US"/>
        </w:rPr>
        <w:t>, as</w:t>
      </w:r>
      <w:r w:rsidR="00AC52E8" w:rsidRPr="007B140B">
        <w:rPr>
          <w:rFonts w:ascii="Times New Roman" w:hAnsi="Times New Roman" w:cs="Times New Roman"/>
          <w:sz w:val="24"/>
          <w:szCs w:val="24"/>
          <w:lang w:val="en-US"/>
        </w:rPr>
        <w:t xml:space="preserve"> </w:t>
      </w:r>
      <w:r w:rsidR="000C382A" w:rsidRPr="007B140B">
        <w:rPr>
          <w:rFonts w:ascii="Times New Roman" w:hAnsi="Times New Roman" w:cs="Times New Roman"/>
          <w:sz w:val="24"/>
          <w:szCs w:val="24"/>
          <w:lang w:val="en-US"/>
        </w:rPr>
        <w:t>the risk of identifying an individual, due to the detail of the data, cannot be ruled out.</w:t>
      </w:r>
      <w:r w:rsidR="00AC52E8" w:rsidRPr="007B140B">
        <w:rPr>
          <w:rFonts w:ascii="Times New Roman" w:hAnsi="Times New Roman" w:cs="Times New Roman"/>
          <w:sz w:val="24"/>
          <w:szCs w:val="24"/>
          <w:lang w:val="en-US"/>
        </w:rPr>
        <w:fldChar w:fldCharType="begin" w:fldLock="1"/>
      </w:r>
      <w:r w:rsidR="00E85D18">
        <w:rPr>
          <w:rFonts w:ascii="Times New Roman" w:hAnsi="Times New Roman" w:cs="Times New Roman"/>
          <w:sz w:val="24"/>
          <w:szCs w:val="24"/>
          <w:lang w:val="en-US"/>
        </w:rPr>
        <w:instrText>ADDIN CSL_CITATION {"citationItems":[{"id":"ITEM-1","itemData":{"abstract":"REGULATION (EU) OF THE EUROPEAN PARLIAMENT AND OF THE COUNCIL of 27 April 2016 on the protection of natural persons with regard to the processing of personal data and on the free movement of such data, and repealing Directive 95/46/EC (General Data Protection Regulation)","id":"ITEM-1","issued":{"date-parts":[["2016"]]},"title":"Regulation (EU) 2016/679 on the protection of natural persons with regard to the processing of personal data and on the free movement of such data (General Data Protection Regulation – GDPR)","type":"book"},"uris":["http://www.mendeley.com/documents/?uuid=10dc6923-e78b-470a-b326-9233fe7d0a71"]}],"mendeley":{"formattedCitation":"&lt;sup&gt;&lt;sup&gt;70&lt;/sup&gt;&lt;/sup&gt;","plainTextFormattedCitation":"70","previouslyFormattedCitation":"&lt;sup&gt;&lt;sup&gt;71&lt;/sup&gt;&lt;/sup&gt;"},"properties":{"noteIndex":0},"schema":"https://github.com/citation-style-language/schema/raw/master/csl-citation.json"}</w:instrText>
      </w:r>
      <w:r w:rsidR="00AC52E8" w:rsidRPr="007B140B">
        <w:rPr>
          <w:rFonts w:ascii="Times New Roman" w:hAnsi="Times New Roman" w:cs="Times New Roman"/>
          <w:sz w:val="24"/>
          <w:szCs w:val="24"/>
          <w:lang w:val="en-US"/>
        </w:rPr>
        <w:fldChar w:fldCharType="separate"/>
      </w:r>
      <w:r w:rsidR="00E85D18" w:rsidRPr="00E85D18">
        <w:rPr>
          <w:rFonts w:ascii="Times New Roman" w:hAnsi="Times New Roman" w:cs="Times New Roman"/>
          <w:noProof/>
          <w:sz w:val="24"/>
          <w:szCs w:val="24"/>
          <w:vertAlign w:val="superscript"/>
          <w:lang w:val="en-US"/>
        </w:rPr>
        <w:t>70</w:t>
      </w:r>
      <w:r w:rsidR="00AC52E8" w:rsidRPr="007B140B">
        <w:rPr>
          <w:rFonts w:ascii="Times New Roman" w:hAnsi="Times New Roman" w:cs="Times New Roman"/>
          <w:sz w:val="24"/>
          <w:szCs w:val="24"/>
          <w:lang w:val="en-US"/>
        </w:rPr>
        <w:fldChar w:fldCharType="end"/>
      </w:r>
    </w:p>
    <w:p w14:paraId="1AB5A7F6" w14:textId="447936DD" w:rsidR="00486C76" w:rsidRPr="007B140B" w:rsidRDefault="00486C76" w:rsidP="00A134C1">
      <w:pPr>
        <w:rPr>
          <w:rFonts w:ascii="Times New Roman" w:hAnsi="Times New Roman" w:cs="Times New Roman"/>
          <w:sz w:val="24"/>
          <w:szCs w:val="24"/>
          <w:lang w:val="en-US"/>
        </w:rPr>
      </w:pPr>
      <w:r w:rsidRPr="007B140B">
        <w:rPr>
          <w:rFonts w:ascii="Times New Roman" w:hAnsi="Times New Roman" w:cs="Times New Roman"/>
          <w:sz w:val="24"/>
          <w:szCs w:val="24"/>
          <w:lang w:val="en-US"/>
        </w:rPr>
        <w:t>Co-authorship of the peer-reviewed</w:t>
      </w:r>
      <w:r w:rsidR="006F25DD" w:rsidRPr="007B140B">
        <w:rPr>
          <w:rFonts w:ascii="Times New Roman" w:hAnsi="Times New Roman" w:cs="Times New Roman"/>
          <w:sz w:val="24"/>
          <w:szCs w:val="24"/>
          <w:lang w:val="en-US"/>
        </w:rPr>
        <w:t xml:space="preserve"> journal</w:t>
      </w:r>
      <w:r w:rsidRPr="007B140B">
        <w:rPr>
          <w:rFonts w:ascii="Times New Roman" w:hAnsi="Times New Roman" w:cs="Times New Roman"/>
          <w:sz w:val="24"/>
          <w:szCs w:val="24"/>
          <w:lang w:val="en-US"/>
        </w:rPr>
        <w:t xml:space="preserve"> article</w:t>
      </w:r>
      <w:r w:rsidR="006D7DEA">
        <w:rPr>
          <w:rFonts w:ascii="Times New Roman" w:hAnsi="Times New Roman" w:cs="Times New Roman"/>
          <w:sz w:val="24"/>
          <w:szCs w:val="24"/>
          <w:lang w:val="en-US"/>
        </w:rPr>
        <w:t>s</w:t>
      </w:r>
      <w:r w:rsidRPr="007B140B">
        <w:rPr>
          <w:rFonts w:ascii="Times New Roman" w:hAnsi="Times New Roman" w:cs="Times New Roman"/>
          <w:sz w:val="24"/>
          <w:szCs w:val="24"/>
          <w:lang w:val="en-US"/>
        </w:rPr>
        <w:t xml:space="preserve"> will be determined based on </w:t>
      </w:r>
      <w:r w:rsidR="00D86B7F" w:rsidRPr="007B140B">
        <w:rPr>
          <w:rFonts w:ascii="Times New Roman" w:hAnsi="Times New Roman" w:cs="Times New Roman"/>
          <w:sz w:val="24"/>
          <w:szCs w:val="24"/>
          <w:lang w:val="en-US"/>
        </w:rPr>
        <w:t>t</w:t>
      </w:r>
      <w:r w:rsidRPr="007B140B">
        <w:rPr>
          <w:rFonts w:ascii="Times New Roman" w:hAnsi="Times New Roman" w:cs="Times New Roman"/>
          <w:sz w:val="24"/>
          <w:szCs w:val="24"/>
          <w:lang w:val="en-US"/>
        </w:rPr>
        <w:t xml:space="preserve">he </w:t>
      </w:r>
      <w:r w:rsidR="00CC3869" w:rsidRPr="007B140B">
        <w:rPr>
          <w:rFonts w:ascii="Times New Roman" w:hAnsi="Times New Roman" w:cs="Times New Roman"/>
          <w:sz w:val="24"/>
          <w:szCs w:val="24"/>
          <w:lang w:val="en-US"/>
        </w:rPr>
        <w:t xml:space="preserve">recommendations of the </w:t>
      </w:r>
      <w:r w:rsidRPr="007B140B">
        <w:rPr>
          <w:rFonts w:ascii="Times New Roman" w:hAnsi="Times New Roman" w:cs="Times New Roman"/>
          <w:sz w:val="24"/>
          <w:szCs w:val="24"/>
          <w:lang w:val="en-US"/>
        </w:rPr>
        <w:t>International Committee of Medical Journal Editors.</w:t>
      </w:r>
      <w:r w:rsidR="00026B1E" w:rsidRPr="007B140B">
        <w:rPr>
          <w:rFonts w:ascii="Times New Roman" w:hAnsi="Times New Roman" w:cs="Times New Roman"/>
          <w:sz w:val="24"/>
          <w:szCs w:val="24"/>
          <w:lang w:val="en-US"/>
        </w:rPr>
        <w:fldChar w:fldCharType="begin" w:fldLock="1"/>
      </w:r>
      <w:r w:rsidR="00E85D18">
        <w:rPr>
          <w:rFonts w:ascii="Times New Roman" w:hAnsi="Times New Roman" w:cs="Times New Roman"/>
          <w:sz w:val="24"/>
          <w:szCs w:val="24"/>
          <w:lang w:val="en-US"/>
        </w:rPr>
        <w:instrText>ADDIN CSL_CITATION {"citationItems":[{"id":"ITEM-1","itemData":{"author":[{"dropping-particle":"","family":"International Committee of Medical Journal Editors","given":"","non-dropping-particle":"","parse-names":false,"suffix":""}],"id":"ITEM-1","issued":{"date-parts":[["2016"]]},"title":"Recommendations for the conduct, reporting, editing, and publication of scholarly work in medical journals","type":"book"},"uris":["http://www.mendeley.com/documents/?uuid=c9e54ff3-c3a5-4078-b0ed-da751ef9178c"]}],"mendeley":{"formattedCitation":"&lt;sup&gt;&lt;sup&gt;71&lt;/sup&gt;&lt;/sup&gt;","plainTextFormattedCitation":"71","previouslyFormattedCitation":"&lt;sup&gt;&lt;sup&gt;72&lt;/sup&gt;&lt;/sup&gt;"},"properties":{"noteIndex":0},"schema":"https://github.com/citation-style-language/schema/raw/master/csl-citation.json"}</w:instrText>
      </w:r>
      <w:r w:rsidR="00026B1E" w:rsidRPr="007B140B">
        <w:rPr>
          <w:rFonts w:ascii="Times New Roman" w:hAnsi="Times New Roman" w:cs="Times New Roman"/>
          <w:sz w:val="24"/>
          <w:szCs w:val="24"/>
          <w:lang w:val="en-US"/>
        </w:rPr>
        <w:fldChar w:fldCharType="separate"/>
      </w:r>
      <w:r w:rsidR="00E85D18" w:rsidRPr="00E85D18">
        <w:rPr>
          <w:rFonts w:ascii="Times New Roman" w:hAnsi="Times New Roman" w:cs="Times New Roman"/>
          <w:noProof/>
          <w:sz w:val="24"/>
          <w:szCs w:val="24"/>
          <w:vertAlign w:val="superscript"/>
          <w:lang w:val="en-US"/>
        </w:rPr>
        <w:t>71</w:t>
      </w:r>
      <w:r w:rsidR="00026B1E" w:rsidRPr="007B140B">
        <w:rPr>
          <w:rFonts w:ascii="Times New Roman" w:hAnsi="Times New Roman" w:cs="Times New Roman"/>
          <w:sz w:val="24"/>
          <w:szCs w:val="24"/>
          <w:lang w:val="en-US"/>
        </w:rPr>
        <w:fldChar w:fldCharType="end"/>
      </w:r>
      <w:r w:rsidRPr="007B140B">
        <w:rPr>
          <w:rFonts w:ascii="Times New Roman" w:hAnsi="Times New Roman" w:cs="Times New Roman"/>
          <w:sz w:val="24"/>
          <w:szCs w:val="24"/>
          <w:lang w:val="en-US"/>
        </w:rPr>
        <w:t xml:space="preserve"> </w:t>
      </w:r>
      <w:r w:rsidR="008526AA">
        <w:rPr>
          <w:rFonts w:ascii="Times New Roman" w:hAnsi="Times New Roman" w:cs="Times New Roman"/>
          <w:sz w:val="24"/>
          <w:szCs w:val="24"/>
          <w:lang w:val="en-US"/>
        </w:rPr>
        <w:t>In good time before publication</w:t>
      </w:r>
      <w:r w:rsidR="00D86B7F" w:rsidRPr="007B140B">
        <w:rPr>
          <w:rFonts w:ascii="Times New Roman" w:hAnsi="Times New Roman" w:cs="Times New Roman"/>
          <w:sz w:val="24"/>
          <w:szCs w:val="24"/>
          <w:lang w:val="en-US"/>
        </w:rPr>
        <w:t xml:space="preserve">, </w:t>
      </w:r>
      <w:r w:rsidR="00003B7E" w:rsidRPr="007B140B">
        <w:rPr>
          <w:rFonts w:ascii="Times New Roman" w:hAnsi="Times New Roman" w:cs="Times New Roman"/>
          <w:sz w:val="24"/>
          <w:szCs w:val="24"/>
          <w:lang w:val="en-US"/>
        </w:rPr>
        <w:t xml:space="preserve">the </w:t>
      </w:r>
      <w:r w:rsidR="00A41449" w:rsidRPr="007B140B">
        <w:rPr>
          <w:rFonts w:ascii="Times New Roman" w:hAnsi="Times New Roman" w:cs="Times New Roman"/>
          <w:sz w:val="24"/>
          <w:szCs w:val="24"/>
          <w:lang w:val="en-US"/>
        </w:rPr>
        <w:t xml:space="preserve">principal </w:t>
      </w:r>
      <w:r w:rsidR="00BB005C" w:rsidRPr="007B140B">
        <w:rPr>
          <w:rFonts w:ascii="Times New Roman" w:hAnsi="Times New Roman" w:cs="Times New Roman"/>
          <w:sz w:val="24"/>
          <w:szCs w:val="24"/>
          <w:lang w:val="en-US"/>
        </w:rPr>
        <w:t xml:space="preserve">investigators </w:t>
      </w:r>
      <w:r w:rsidR="00476DF8" w:rsidRPr="007B140B">
        <w:rPr>
          <w:rFonts w:ascii="Times New Roman" w:hAnsi="Times New Roman" w:cs="Times New Roman"/>
          <w:sz w:val="24"/>
          <w:szCs w:val="24"/>
          <w:lang w:val="en-US"/>
        </w:rPr>
        <w:t>and the</w:t>
      </w:r>
      <w:r w:rsidR="00D86B7F" w:rsidRPr="007B140B">
        <w:rPr>
          <w:rFonts w:ascii="Times New Roman" w:hAnsi="Times New Roman" w:cs="Times New Roman"/>
          <w:sz w:val="24"/>
          <w:szCs w:val="24"/>
          <w:lang w:val="en-US"/>
        </w:rPr>
        <w:t xml:space="preserve"> sponsor</w:t>
      </w:r>
      <w:r w:rsidR="00476DF8" w:rsidRPr="007B140B">
        <w:rPr>
          <w:rFonts w:ascii="Times New Roman" w:hAnsi="Times New Roman" w:cs="Times New Roman"/>
          <w:sz w:val="24"/>
          <w:szCs w:val="24"/>
          <w:lang w:val="en-US"/>
        </w:rPr>
        <w:t xml:space="preserve">/coordinating investigator will each </w:t>
      </w:r>
      <w:r w:rsidR="00003B7E" w:rsidRPr="007B140B">
        <w:rPr>
          <w:rFonts w:ascii="Times New Roman" w:hAnsi="Times New Roman" w:cs="Times New Roman"/>
          <w:sz w:val="24"/>
          <w:szCs w:val="24"/>
          <w:lang w:val="en-US"/>
        </w:rPr>
        <w:t>make</w:t>
      </w:r>
      <w:r w:rsidR="00476DF8" w:rsidRPr="007B140B">
        <w:rPr>
          <w:rFonts w:ascii="Times New Roman" w:hAnsi="Times New Roman" w:cs="Times New Roman"/>
          <w:sz w:val="24"/>
          <w:szCs w:val="24"/>
          <w:lang w:val="en-US"/>
        </w:rPr>
        <w:t xml:space="preserve"> a</w:t>
      </w:r>
      <w:r w:rsidR="00CC3869" w:rsidRPr="007B140B">
        <w:rPr>
          <w:rFonts w:ascii="Times New Roman" w:hAnsi="Times New Roman" w:cs="Times New Roman"/>
          <w:sz w:val="24"/>
          <w:szCs w:val="24"/>
          <w:lang w:val="en-US"/>
        </w:rPr>
        <w:t xml:space="preserve"> list of</w:t>
      </w:r>
      <w:r w:rsidR="008526AA">
        <w:rPr>
          <w:rFonts w:ascii="Times New Roman" w:hAnsi="Times New Roman" w:cs="Times New Roman"/>
          <w:sz w:val="24"/>
          <w:szCs w:val="24"/>
          <w:lang w:val="en-US"/>
        </w:rPr>
        <w:t xml:space="preserve"> the</w:t>
      </w:r>
      <w:r w:rsidR="00CC3869" w:rsidRPr="007B140B">
        <w:rPr>
          <w:rFonts w:ascii="Times New Roman" w:hAnsi="Times New Roman" w:cs="Times New Roman"/>
          <w:sz w:val="24"/>
          <w:szCs w:val="24"/>
          <w:lang w:val="en-US"/>
        </w:rPr>
        <w:t xml:space="preserve"> </w:t>
      </w:r>
      <w:r w:rsidR="00A2467E">
        <w:rPr>
          <w:rFonts w:ascii="Times New Roman" w:hAnsi="Times New Roman" w:cs="Times New Roman"/>
          <w:sz w:val="24"/>
          <w:szCs w:val="24"/>
          <w:lang w:val="en-US"/>
        </w:rPr>
        <w:t>member</w:t>
      </w:r>
      <w:r w:rsidR="002E576F">
        <w:rPr>
          <w:rFonts w:ascii="Times New Roman" w:hAnsi="Times New Roman" w:cs="Times New Roman"/>
          <w:sz w:val="24"/>
          <w:szCs w:val="24"/>
          <w:lang w:val="en-US"/>
        </w:rPr>
        <w:t>s</w:t>
      </w:r>
      <w:r w:rsidR="00A2467E">
        <w:rPr>
          <w:rFonts w:ascii="Times New Roman" w:hAnsi="Times New Roman" w:cs="Times New Roman"/>
          <w:sz w:val="24"/>
          <w:szCs w:val="24"/>
          <w:lang w:val="en-US"/>
        </w:rPr>
        <w:t xml:space="preserve"> of</w:t>
      </w:r>
      <w:r w:rsidR="00CC3869" w:rsidRPr="007B140B">
        <w:rPr>
          <w:rFonts w:ascii="Times New Roman" w:hAnsi="Times New Roman" w:cs="Times New Roman"/>
          <w:sz w:val="24"/>
          <w:szCs w:val="24"/>
          <w:lang w:val="en-US"/>
        </w:rPr>
        <w:t xml:space="preserve"> their </w:t>
      </w:r>
      <w:r w:rsidR="00003B7E" w:rsidRPr="007B140B">
        <w:rPr>
          <w:rFonts w:ascii="Times New Roman" w:hAnsi="Times New Roman" w:cs="Times New Roman"/>
          <w:sz w:val="24"/>
          <w:szCs w:val="24"/>
          <w:lang w:val="en-US"/>
        </w:rPr>
        <w:t xml:space="preserve">staff </w:t>
      </w:r>
      <w:r w:rsidR="008526AA">
        <w:rPr>
          <w:rFonts w:ascii="Times New Roman" w:hAnsi="Times New Roman" w:cs="Times New Roman"/>
          <w:sz w:val="24"/>
          <w:szCs w:val="24"/>
          <w:lang w:val="en-US"/>
        </w:rPr>
        <w:t>that</w:t>
      </w:r>
      <w:r w:rsidR="008526AA" w:rsidRPr="007B140B">
        <w:rPr>
          <w:rFonts w:ascii="Times New Roman" w:hAnsi="Times New Roman" w:cs="Times New Roman"/>
          <w:sz w:val="24"/>
          <w:szCs w:val="24"/>
          <w:lang w:val="en-US"/>
        </w:rPr>
        <w:t xml:space="preserve"> </w:t>
      </w:r>
      <w:r w:rsidR="00003B7E" w:rsidRPr="007B140B">
        <w:rPr>
          <w:rFonts w:ascii="Times New Roman" w:hAnsi="Times New Roman" w:cs="Times New Roman"/>
          <w:sz w:val="24"/>
          <w:szCs w:val="24"/>
          <w:lang w:val="en-US"/>
        </w:rPr>
        <w:t>want</w:t>
      </w:r>
      <w:r w:rsidR="002924B2" w:rsidRPr="007B140B">
        <w:rPr>
          <w:rFonts w:ascii="Times New Roman" w:hAnsi="Times New Roman" w:cs="Times New Roman"/>
          <w:sz w:val="24"/>
          <w:szCs w:val="24"/>
          <w:lang w:val="en-US"/>
        </w:rPr>
        <w:t xml:space="preserve"> </w:t>
      </w:r>
      <w:r w:rsidR="00003B7E" w:rsidRPr="007B140B">
        <w:rPr>
          <w:rFonts w:ascii="Times New Roman" w:hAnsi="Times New Roman" w:cs="Times New Roman"/>
          <w:sz w:val="24"/>
          <w:szCs w:val="24"/>
          <w:lang w:val="en-US"/>
        </w:rPr>
        <w:t>to be included as authors</w:t>
      </w:r>
      <w:r w:rsidR="002924B2" w:rsidRPr="007B140B">
        <w:rPr>
          <w:rFonts w:ascii="Times New Roman" w:hAnsi="Times New Roman" w:cs="Times New Roman"/>
          <w:sz w:val="24"/>
          <w:szCs w:val="24"/>
          <w:lang w:val="en-US"/>
        </w:rPr>
        <w:t>. These list</w:t>
      </w:r>
      <w:r w:rsidR="00BB005C" w:rsidRPr="007B140B">
        <w:rPr>
          <w:rFonts w:ascii="Times New Roman" w:hAnsi="Times New Roman" w:cs="Times New Roman"/>
          <w:sz w:val="24"/>
          <w:szCs w:val="24"/>
          <w:lang w:val="en-US"/>
        </w:rPr>
        <w:t>s</w:t>
      </w:r>
      <w:r w:rsidR="002924B2" w:rsidRPr="007B140B">
        <w:rPr>
          <w:rFonts w:ascii="Times New Roman" w:hAnsi="Times New Roman" w:cs="Times New Roman"/>
          <w:sz w:val="24"/>
          <w:szCs w:val="24"/>
          <w:lang w:val="en-US"/>
        </w:rPr>
        <w:t xml:space="preserve"> must include a </w:t>
      </w:r>
      <w:r w:rsidR="00D86B7F" w:rsidRPr="007B140B">
        <w:rPr>
          <w:rFonts w:ascii="Times New Roman" w:hAnsi="Times New Roman" w:cs="Times New Roman"/>
          <w:sz w:val="24"/>
          <w:szCs w:val="24"/>
          <w:lang w:val="en-US"/>
        </w:rPr>
        <w:t xml:space="preserve">statement </w:t>
      </w:r>
      <w:r w:rsidR="00BB005C" w:rsidRPr="007B140B">
        <w:rPr>
          <w:rFonts w:ascii="Times New Roman" w:hAnsi="Times New Roman" w:cs="Times New Roman"/>
          <w:sz w:val="24"/>
          <w:szCs w:val="24"/>
          <w:lang w:val="en-US"/>
        </w:rPr>
        <w:t xml:space="preserve">of which ICMJE criteria for </w:t>
      </w:r>
      <w:r w:rsidR="00D86B7F" w:rsidRPr="007B140B">
        <w:rPr>
          <w:rFonts w:ascii="Times New Roman" w:hAnsi="Times New Roman" w:cs="Times New Roman"/>
          <w:sz w:val="24"/>
          <w:szCs w:val="24"/>
          <w:lang w:val="en-US"/>
        </w:rPr>
        <w:t xml:space="preserve">apply to each name on the list, as well as an explanation </w:t>
      </w:r>
      <w:r w:rsidR="009324FF" w:rsidRPr="007B140B">
        <w:rPr>
          <w:rFonts w:ascii="Times New Roman" w:hAnsi="Times New Roman" w:cs="Times New Roman"/>
          <w:sz w:val="24"/>
          <w:szCs w:val="24"/>
          <w:lang w:val="en-US"/>
        </w:rPr>
        <w:t>of how</w:t>
      </w:r>
      <w:r w:rsidR="00D86B7F" w:rsidRPr="007B140B">
        <w:rPr>
          <w:rFonts w:ascii="Times New Roman" w:hAnsi="Times New Roman" w:cs="Times New Roman"/>
          <w:sz w:val="24"/>
          <w:szCs w:val="24"/>
          <w:lang w:val="en-US"/>
        </w:rPr>
        <w:t xml:space="preserve"> each person </w:t>
      </w:r>
      <w:r w:rsidR="00BB005C" w:rsidRPr="007B140B">
        <w:rPr>
          <w:rFonts w:ascii="Times New Roman" w:hAnsi="Times New Roman" w:cs="Times New Roman"/>
          <w:sz w:val="24"/>
          <w:szCs w:val="24"/>
          <w:lang w:val="en-US"/>
        </w:rPr>
        <w:t>meets</w:t>
      </w:r>
      <w:r w:rsidR="00D86B7F" w:rsidRPr="007B140B">
        <w:rPr>
          <w:rFonts w:ascii="Times New Roman" w:hAnsi="Times New Roman" w:cs="Times New Roman"/>
          <w:sz w:val="24"/>
          <w:szCs w:val="24"/>
          <w:lang w:val="en-US"/>
        </w:rPr>
        <w:t xml:space="preserve"> the criteria. The </w:t>
      </w:r>
      <w:r w:rsidR="00DD1AD0">
        <w:rPr>
          <w:rFonts w:ascii="Times New Roman" w:hAnsi="Times New Roman" w:cs="Times New Roman"/>
          <w:sz w:val="24"/>
          <w:szCs w:val="24"/>
          <w:lang w:val="en-US"/>
        </w:rPr>
        <w:t xml:space="preserve">principal </w:t>
      </w:r>
      <w:r w:rsidR="00476921" w:rsidRPr="007B140B">
        <w:rPr>
          <w:rFonts w:ascii="Times New Roman" w:hAnsi="Times New Roman" w:cs="Times New Roman"/>
          <w:sz w:val="24"/>
          <w:szCs w:val="24"/>
          <w:lang w:val="en-US"/>
        </w:rPr>
        <w:t>investigators and the sponsor will jointly assess who on these lists meet</w:t>
      </w:r>
      <w:r w:rsidR="00003B7E" w:rsidRPr="007B140B">
        <w:rPr>
          <w:rFonts w:ascii="Times New Roman" w:hAnsi="Times New Roman" w:cs="Times New Roman"/>
          <w:sz w:val="24"/>
          <w:szCs w:val="24"/>
          <w:lang w:val="en-US"/>
        </w:rPr>
        <w:t xml:space="preserve"> the ICMJE criteria. </w:t>
      </w:r>
      <w:r w:rsidR="007731F4" w:rsidRPr="007B140B">
        <w:rPr>
          <w:rFonts w:ascii="Times New Roman" w:hAnsi="Times New Roman" w:cs="Times New Roman"/>
          <w:sz w:val="24"/>
          <w:szCs w:val="24"/>
          <w:lang w:val="en-US"/>
        </w:rPr>
        <w:t>The investigators and the sponsor</w:t>
      </w:r>
      <w:r w:rsidR="00003B7E" w:rsidRPr="007B140B">
        <w:rPr>
          <w:rFonts w:ascii="Times New Roman" w:hAnsi="Times New Roman" w:cs="Times New Roman"/>
          <w:sz w:val="24"/>
          <w:szCs w:val="24"/>
          <w:lang w:val="en-US"/>
        </w:rPr>
        <w:t xml:space="preserve"> will also </w:t>
      </w:r>
      <w:r w:rsidR="00476921" w:rsidRPr="007B140B">
        <w:rPr>
          <w:rFonts w:ascii="Times New Roman" w:hAnsi="Times New Roman" w:cs="Times New Roman"/>
          <w:sz w:val="24"/>
          <w:szCs w:val="24"/>
          <w:lang w:val="en-US"/>
        </w:rPr>
        <w:t xml:space="preserve">determine the order in which the names will appear </w:t>
      </w:r>
      <w:r w:rsidR="008526AA">
        <w:rPr>
          <w:rFonts w:ascii="Times New Roman" w:hAnsi="Times New Roman" w:cs="Times New Roman"/>
          <w:sz w:val="24"/>
          <w:szCs w:val="24"/>
          <w:lang w:val="en-US"/>
        </w:rPr>
        <w:t>o</w:t>
      </w:r>
      <w:r w:rsidR="00476921" w:rsidRPr="007B140B">
        <w:rPr>
          <w:rFonts w:ascii="Times New Roman" w:hAnsi="Times New Roman" w:cs="Times New Roman"/>
          <w:sz w:val="24"/>
          <w:szCs w:val="24"/>
          <w:lang w:val="en-US"/>
        </w:rPr>
        <w:t xml:space="preserve">n the published article. The </w:t>
      </w:r>
      <w:r w:rsidR="00D86B7F" w:rsidRPr="007B140B">
        <w:rPr>
          <w:rFonts w:ascii="Times New Roman" w:hAnsi="Times New Roman" w:cs="Times New Roman"/>
          <w:sz w:val="24"/>
          <w:szCs w:val="24"/>
          <w:lang w:val="en-US"/>
        </w:rPr>
        <w:t>final decision of which names</w:t>
      </w:r>
      <w:r w:rsidR="00476921" w:rsidRPr="007B140B">
        <w:rPr>
          <w:rFonts w:ascii="Times New Roman" w:hAnsi="Times New Roman" w:cs="Times New Roman"/>
          <w:sz w:val="24"/>
          <w:szCs w:val="24"/>
          <w:lang w:val="en-US"/>
        </w:rPr>
        <w:t xml:space="preserve"> will</w:t>
      </w:r>
      <w:r w:rsidR="00D86B7F" w:rsidRPr="007B140B">
        <w:rPr>
          <w:rFonts w:ascii="Times New Roman" w:hAnsi="Times New Roman" w:cs="Times New Roman"/>
          <w:sz w:val="24"/>
          <w:szCs w:val="24"/>
          <w:lang w:val="en-US"/>
        </w:rPr>
        <w:t xml:space="preserve"> appear </w:t>
      </w:r>
      <w:r w:rsidR="00476921" w:rsidRPr="007B140B">
        <w:rPr>
          <w:rFonts w:ascii="Times New Roman" w:hAnsi="Times New Roman" w:cs="Times New Roman"/>
          <w:sz w:val="24"/>
          <w:szCs w:val="24"/>
          <w:lang w:val="en-US"/>
        </w:rPr>
        <w:t xml:space="preserve">and in what order </w:t>
      </w:r>
      <w:r w:rsidR="00D86B7F" w:rsidRPr="007B140B">
        <w:rPr>
          <w:rFonts w:ascii="Times New Roman" w:hAnsi="Times New Roman" w:cs="Times New Roman"/>
          <w:sz w:val="24"/>
          <w:szCs w:val="24"/>
          <w:lang w:val="en-US"/>
        </w:rPr>
        <w:t xml:space="preserve">will be </w:t>
      </w:r>
      <w:r w:rsidR="00476921" w:rsidRPr="007B140B">
        <w:rPr>
          <w:rFonts w:ascii="Times New Roman" w:hAnsi="Times New Roman" w:cs="Times New Roman"/>
          <w:sz w:val="24"/>
          <w:szCs w:val="24"/>
          <w:lang w:val="en-US"/>
        </w:rPr>
        <w:t>the</w:t>
      </w:r>
      <w:r w:rsidR="00D86B7F" w:rsidRPr="007B140B">
        <w:rPr>
          <w:rFonts w:ascii="Times New Roman" w:hAnsi="Times New Roman" w:cs="Times New Roman"/>
          <w:sz w:val="24"/>
          <w:szCs w:val="24"/>
          <w:lang w:val="en-US"/>
        </w:rPr>
        <w:t xml:space="preserve"> joint </w:t>
      </w:r>
      <w:r w:rsidR="00D86B7F" w:rsidRPr="007B140B">
        <w:rPr>
          <w:rFonts w:ascii="Times New Roman" w:hAnsi="Times New Roman" w:cs="Times New Roman"/>
          <w:sz w:val="24"/>
          <w:szCs w:val="24"/>
          <w:lang w:val="en-US"/>
        </w:rPr>
        <w:lastRenderedPageBreak/>
        <w:t xml:space="preserve">decision of all </w:t>
      </w:r>
      <w:r w:rsidR="00E8505B">
        <w:rPr>
          <w:rFonts w:ascii="Times New Roman" w:hAnsi="Times New Roman" w:cs="Times New Roman"/>
          <w:sz w:val="24"/>
          <w:szCs w:val="24"/>
          <w:lang w:val="en-US"/>
        </w:rPr>
        <w:t xml:space="preserve">principal </w:t>
      </w:r>
      <w:r w:rsidR="00D86B7F" w:rsidRPr="007B140B">
        <w:rPr>
          <w:rFonts w:ascii="Times New Roman" w:hAnsi="Times New Roman" w:cs="Times New Roman"/>
          <w:sz w:val="24"/>
          <w:szCs w:val="24"/>
          <w:lang w:val="en-US"/>
        </w:rPr>
        <w:t xml:space="preserve">investigators, by </w:t>
      </w:r>
      <w:proofErr w:type="gramStart"/>
      <w:r w:rsidR="00D86B7F" w:rsidRPr="007B140B">
        <w:rPr>
          <w:rFonts w:ascii="Times New Roman" w:hAnsi="Times New Roman" w:cs="Times New Roman"/>
          <w:sz w:val="24"/>
          <w:szCs w:val="24"/>
          <w:lang w:val="en-US"/>
        </w:rPr>
        <w:t>consensus</w:t>
      </w:r>
      <w:proofErr w:type="gramEnd"/>
      <w:r w:rsidR="00D86B7F" w:rsidRPr="007B140B">
        <w:rPr>
          <w:rFonts w:ascii="Times New Roman" w:hAnsi="Times New Roman" w:cs="Times New Roman"/>
          <w:sz w:val="24"/>
          <w:szCs w:val="24"/>
          <w:lang w:val="en-US"/>
        </w:rPr>
        <w:t xml:space="preserve"> if possible, by majority vote if necessary. The sponsor will break </w:t>
      </w:r>
      <w:r w:rsidR="002924B2" w:rsidRPr="007B140B">
        <w:rPr>
          <w:rFonts w:ascii="Times New Roman" w:hAnsi="Times New Roman" w:cs="Times New Roman"/>
          <w:sz w:val="24"/>
          <w:szCs w:val="24"/>
          <w:lang w:val="en-US"/>
        </w:rPr>
        <w:t>a</w:t>
      </w:r>
      <w:r w:rsidR="00D86B7F" w:rsidRPr="007B140B">
        <w:rPr>
          <w:rFonts w:ascii="Times New Roman" w:hAnsi="Times New Roman" w:cs="Times New Roman"/>
          <w:sz w:val="24"/>
          <w:szCs w:val="24"/>
          <w:lang w:val="en-US"/>
        </w:rPr>
        <w:t xml:space="preserve"> tie </w:t>
      </w:r>
      <w:r w:rsidR="00003B7E" w:rsidRPr="007B140B">
        <w:rPr>
          <w:rFonts w:ascii="Times New Roman" w:hAnsi="Times New Roman" w:cs="Times New Roman"/>
          <w:sz w:val="24"/>
          <w:szCs w:val="24"/>
          <w:lang w:val="en-US"/>
        </w:rPr>
        <w:t>should</w:t>
      </w:r>
      <w:r w:rsidR="002924B2" w:rsidRPr="007B140B">
        <w:rPr>
          <w:rFonts w:ascii="Times New Roman" w:hAnsi="Times New Roman" w:cs="Times New Roman"/>
          <w:sz w:val="24"/>
          <w:szCs w:val="24"/>
          <w:lang w:val="en-US"/>
        </w:rPr>
        <w:t xml:space="preserve"> </w:t>
      </w:r>
      <w:r w:rsidR="00BB005C" w:rsidRPr="007B140B">
        <w:rPr>
          <w:rFonts w:ascii="Times New Roman" w:hAnsi="Times New Roman" w:cs="Times New Roman"/>
          <w:sz w:val="24"/>
          <w:szCs w:val="24"/>
          <w:lang w:val="en-US"/>
        </w:rPr>
        <w:t>one</w:t>
      </w:r>
      <w:r w:rsidR="002924B2" w:rsidRPr="007B140B">
        <w:rPr>
          <w:rFonts w:ascii="Times New Roman" w:hAnsi="Times New Roman" w:cs="Times New Roman"/>
          <w:sz w:val="24"/>
          <w:szCs w:val="24"/>
          <w:lang w:val="en-US"/>
        </w:rPr>
        <w:t xml:space="preserve"> </w:t>
      </w:r>
      <w:r w:rsidR="00003B7E" w:rsidRPr="007B140B">
        <w:rPr>
          <w:rFonts w:ascii="Times New Roman" w:hAnsi="Times New Roman" w:cs="Times New Roman"/>
          <w:sz w:val="24"/>
          <w:szCs w:val="24"/>
          <w:lang w:val="en-US"/>
        </w:rPr>
        <w:t>arise</w:t>
      </w:r>
      <w:r w:rsidR="00D86B7F" w:rsidRPr="007B140B">
        <w:rPr>
          <w:rFonts w:ascii="Times New Roman" w:hAnsi="Times New Roman" w:cs="Times New Roman"/>
          <w:sz w:val="24"/>
          <w:szCs w:val="24"/>
          <w:lang w:val="en-US"/>
        </w:rPr>
        <w:t>.</w:t>
      </w:r>
    </w:p>
    <w:p w14:paraId="0288ED81" w14:textId="2A29EA73" w:rsidR="00834E33" w:rsidRPr="007B140B" w:rsidRDefault="00834E33" w:rsidP="00A134C1">
      <w:pPr>
        <w:rPr>
          <w:rFonts w:ascii="Times New Roman" w:hAnsi="Times New Roman" w:cs="Times New Roman"/>
          <w:sz w:val="24"/>
          <w:szCs w:val="24"/>
          <w:lang w:val="en-US"/>
        </w:rPr>
      </w:pPr>
    </w:p>
    <w:p w14:paraId="7C84A5A9" w14:textId="77777777" w:rsidR="00834E33" w:rsidRPr="007B140B" w:rsidRDefault="00834E33" w:rsidP="00D36611">
      <w:pPr>
        <w:pStyle w:val="Formatmall4"/>
        <w:rPr>
          <w:rFonts w:cs="Times New Roman"/>
          <w:lang w:val="en-US"/>
        </w:rPr>
      </w:pPr>
      <w:bookmarkStart w:id="507" w:name="_Toc99001454"/>
      <w:r w:rsidRPr="007B140B">
        <w:rPr>
          <w:rFonts w:cs="Times New Roman"/>
          <w:lang w:val="en-US"/>
        </w:rPr>
        <w:t>Risk-benefit evaluation</w:t>
      </w:r>
      <w:bookmarkEnd w:id="507"/>
      <w:r w:rsidRPr="007B140B">
        <w:rPr>
          <w:rFonts w:cs="Times New Roman"/>
          <w:lang w:val="en-US"/>
        </w:rPr>
        <w:t xml:space="preserve"> </w:t>
      </w:r>
    </w:p>
    <w:p w14:paraId="07D444AD" w14:textId="694EC0C5" w:rsidR="00834E33" w:rsidRPr="007B140B" w:rsidRDefault="00834E33" w:rsidP="00834E33">
      <w:pPr>
        <w:rPr>
          <w:rFonts w:ascii="Times New Roman" w:hAnsi="Times New Roman" w:cs="Times New Roman"/>
          <w:iCs/>
          <w:color w:val="000000" w:themeColor="text1"/>
          <w:sz w:val="24"/>
          <w:szCs w:val="24"/>
          <w:lang w:val="en-US"/>
        </w:rPr>
      </w:pPr>
      <w:r w:rsidRPr="007B140B">
        <w:rPr>
          <w:rFonts w:ascii="Times New Roman" w:hAnsi="Times New Roman" w:cs="Times New Roman"/>
          <w:iCs/>
          <w:color w:val="000000" w:themeColor="text1"/>
          <w:sz w:val="24"/>
          <w:szCs w:val="24"/>
          <w:lang w:val="en-US"/>
        </w:rPr>
        <w:t xml:space="preserve">The main </w:t>
      </w:r>
      <w:r w:rsidR="005C5D00" w:rsidRPr="007B140B">
        <w:rPr>
          <w:rFonts w:ascii="Times New Roman" w:hAnsi="Times New Roman" w:cs="Times New Roman"/>
          <w:iCs/>
          <w:color w:val="000000" w:themeColor="text1"/>
          <w:sz w:val="24"/>
          <w:szCs w:val="24"/>
          <w:lang w:val="en-US"/>
        </w:rPr>
        <w:t xml:space="preserve">expected </w:t>
      </w:r>
      <w:r w:rsidRPr="007B140B">
        <w:rPr>
          <w:rFonts w:ascii="Times New Roman" w:hAnsi="Times New Roman" w:cs="Times New Roman"/>
          <w:iCs/>
          <w:color w:val="000000" w:themeColor="text1"/>
          <w:sz w:val="24"/>
          <w:szCs w:val="24"/>
          <w:lang w:val="en-US"/>
        </w:rPr>
        <w:t xml:space="preserve">benefit </w:t>
      </w:r>
      <w:r w:rsidR="005C5D00" w:rsidRPr="007B140B">
        <w:rPr>
          <w:rFonts w:ascii="Times New Roman" w:hAnsi="Times New Roman" w:cs="Times New Roman"/>
          <w:iCs/>
          <w:color w:val="000000" w:themeColor="text1"/>
          <w:sz w:val="24"/>
          <w:szCs w:val="24"/>
          <w:lang w:val="en-US"/>
        </w:rPr>
        <w:t>of</w:t>
      </w:r>
      <w:r w:rsidRPr="007B140B">
        <w:rPr>
          <w:rFonts w:ascii="Times New Roman" w:hAnsi="Times New Roman" w:cs="Times New Roman"/>
          <w:iCs/>
          <w:color w:val="000000" w:themeColor="text1"/>
          <w:sz w:val="24"/>
          <w:szCs w:val="24"/>
          <w:lang w:val="en-US"/>
        </w:rPr>
        <w:t xml:space="preserve"> zoledronic acid is a reduced risk of fractures. Based on previous studies, we expect to see a 35% relative risk reduction, corresponding to a 3.5% absol</w:t>
      </w:r>
      <w:r w:rsidR="00A16266" w:rsidRPr="007B140B">
        <w:rPr>
          <w:rFonts w:ascii="Times New Roman" w:hAnsi="Times New Roman" w:cs="Times New Roman"/>
          <w:iCs/>
          <w:color w:val="000000" w:themeColor="text1"/>
          <w:sz w:val="24"/>
          <w:szCs w:val="24"/>
          <w:lang w:val="en-US"/>
        </w:rPr>
        <w:t>ute risk reduction</w:t>
      </w:r>
      <w:r w:rsidRPr="007B140B">
        <w:rPr>
          <w:rFonts w:ascii="Times New Roman" w:hAnsi="Times New Roman" w:cs="Times New Roman"/>
          <w:iCs/>
          <w:color w:val="000000" w:themeColor="text1"/>
          <w:sz w:val="24"/>
          <w:szCs w:val="24"/>
          <w:lang w:val="en-US"/>
        </w:rPr>
        <w:t>. There are also health economics benefits to consider. Below is an example for hip fractures.</w:t>
      </w:r>
    </w:p>
    <w:p w14:paraId="755B531F" w14:textId="6BBE4A1B" w:rsidR="00834E33" w:rsidRPr="007B140B" w:rsidRDefault="00834E33" w:rsidP="00834E33">
      <w:pPr>
        <w:rPr>
          <w:rFonts w:ascii="Times New Roman" w:hAnsi="Times New Roman" w:cs="Times New Roman"/>
          <w:iCs/>
          <w:color w:val="000000" w:themeColor="text1"/>
          <w:sz w:val="24"/>
          <w:szCs w:val="24"/>
          <w:lang w:val="en-US"/>
        </w:rPr>
      </w:pPr>
      <w:r w:rsidRPr="007B140B">
        <w:rPr>
          <w:rFonts w:ascii="Times New Roman" w:hAnsi="Times New Roman" w:cs="Times New Roman"/>
          <w:iCs/>
          <w:color w:val="000000" w:themeColor="text1"/>
          <w:sz w:val="24"/>
          <w:szCs w:val="24"/>
          <w:lang w:val="en-US"/>
        </w:rPr>
        <w:t xml:space="preserve">We expect hip fractures to occur in </w:t>
      </w:r>
      <w:r w:rsidR="00677575" w:rsidRPr="007B140B">
        <w:rPr>
          <w:rFonts w:ascii="Times New Roman" w:hAnsi="Times New Roman" w:cs="Times New Roman"/>
          <w:iCs/>
          <w:color w:val="000000" w:themeColor="text1"/>
          <w:sz w:val="24"/>
          <w:szCs w:val="24"/>
          <w:lang w:val="en-US"/>
        </w:rPr>
        <w:t xml:space="preserve">approximately </w:t>
      </w:r>
      <w:r w:rsidRPr="007B140B">
        <w:rPr>
          <w:rFonts w:ascii="Times New Roman" w:hAnsi="Times New Roman" w:cs="Times New Roman"/>
          <w:iCs/>
          <w:color w:val="000000" w:themeColor="text1"/>
          <w:sz w:val="24"/>
          <w:szCs w:val="24"/>
          <w:lang w:val="en-US"/>
        </w:rPr>
        <w:t xml:space="preserve">5% of </w:t>
      </w:r>
      <w:r w:rsidR="008E40C6">
        <w:rPr>
          <w:rFonts w:ascii="Times New Roman" w:hAnsi="Times New Roman" w:cs="Times New Roman"/>
          <w:iCs/>
          <w:color w:val="000000" w:themeColor="text1"/>
          <w:sz w:val="24"/>
          <w:szCs w:val="24"/>
          <w:lang w:val="en-US"/>
        </w:rPr>
        <w:t>participants</w:t>
      </w:r>
      <w:r w:rsidR="008E40C6" w:rsidRPr="007B140B">
        <w:rPr>
          <w:rFonts w:ascii="Times New Roman" w:hAnsi="Times New Roman" w:cs="Times New Roman"/>
          <w:iCs/>
          <w:color w:val="000000" w:themeColor="text1"/>
          <w:sz w:val="24"/>
          <w:szCs w:val="24"/>
          <w:lang w:val="en-US"/>
        </w:rPr>
        <w:t xml:space="preserve"> </w:t>
      </w:r>
      <w:r w:rsidR="00677575" w:rsidRPr="007B140B">
        <w:rPr>
          <w:rFonts w:ascii="Times New Roman" w:hAnsi="Times New Roman" w:cs="Times New Roman"/>
          <w:iCs/>
          <w:color w:val="000000" w:themeColor="text1"/>
          <w:sz w:val="24"/>
          <w:szCs w:val="24"/>
          <w:lang w:val="en-US"/>
        </w:rPr>
        <w:t>during follow up. W</w:t>
      </w:r>
      <w:r w:rsidRPr="007B140B">
        <w:rPr>
          <w:rFonts w:ascii="Times New Roman" w:hAnsi="Times New Roman" w:cs="Times New Roman"/>
          <w:iCs/>
          <w:color w:val="000000" w:themeColor="text1"/>
          <w:sz w:val="24"/>
          <w:szCs w:val="24"/>
          <w:lang w:val="en-US"/>
        </w:rPr>
        <w:t>ith an absolute risk reduction of 1.</w:t>
      </w:r>
      <w:r w:rsidR="00630568" w:rsidRPr="007B140B">
        <w:rPr>
          <w:rFonts w:ascii="Times New Roman" w:hAnsi="Times New Roman" w:cs="Times New Roman"/>
          <w:iCs/>
          <w:color w:val="000000" w:themeColor="text1"/>
          <w:sz w:val="24"/>
          <w:szCs w:val="24"/>
          <w:lang w:val="en-US"/>
        </w:rPr>
        <w:t>7</w:t>
      </w:r>
      <w:r w:rsidRPr="007B140B">
        <w:rPr>
          <w:rFonts w:ascii="Times New Roman" w:hAnsi="Times New Roman" w:cs="Times New Roman"/>
          <w:iCs/>
          <w:color w:val="000000" w:themeColor="text1"/>
          <w:sz w:val="24"/>
          <w:szCs w:val="24"/>
          <w:lang w:val="en-US"/>
        </w:rPr>
        <w:t xml:space="preserve">5% from zoledronic acid (35% relative risk reduction), </w:t>
      </w:r>
      <w:r w:rsidR="00677575" w:rsidRPr="007B140B">
        <w:rPr>
          <w:rFonts w:ascii="Times New Roman" w:hAnsi="Times New Roman" w:cs="Times New Roman"/>
          <w:iCs/>
          <w:color w:val="000000" w:themeColor="text1"/>
          <w:sz w:val="24"/>
          <w:szCs w:val="24"/>
          <w:lang w:val="en-US"/>
        </w:rPr>
        <w:t>the</w:t>
      </w:r>
      <w:r w:rsidRPr="007B140B">
        <w:rPr>
          <w:rFonts w:ascii="Times New Roman" w:hAnsi="Times New Roman" w:cs="Times New Roman"/>
          <w:iCs/>
          <w:color w:val="000000" w:themeColor="text1"/>
          <w:sz w:val="24"/>
          <w:szCs w:val="24"/>
          <w:lang w:val="en-US"/>
        </w:rPr>
        <w:t xml:space="preserve"> number</w:t>
      </w:r>
      <w:r w:rsidR="00916B26">
        <w:rPr>
          <w:rFonts w:ascii="Times New Roman" w:hAnsi="Times New Roman" w:cs="Times New Roman"/>
          <w:iCs/>
          <w:color w:val="000000" w:themeColor="text1"/>
          <w:sz w:val="24"/>
          <w:szCs w:val="24"/>
          <w:lang w:val="en-US"/>
        </w:rPr>
        <w:t>ed</w:t>
      </w:r>
      <w:r w:rsidRPr="007B140B">
        <w:rPr>
          <w:rFonts w:ascii="Times New Roman" w:hAnsi="Times New Roman" w:cs="Times New Roman"/>
          <w:iCs/>
          <w:color w:val="000000" w:themeColor="text1"/>
          <w:sz w:val="24"/>
          <w:szCs w:val="24"/>
          <w:lang w:val="en-US"/>
        </w:rPr>
        <w:t xml:space="preserve"> need to treat to avoid 1 hip fracture</w:t>
      </w:r>
      <w:r w:rsidR="00677575" w:rsidRPr="007B140B">
        <w:rPr>
          <w:rFonts w:ascii="Times New Roman" w:hAnsi="Times New Roman" w:cs="Times New Roman"/>
          <w:iCs/>
          <w:color w:val="000000" w:themeColor="text1"/>
          <w:sz w:val="24"/>
          <w:szCs w:val="24"/>
          <w:lang w:val="en-US"/>
        </w:rPr>
        <w:t xml:space="preserve"> is 57. In clinical practice, the cost of the study drug (two 5 mg infusions of zoledronic acid) </w:t>
      </w:r>
      <w:r w:rsidRPr="007B140B">
        <w:rPr>
          <w:rFonts w:ascii="Times New Roman" w:hAnsi="Times New Roman" w:cs="Times New Roman"/>
          <w:iCs/>
          <w:color w:val="000000" w:themeColor="text1"/>
          <w:sz w:val="24"/>
          <w:szCs w:val="24"/>
          <w:lang w:val="en-US"/>
        </w:rPr>
        <w:t xml:space="preserve">is about 300 </w:t>
      </w:r>
      <w:r w:rsidR="00ED233B" w:rsidRPr="007B140B">
        <w:rPr>
          <w:rFonts w:ascii="Times New Roman" w:hAnsi="Times New Roman" w:cs="Times New Roman"/>
          <w:iCs/>
          <w:color w:val="000000" w:themeColor="text1"/>
          <w:sz w:val="24"/>
          <w:szCs w:val="24"/>
          <w:lang w:val="en-US"/>
        </w:rPr>
        <w:t>Swedish Krona (</w:t>
      </w:r>
      <w:r w:rsidR="00AA316E" w:rsidRPr="007B140B">
        <w:rPr>
          <w:rFonts w:ascii="Times New Roman" w:hAnsi="Times New Roman" w:cs="Times New Roman"/>
          <w:iCs/>
          <w:color w:val="000000" w:themeColor="text1"/>
          <w:sz w:val="24"/>
          <w:szCs w:val="24"/>
          <w:lang w:val="en-US"/>
        </w:rPr>
        <w:t>SEK</w:t>
      </w:r>
      <w:r w:rsidR="00ED233B" w:rsidRPr="007B140B">
        <w:rPr>
          <w:rFonts w:ascii="Times New Roman" w:hAnsi="Times New Roman" w:cs="Times New Roman"/>
          <w:iCs/>
          <w:color w:val="000000" w:themeColor="text1"/>
          <w:sz w:val="24"/>
          <w:szCs w:val="24"/>
          <w:lang w:val="en-US"/>
        </w:rPr>
        <w:t>)</w:t>
      </w:r>
      <w:r w:rsidR="00677575" w:rsidRPr="007B140B">
        <w:rPr>
          <w:rFonts w:ascii="Times New Roman" w:hAnsi="Times New Roman" w:cs="Times New Roman"/>
          <w:iCs/>
          <w:color w:val="000000" w:themeColor="text1"/>
          <w:sz w:val="24"/>
          <w:szCs w:val="24"/>
          <w:lang w:val="en-US"/>
        </w:rPr>
        <w:t>. Additional costs of treatment (e.g., the cost</w:t>
      </w:r>
      <w:r w:rsidR="00E974D4" w:rsidRPr="007B140B">
        <w:rPr>
          <w:rFonts w:ascii="Times New Roman" w:hAnsi="Times New Roman" w:cs="Times New Roman"/>
          <w:iCs/>
          <w:color w:val="000000" w:themeColor="text1"/>
          <w:sz w:val="24"/>
          <w:szCs w:val="24"/>
          <w:lang w:val="en-US"/>
        </w:rPr>
        <w:t xml:space="preserve"> of</w:t>
      </w:r>
      <w:r w:rsidR="00677575" w:rsidRPr="007B140B">
        <w:rPr>
          <w:rFonts w:ascii="Times New Roman" w:hAnsi="Times New Roman" w:cs="Times New Roman"/>
          <w:iCs/>
          <w:color w:val="000000" w:themeColor="text1"/>
          <w:sz w:val="24"/>
          <w:szCs w:val="24"/>
          <w:lang w:val="en-US"/>
        </w:rPr>
        <w:t xml:space="preserve"> personnel and </w:t>
      </w:r>
      <w:r w:rsidR="00E974D4" w:rsidRPr="007B140B">
        <w:rPr>
          <w:rFonts w:ascii="Times New Roman" w:hAnsi="Times New Roman" w:cs="Times New Roman"/>
          <w:iCs/>
          <w:color w:val="000000" w:themeColor="text1"/>
          <w:sz w:val="24"/>
          <w:szCs w:val="24"/>
          <w:lang w:val="en-US"/>
        </w:rPr>
        <w:t>blood</w:t>
      </w:r>
      <w:r w:rsidR="00677575" w:rsidRPr="007B140B">
        <w:rPr>
          <w:rFonts w:ascii="Times New Roman" w:hAnsi="Times New Roman" w:cs="Times New Roman"/>
          <w:iCs/>
          <w:color w:val="000000" w:themeColor="text1"/>
          <w:sz w:val="24"/>
          <w:szCs w:val="24"/>
          <w:lang w:val="en-US"/>
        </w:rPr>
        <w:t xml:space="preserve"> tests) amount to approximately 500 SEK, meaning that the total cost of treatment is </w:t>
      </w:r>
      <w:r w:rsidRPr="007B140B">
        <w:rPr>
          <w:rFonts w:ascii="Times New Roman" w:hAnsi="Times New Roman" w:cs="Times New Roman"/>
          <w:iCs/>
          <w:color w:val="000000" w:themeColor="text1"/>
          <w:sz w:val="24"/>
          <w:szCs w:val="24"/>
          <w:lang w:val="en-US"/>
        </w:rPr>
        <w:t>about 800</w:t>
      </w:r>
      <w:r w:rsidR="00677575" w:rsidRPr="007B140B">
        <w:rPr>
          <w:rFonts w:ascii="Times New Roman" w:hAnsi="Times New Roman" w:cs="Times New Roman"/>
          <w:iCs/>
          <w:color w:val="000000" w:themeColor="text1"/>
          <w:sz w:val="24"/>
          <w:szCs w:val="24"/>
          <w:lang w:val="en-US"/>
        </w:rPr>
        <w:t xml:space="preserve"> SEK</w:t>
      </w:r>
      <w:r w:rsidRPr="007B140B">
        <w:rPr>
          <w:rFonts w:ascii="Times New Roman" w:hAnsi="Times New Roman" w:cs="Times New Roman"/>
          <w:iCs/>
          <w:color w:val="000000" w:themeColor="text1"/>
          <w:sz w:val="24"/>
          <w:szCs w:val="24"/>
          <w:lang w:val="en-US"/>
        </w:rPr>
        <w:t xml:space="preserve">. </w:t>
      </w:r>
      <w:r w:rsidR="00677575" w:rsidRPr="007B140B">
        <w:rPr>
          <w:rFonts w:ascii="Times New Roman" w:hAnsi="Times New Roman" w:cs="Times New Roman"/>
          <w:iCs/>
          <w:color w:val="000000" w:themeColor="text1"/>
          <w:sz w:val="24"/>
          <w:szCs w:val="24"/>
          <w:lang w:val="en-US"/>
        </w:rPr>
        <w:t>Therefore, t</w:t>
      </w:r>
      <w:r w:rsidRPr="007B140B">
        <w:rPr>
          <w:rFonts w:ascii="Times New Roman" w:hAnsi="Times New Roman" w:cs="Times New Roman"/>
          <w:iCs/>
          <w:color w:val="000000" w:themeColor="text1"/>
          <w:sz w:val="24"/>
          <w:szCs w:val="24"/>
          <w:lang w:val="en-US"/>
        </w:rPr>
        <w:t xml:space="preserve">he </w:t>
      </w:r>
      <w:r w:rsidR="00677575" w:rsidRPr="007B140B">
        <w:rPr>
          <w:rFonts w:ascii="Times New Roman" w:hAnsi="Times New Roman" w:cs="Times New Roman"/>
          <w:iCs/>
          <w:color w:val="000000" w:themeColor="text1"/>
          <w:sz w:val="24"/>
          <w:szCs w:val="24"/>
          <w:lang w:val="en-US"/>
        </w:rPr>
        <w:t xml:space="preserve">estimated </w:t>
      </w:r>
      <w:r w:rsidRPr="007B140B">
        <w:rPr>
          <w:rFonts w:ascii="Times New Roman" w:hAnsi="Times New Roman" w:cs="Times New Roman"/>
          <w:iCs/>
          <w:color w:val="000000" w:themeColor="text1"/>
          <w:sz w:val="24"/>
          <w:szCs w:val="24"/>
          <w:lang w:val="en-US"/>
        </w:rPr>
        <w:t xml:space="preserve">cost to avoid </w:t>
      </w:r>
      <w:r w:rsidR="00CC04FB" w:rsidRPr="007B140B">
        <w:rPr>
          <w:rFonts w:ascii="Times New Roman" w:hAnsi="Times New Roman" w:cs="Times New Roman"/>
          <w:iCs/>
          <w:color w:val="000000" w:themeColor="text1"/>
          <w:sz w:val="24"/>
          <w:szCs w:val="24"/>
          <w:lang w:val="en-US"/>
        </w:rPr>
        <w:t>one hip fracture is 800</w:t>
      </w:r>
      <w:r w:rsidR="00677575" w:rsidRPr="007B140B">
        <w:rPr>
          <w:rFonts w:ascii="Times New Roman" w:hAnsi="Times New Roman" w:cs="Times New Roman"/>
          <w:iCs/>
          <w:color w:val="000000" w:themeColor="text1"/>
          <w:sz w:val="24"/>
          <w:szCs w:val="24"/>
          <w:lang w:val="en-US"/>
        </w:rPr>
        <w:t>*</w:t>
      </w:r>
      <w:r w:rsidR="00CC04FB" w:rsidRPr="007B140B">
        <w:rPr>
          <w:rFonts w:ascii="Times New Roman" w:hAnsi="Times New Roman" w:cs="Times New Roman"/>
          <w:iCs/>
          <w:color w:val="000000" w:themeColor="text1"/>
          <w:sz w:val="24"/>
          <w:szCs w:val="24"/>
          <w:lang w:val="en-US"/>
        </w:rPr>
        <w:t>5</w:t>
      </w:r>
      <w:r w:rsidRPr="007B140B">
        <w:rPr>
          <w:rFonts w:ascii="Times New Roman" w:hAnsi="Times New Roman" w:cs="Times New Roman"/>
          <w:iCs/>
          <w:color w:val="000000" w:themeColor="text1"/>
          <w:sz w:val="24"/>
          <w:szCs w:val="24"/>
          <w:lang w:val="en-US"/>
        </w:rPr>
        <w:t>7=</w:t>
      </w:r>
      <w:r w:rsidR="00630568" w:rsidRPr="007B140B">
        <w:rPr>
          <w:rFonts w:ascii="Times New Roman" w:hAnsi="Times New Roman" w:cs="Times New Roman"/>
          <w:iCs/>
          <w:color w:val="000000" w:themeColor="text1"/>
          <w:sz w:val="24"/>
          <w:szCs w:val="24"/>
          <w:lang w:val="en-US"/>
        </w:rPr>
        <w:t>45</w:t>
      </w:r>
      <w:r w:rsidR="00677575" w:rsidRPr="007B140B">
        <w:rPr>
          <w:rFonts w:ascii="Times New Roman" w:hAnsi="Times New Roman" w:cs="Times New Roman"/>
          <w:iCs/>
          <w:color w:val="000000" w:themeColor="text1"/>
          <w:sz w:val="24"/>
          <w:szCs w:val="24"/>
          <w:lang w:val="en-US"/>
        </w:rPr>
        <w:t>,</w:t>
      </w:r>
      <w:r w:rsidR="00630568" w:rsidRPr="007B140B">
        <w:rPr>
          <w:rFonts w:ascii="Times New Roman" w:hAnsi="Times New Roman" w:cs="Times New Roman"/>
          <w:iCs/>
          <w:color w:val="000000" w:themeColor="text1"/>
          <w:sz w:val="24"/>
          <w:szCs w:val="24"/>
          <w:lang w:val="en-US"/>
        </w:rPr>
        <w:t>600</w:t>
      </w:r>
      <w:r w:rsidRPr="007B140B">
        <w:rPr>
          <w:rFonts w:ascii="Times New Roman" w:hAnsi="Times New Roman" w:cs="Times New Roman"/>
          <w:iCs/>
          <w:color w:val="000000" w:themeColor="text1"/>
          <w:sz w:val="24"/>
          <w:szCs w:val="24"/>
          <w:lang w:val="en-US"/>
        </w:rPr>
        <w:t xml:space="preserve"> </w:t>
      </w:r>
      <w:r w:rsidR="00AA316E" w:rsidRPr="007B140B">
        <w:rPr>
          <w:rFonts w:ascii="Times New Roman" w:hAnsi="Times New Roman" w:cs="Times New Roman"/>
          <w:iCs/>
          <w:color w:val="000000" w:themeColor="text1"/>
          <w:sz w:val="24"/>
          <w:szCs w:val="24"/>
          <w:lang w:val="en-US"/>
        </w:rPr>
        <w:t>SEK</w:t>
      </w:r>
      <w:r w:rsidRPr="007B140B">
        <w:rPr>
          <w:rFonts w:ascii="Times New Roman" w:hAnsi="Times New Roman" w:cs="Times New Roman"/>
          <w:iCs/>
          <w:color w:val="000000" w:themeColor="text1"/>
          <w:sz w:val="24"/>
          <w:szCs w:val="24"/>
          <w:lang w:val="en-US"/>
        </w:rPr>
        <w:t>.</w:t>
      </w:r>
    </w:p>
    <w:p w14:paraId="7DC56C54" w14:textId="382C4054" w:rsidR="00834E33" w:rsidRPr="007B140B" w:rsidRDefault="00834E33" w:rsidP="00834E33">
      <w:pPr>
        <w:rPr>
          <w:rFonts w:ascii="Times New Roman" w:hAnsi="Times New Roman" w:cs="Times New Roman"/>
          <w:iCs/>
          <w:color w:val="000000" w:themeColor="text1"/>
          <w:sz w:val="24"/>
          <w:szCs w:val="24"/>
          <w:lang w:val="en-US"/>
        </w:rPr>
      </w:pPr>
      <w:r w:rsidRPr="007B140B">
        <w:rPr>
          <w:rFonts w:ascii="Times New Roman" w:hAnsi="Times New Roman" w:cs="Times New Roman"/>
          <w:iCs/>
          <w:color w:val="000000" w:themeColor="text1"/>
          <w:sz w:val="24"/>
          <w:szCs w:val="24"/>
          <w:lang w:val="en-US"/>
        </w:rPr>
        <w:t xml:space="preserve">This cost of </w:t>
      </w:r>
      <w:r w:rsidR="00630568" w:rsidRPr="007B140B">
        <w:rPr>
          <w:rFonts w:ascii="Times New Roman" w:hAnsi="Times New Roman" w:cs="Times New Roman"/>
          <w:iCs/>
          <w:color w:val="000000" w:themeColor="text1"/>
          <w:sz w:val="24"/>
          <w:szCs w:val="24"/>
          <w:lang w:val="en-US"/>
        </w:rPr>
        <w:t>45</w:t>
      </w:r>
      <w:r w:rsidR="00677575" w:rsidRPr="007B140B">
        <w:rPr>
          <w:rFonts w:ascii="Times New Roman" w:hAnsi="Times New Roman" w:cs="Times New Roman"/>
          <w:iCs/>
          <w:color w:val="000000" w:themeColor="text1"/>
          <w:sz w:val="24"/>
          <w:szCs w:val="24"/>
          <w:lang w:val="en-US"/>
        </w:rPr>
        <w:t>,</w:t>
      </w:r>
      <w:r w:rsidR="00630568" w:rsidRPr="007B140B">
        <w:rPr>
          <w:rFonts w:ascii="Times New Roman" w:hAnsi="Times New Roman" w:cs="Times New Roman"/>
          <w:iCs/>
          <w:color w:val="000000" w:themeColor="text1"/>
          <w:sz w:val="24"/>
          <w:szCs w:val="24"/>
          <w:lang w:val="en-US"/>
        </w:rPr>
        <w:t>600</w:t>
      </w:r>
      <w:r w:rsidRPr="007B140B">
        <w:rPr>
          <w:rFonts w:ascii="Times New Roman" w:hAnsi="Times New Roman" w:cs="Times New Roman"/>
          <w:iCs/>
          <w:color w:val="000000" w:themeColor="text1"/>
          <w:sz w:val="24"/>
          <w:szCs w:val="24"/>
          <w:lang w:val="en-US"/>
        </w:rPr>
        <w:t xml:space="preserve"> SEK can be compared to the estimated </w:t>
      </w:r>
      <w:r w:rsidR="00677575" w:rsidRPr="007B140B">
        <w:rPr>
          <w:rFonts w:ascii="Times New Roman" w:hAnsi="Times New Roman" w:cs="Times New Roman"/>
          <w:iCs/>
          <w:color w:val="000000" w:themeColor="text1"/>
          <w:sz w:val="24"/>
          <w:szCs w:val="24"/>
          <w:lang w:val="en-US"/>
        </w:rPr>
        <w:t xml:space="preserve">hospitalization </w:t>
      </w:r>
      <w:r w:rsidRPr="007B140B">
        <w:rPr>
          <w:rFonts w:ascii="Times New Roman" w:hAnsi="Times New Roman" w:cs="Times New Roman"/>
          <w:iCs/>
          <w:color w:val="000000" w:themeColor="text1"/>
          <w:sz w:val="24"/>
          <w:szCs w:val="24"/>
          <w:lang w:val="en-US"/>
        </w:rPr>
        <w:t xml:space="preserve">cost of </w:t>
      </w:r>
      <w:r w:rsidR="00677575" w:rsidRPr="007B140B">
        <w:rPr>
          <w:rFonts w:ascii="Times New Roman" w:hAnsi="Times New Roman" w:cs="Times New Roman"/>
          <w:iCs/>
          <w:color w:val="000000" w:themeColor="text1"/>
          <w:sz w:val="24"/>
          <w:szCs w:val="24"/>
          <w:lang w:val="en-US"/>
        </w:rPr>
        <w:t xml:space="preserve">100,000 SEK </w:t>
      </w:r>
      <w:r w:rsidRPr="007B140B">
        <w:rPr>
          <w:rFonts w:ascii="Times New Roman" w:hAnsi="Times New Roman" w:cs="Times New Roman"/>
          <w:iCs/>
          <w:color w:val="000000" w:themeColor="text1"/>
          <w:sz w:val="24"/>
          <w:szCs w:val="24"/>
          <w:lang w:val="en-US"/>
        </w:rPr>
        <w:t xml:space="preserve">for </w:t>
      </w:r>
      <w:r w:rsidR="00677575" w:rsidRPr="007B140B">
        <w:rPr>
          <w:rFonts w:ascii="Times New Roman" w:hAnsi="Times New Roman" w:cs="Times New Roman"/>
          <w:iCs/>
          <w:color w:val="000000" w:themeColor="text1"/>
          <w:sz w:val="24"/>
          <w:szCs w:val="24"/>
          <w:lang w:val="en-US"/>
        </w:rPr>
        <w:t xml:space="preserve">each </w:t>
      </w:r>
      <w:r w:rsidRPr="007B140B">
        <w:rPr>
          <w:rFonts w:ascii="Times New Roman" w:hAnsi="Times New Roman" w:cs="Times New Roman"/>
          <w:iCs/>
          <w:color w:val="000000" w:themeColor="text1"/>
          <w:sz w:val="24"/>
          <w:szCs w:val="24"/>
          <w:lang w:val="en-US"/>
        </w:rPr>
        <w:t xml:space="preserve">hip fracture </w:t>
      </w:r>
      <w:r w:rsidR="00BE1DEA" w:rsidRPr="007B140B">
        <w:rPr>
          <w:rFonts w:ascii="Times New Roman" w:hAnsi="Times New Roman" w:cs="Times New Roman"/>
          <w:iCs/>
          <w:color w:val="000000" w:themeColor="text1"/>
          <w:sz w:val="24"/>
          <w:szCs w:val="24"/>
          <w:lang w:val="en-US"/>
        </w:rPr>
        <w:t>patient</w:t>
      </w:r>
      <w:r w:rsidR="00677575" w:rsidRPr="007B140B">
        <w:rPr>
          <w:rFonts w:ascii="Times New Roman" w:hAnsi="Times New Roman" w:cs="Times New Roman"/>
          <w:iCs/>
          <w:color w:val="000000" w:themeColor="text1"/>
          <w:sz w:val="24"/>
          <w:szCs w:val="24"/>
          <w:lang w:val="en-US"/>
        </w:rPr>
        <w:t>.</w:t>
      </w:r>
      <w:r w:rsidR="00BE1DEA" w:rsidRPr="007B140B">
        <w:rPr>
          <w:rFonts w:ascii="Times New Roman" w:hAnsi="Times New Roman" w:cs="Times New Roman"/>
          <w:iCs/>
          <w:color w:val="000000" w:themeColor="text1"/>
          <w:sz w:val="24"/>
          <w:szCs w:val="24"/>
          <w:lang w:val="en-US"/>
        </w:rPr>
        <w:fldChar w:fldCharType="begin" w:fldLock="1"/>
      </w:r>
      <w:r w:rsidR="00E85D18">
        <w:rPr>
          <w:rFonts w:ascii="Times New Roman" w:hAnsi="Times New Roman" w:cs="Times New Roman"/>
          <w:iCs/>
          <w:color w:val="000000" w:themeColor="text1"/>
          <w:sz w:val="24"/>
          <w:szCs w:val="24"/>
          <w:lang w:val="en-US"/>
        </w:rPr>
        <w:instrText>ADDIN CSL_CITATION {"citationItems":[{"id":"ITEM-1","itemData":{"DOI":"10.1007/s00198-017-4153-6","ISSN":"14332965","abstract":"Purpose This study was conducted in order to systematically review the costs of hip fractures globally and identify drivers of differences in costs. Methods A systematic review was conducted to identify studies reporting patient level fragility hip fracture costs between 1990 and 2015. We extracted data on the participants and costs from these studies. Cost data concerning the index hospitalisation were pooled, and a meta-regression was used to examine its potential drivers. We also pooled data on the first-year costs following hip fracture and considered healthcare, social care as well as other cost categories if reported by studies. Results One hundred and thirteen studies reported costs of hip fracture based on patient level data. Patients developing complications as well as patients enrolled in intervention arms of comparative studies were found to have significantly higher costs compared to the controls. The pooled estimate of the cost for the index hospitalisation was $10,075. Health and social care costs at 12 months were $43,669 with inpatient costs being their major driver. Meta-regression analysis identified age, gender and geographic region as being significantly associated with the differences in costs for the index hospitalisation. Conclusion Hip fracture poses a significant economic burden and variation exists in their costs across different regions. We found that there was a considerable variation across studies in terms of study design, methodology, follow-up period, costs considered and results reported that highlights the need for more standardisation in this area of research.","author":[{"dropping-particle":"","family":"Williamson","given":"S.","non-dropping-particle":"","parse-names":false,"suffix":""},{"dropping-particle":"","family":"Landeiro","given":"F.","non-dropping-particle":"","parse-names":false,"suffix":""},{"dropping-particle":"","family":"McConnell","given":"T.","non-dropping-particle":"","parse-names":false,"suffix":""},{"dropping-particle":"","family":"Fulford-Smith","given":"L.","non-dropping-particle":"","parse-names":false,"suffix":""},{"dropping-particle":"","family":"Javaid","given":"M. K.","non-dropping-particle":"","parse-names":false,"suffix":""},{"dropping-particle":"","family":"Judge","given":"A.","non-dropping-particle":"","parse-names":false,"suffix":""},{"dropping-particle":"","family":"Leal","given":"J.","non-dropping-particle":"","parse-names":false,"suffix":""}],"container-title":"Osteoporosis International","id":"ITEM-1","issue":"10","issued":{"date-parts":[["2017"]]},"page":"2791-2800","publisher":"Osteoporosis International","title":"Costs of fragility hip fractures globally: a systematic review and meta-regression analysis","type":"article-journal","volume":"28"},"uris":["http://www.mendeley.com/documents/?uuid=758032b3-3f1f-4ce1-9a1a-e893581f5d19"]}],"mendeley":{"formattedCitation":"&lt;sup&gt;&lt;sup&gt;72&lt;/sup&gt;&lt;/sup&gt;","plainTextFormattedCitation":"72","previouslyFormattedCitation":"&lt;sup&gt;&lt;sup&gt;73&lt;/sup&gt;&lt;/sup&gt;"},"properties":{"noteIndex":0},"schema":"https://github.com/citation-style-language/schema/raw/master/csl-citation.json"}</w:instrText>
      </w:r>
      <w:r w:rsidR="00BE1DEA" w:rsidRPr="007B140B">
        <w:rPr>
          <w:rFonts w:ascii="Times New Roman" w:hAnsi="Times New Roman" w:cs="Times New Roman"/>
          <w:iCs/>
          <w:color w:val="000000" w:themeColor="text1"/>
          <w:sz w:val="24"/>
          <w:szCs w:val="24"/>
          <w:lang w:val="en-US"/>
        </w:rPr>
        <w:fldChar w:fldCharType="separate"/>
      </w:r>
      <w:r w:rsidR="00E85D18" w:rsidRPr="00E85D18">
        <w:rPr>
          <w:rFonts w:ascii="Times New Roman" w:hAnsi="Times New Roman" w:cs="Times New Roman"/>
          <w:iCs/>
          <w:noProof/>
          <w:color w:val="000000" w:themeColor="text1"/>
          <w:sz w:val="24"/>
          <w:szCs w:val="24"/>
          <w:vertAlign w:val="superscript"/>
          <w:lang w:val="en-US"/>
        </w:rPr>
        <w:t>72</w:t>
      </w:r>
      <w:r w:rsidR="00BE1DEA" w:rsidRPr="007B140B">
        <w:rPr>
          <w:rFonts w:ascii="Times New Roman" w:hAnsi="Times New Roman" w:cs="Times New Roman"/>
          <w:iCs/>
          <w:color w:val="000000" w:themeColor="text1"/>
          <w:sz w:val="24"/>
          <w:szCs w:val="24"/>
          <w:lang w:val="en-US"/>
        </w:rPr>
        <w:fldChar w:fldCharType="end"/>
      </w:r>
      <w:r w:rsidR="00BE1DEA" w:rsidRPr="007B140B">
        <w:rPr>
          <w:rFonts w:ascii="Times New Roman" w:hAnsi="Times New Roman" w:cs="Times New Roman"/>
          <w:iCs/>
          <w:color w:val="000000" w:themeColor="text1"/>
          <w:sz w:val="24"/>
          <w:szCs w:val="24"/>
          <w:lang w:val="en-US"/>
        </w:rPr>
        <w:t xml:space="preserve"> </w:t>
      </w:r>
      <w:r w:rsidR="00976118">
        <w:rPr>
          <w:rFonts w:ascii="Times New Roman" w:hAnsi="Times New Roman" w:cs="Times New Roman"/>
          <w:iCs/>
          <w:color w:val="000000" w:themeColor="text1"/>
          <w:sz w:val="24"/>
          <w:szCs w:val="24"/>
          <w:lang w:val="en-US"/>
        </w:rPr>
        <w:t>Furthermore</w:t>
      </w:r>
      <w:r w:rsidR="00677575" w:rsidRPr="007B140B">
        <w:rPr>
          <w:rFonts w:ascii="Times New Roman" w:hAnsi="Times New Roman" w:cs="Times New Roman"/>
          <w:iCs/>
          <w:color w:val="000000" w:themeColor="text1"/>
          <w:sz w:val="24"/>
          <w:szCs w:val="24"/>
          <w:lang w:val="en-US"/>
        </w:rPr>
        <w:t xml:space="preserve">, </w:t>
      </w:r>
      <w:r w:rsidR="00AC2931" w:rsidRPr="007B140B">
        <w:rPr>
          <w:rFonts w:ascii="Times New Roman" w:hAnsi="Times New Roman" w:cs="Times New Roman"/>
          <w:iCs/>
          <w:color w:val="000000" w:themeColor="text1"/>
          <w:sz w:val="24"/>
          <w:szCs w:val="24"/>
          <w:lang w:val="en-US"/>
        </w:rPr>
        <w:t xml:space="preserve">in the 12 months following the fracture, </w:t>
      </w:r>
      <w:r w:rsidR="00677575" w:rsidRPr="007B140B">
        <w:rPr>
          <w:rFonts w:ascii="Times New Roman" w:hAnsi="Times New Roman" w:cs="Times New Roman"/>
          <w:iCs/>
          <w:color w:val="000000" w:themeColor="text1"/>
          <w:sz w:val="24"/>
          <w:szCs w:val="24"/>
          <w:lang w:val="en-US"/>
        </w:rPr>
        <w:t xml:space="preserve">each hip fracture patient requires subsequent health </w:t>
      </w:r>
      <w:r w:rsidRPr="007B140B">
        <w:rPr>
          <w:rFonts w:ascii="Times New Roman" w:hAnsi="Times New Roman" w:cs="Times New Roman"/>
          <w:iCs/>
          <w:color w:val="000000" w:themeColor="text1"/>
          <w:sz w:val="24"/>
          <w:szCs w:val="24"/>
          <w:lang w:val="en-US"/>
        </w:rPr>
        <w:t xml:space="preserve">care and social care </w:t>
      </w:r>
      <w:r w:rsidR="008613B2" w:rsidRPr="007B140B">
        <w:rPr>
          <w:rFonts w:ascii="Times New Roman" w:hAnsi="Times New Roman" w:cs="Times New Roman"/>
          <w:iCs/>
          <w:color w:val="000000" w:themeColor="text1"/>
          <w:sz w:val="24"/>
          <w:szCs w:val="24"/>
          <w:lang w:val="en-US"/>
        </w:rPr>
        <w:t>for</w:t>
      </w:r>
      <w:r w:rsidR="00C87515" w:rsidRPr="007B140B">
        <w:rPr>
          <w:rFonts w:ascii="Times New Roman" w:hAnsi="Times New Roman" w:cs="Times New Roman"/>
          <w:iCs/>
          <w:color w:val="000000" w:themeColor="text1"/>
          <w:sz w:val="24"/>
          <w:szCs w:val="24"/>
          <w:lang w:val="en-US"/>
        </w:rPr>
        <w:t xml:space="preserve"> </w:t>
      </w:r>
      <w:r w:rsidR="00677575" w:rsidRPr="007B140B">
        <w:rPr>
          <w:rFonts w:ascii="Times New Roman" w:hAnsi="Times New Roman" w:cs="Times New Roman"/>
          <w:iCs/>
          <w:color w:val="000000" w:themeColor="text1"/>
          <w:sz w:val="24"/>
          <w:szCs w:val="24"/>
          <w:lang w:val="en-US"/>
        </w:rPr>
        <w:t>about 400,000 SEK</w:t>
      </w:r>
      <w:r w:rsidRPr="007B140B">
        <w:rPr>
          <w:rFonts w:ascii="Times New Roman" w:hAnsi="Times New Roman" w:cs="Times New Roman"/>
          <w:iCs/>
          <w:color w:val="000000" w:themeColor="text1"/>
          <w:sz w:val="24"/>
          <w:szCs w:val="24"/>
          <w:lang w:val="en-US"/>
        </w:rPr>
        <w:t>.</w:t>
      </w:r>
      <w:r w:rsidR="00703608" w:rsidRPr="007B140B">
        <w:rPr>
          <w:rFonts w:ascii="Times New Roman" w:hAnsi="Times New Roman" w:cs="Times New Roman"/>
          <w:iCs/>
          <w:color w:val="000000" w:themeColor="text1"/>
          <w:sz w:val="24"/>
          <w:szCs w:val="24"/>
          <w:lang w:val="en-US"/>
        </w:rPr>
        <w:fldChar w:fldCharType="begin" w:fldLock="1"/>
      </w:r>
      <w:r w:rsidR="00E85D18">
        <w:rPr>
          <w:rFonts w:ascii="Times New Roman" w:hAnsi="Times New Roman" w:cs="Times New Roman"/>
          <w:iCs/>
          <w:color w:val="000000" w:themeColor="text1"/>
          <w:sz w:val="24"/>
          <w:szCs w:val="24"/>
          <w:lang w:val="en-US"/>
        </w:rPr>
        <w:instrText>ADDIN CSL_CITATION {"citationItems":[{"id":"ITEM-1","itemData":{"DOI":"10.1007/s00198-017-4153-6","ISSN":"14332965","abstract":"Purpose This study was conducted in order to systematically review the costs of hip fractures globally and identify drivers of differences in costs. Methods A systematic review was conducted to identify studies reporting patient level fragility hip fracture costs between 1990 and 2015. We extracted data on the participants and costs from these studies. Cost data concerning the index hospitalisation were pooled, and a meta-regression was used to examine its potential drivers. We also pooled data on the first-year costs following hip fracture and considered healthcare, social care as well as other cost categories if reported by studies. Results One hundred and thirteen studies reported costs of hip fracture based on patient level data. Patients developing complications as well as patients enrolled in intervention arms of comparative studies were found to have significantly higher costs compared to the controls. The pooled estimate of the cost for the index hospitalisation was $10,075. Health and social care costs at 12 months were $43,669 with inpatient costs being their major driver. Meta-regression analysis identified age, gender and geographic region as being significantly associated with the differences in costs for the index hospitalisation. Conclusion Hip fracture poses a significant economic burden and variation exists in their costs across different regions. We found that there was a considerable variation across studies in terms of study design, methodology, follow-up period, costs considered and results reported that highlights the need for more standardisation in this area of research.","author":[{"dropping-particle":"","family":"Williamson","given":"S.","non-dropping-particle":"","parse-names":false,"suffix":""},{"dropping-particle":"","family":"Landeiro","given":"F.","non-dropping-particle":"","parse-names":false,"suffix":""},{"dropping-particle":"","family":"McConnell","given":"T.","non-dropping-particle":"","parse-names":false,"suffix":""},{"dropping-particle":"","family":"Fulford-Smith","given":"L.","non-dropping-particle":"","parse-names":false,"suffix":""},{"dropping-particle":"","family":"Javaid","given":"M. K.","non-dropping-particle":"","parse-names":false,"suffix":""},{"dropping-particle":"","family":"Judge","given":"A.","non-dropping-particle":"","parse-names":false,"suffix":""},{"dropping-particle":"","family":"Leal","given":"J.","non-dropping-particle":"","parse-names":false,"suffix":""}],"container-title":"Osteoporosis International","id":"ITEM-1","issue":"10","issued":{"date-parts":[["2017"]]},"page":"2791-2800","publisher":"Osteoporosis International","title":"Costs of fragility hip fractures globally: a systematic review and meta-regression analysis","type":"article-journal","volume":"28"},"uris":["http://www.mendeley.com/documents/?uuid=758032b3-3f1f-4ce1-9a1a-e893581f5d19"]}],"mendeley":{"formattedCitation":"&lt;sup&gt;&lt;sup&gt;72&lt;/sup&gt;&lt;/sup&gt;","plainTextFormattedCitation":"72","previouslyFormattedCitation":"&lt;sup&gt;&lt;sup&gt;73&lt;/sup&gt;&lt;/sup&gt;"},"properties":{"noteIndex":0},"schema":"https://github.com/citation-style-language/schema/raw/master/csl-citation.json"}</w:instrText>
      </w:r>
      <w:r w:rsidR="00703608" w:rsidRPr="007B140B">
        <w:rPr>
          <w:rFonts w:ascii="Times New Roman" w:hAnsi="Times New Roman" w:cs="Times New Roman"/>
          <w:iCs/>
          <w:color w:val="000000" w:themeColor="text1"/>
          <w:sz w:val="24"/>
          <w:szCs w:val="24"/>
          <w:lang w:val="en-US"/>
        </w:rPr>
        <w:fldChar w:fldCharType="separate"/>
      </w:r>
      <w:r w:rsidR="00E85D18" w:rsidRPr="00E85D18">
        <w:rPr>
          <w:rFonts w:ascii="Times New Roman" w:hAnsi="Times New Roman" w:cs="Times New Roman"/>
          <w:iCs/>
          <w:noProof/>
          <w:color w:val="000000" w:themeColor="text1"/>
          <w:sz w:val="24"/>
          <w:szCs w:val="24"/>
          <w:vertAlign w:val="superscript"/>
          <w:lang w:val="en-US"/>
        </w:rPr>
        <w:t>72</w:t>
      </w:r>
      <w:r w:rsidR="00703608" w:rsidRPr="007B140B">
        <w:rPr>
          <w:rFonts w:ascii="Times New Roman" w:hAnsi="Times New Roman" w:cs="Times New Roman"/>
          <w:iCs/>
          <w:color w:val="000000" w:themeColor="text1"/>
          <w:sz w:val="24"/>
          <w:szCs w:val="24"/>
          <w:lang w:val="en-US"/>
        </w:rPr>
        <w:fldChar w:fldCharType="end"/>
      </w:r>
      <w:r w:rsidRPr="007B140B">
        <w:rPr>
          <w:rFonts w:ascii="Times New Roman" w:hAnsi="Times New Roman" w:cs="Times New Roman"/>
          <w:iCs/>
          <w:color w:val="000000" w:themeColor="text1"/>
          <w:sz w:val="24"/>
          <w:szCs w:val="24"/>
          <w:lang w:val="en-US"/>
        </w:rPr>
        <w:t xml:space="preserve"> Thus, there are substantial health economic benefits based </w:t>
      </w:r>
      <w:r w:rsidR="00246320" w:rsidRPr="007B140B">
        <w:rPr>
          <w:rFonts w:ascii="Times New Roman" w:hAnsi="Times New Roman" w:cs="Times New Roman"/>
          <w:iCs/>
          <w:color w:val="000000" w:themeColor="text1"/>
          <w:sz w:val="24"/>
          <w:szCs w:val="24"/>
          <w:lang w:val="en-US"/>
        </w:rPr>
        <w:t xml:space="preserve">on </w:t>
      </w:r>
      <w:r w:rsidR="00452A35">
        <w:rPr>
          <w:rFonts w:ascii="Times New Roman" w:hAnsi="Times New Roman" w:cs="Times New Roman"/>
          <w:iCs/>
          <w:color w:val="000000" w:themeColor="text1"/>
          <w:sz w:val="24"/>
          <w:szCs w:val="24"/>
          <w:lang w:val="en-US"/>
        </w:rPr>
        <w:t xml:space="preserve">prevented </w:t>
      </w:r>
      <w:r w:rsidRPr="007B140B">
        <w:rPr>
          <w:rFonts w:ascii="Times New Roman" w:hAnsi="Times New Roman" w:cs="Times New Roman"/>
          <w:iCs/>
          <w:color w:val="000000" w:themeColor="text1"/>
          <w:sz w:val="24"/>
          <w:szCs w:val="24"/>
          <w:lang w:val="en-US"/>
        </w:rPr>
        <w:t>hip fractures</w:t>
      </w:r>
      <w:r w:rsidR="00452A35">
        <w:rPr>
          <w:rFonts w:ascii="Times New Roman" w:hAnsi="Times New Roman" w:cs="Times New Roman"/>
          <w:iCs/>
          <w:color w:val="000000" w:themeColor="text1"/>
          <w:sz w:val="24"/>
          <w:szCs w:val="24"/>
          <w:lang w:val="en-US"/>
        </w:rPr>
        <w:t xml:space="preserve"> alone</w:t>
      </w:r>
      <w:r w:rsidRPr="007B140B">
        <w:rPr>
          <w:rFonts w:ascii="Times New Roman" w:hAnsi="Times New Roman" w:cs="Times New Roman"/>
          <w:iCs/>
          <w:color w:val="000000" w:themeColor="text1"/>
          <w:sz w:val="24"/>
          <w:szCs w:val="24"/>
          <w:lang w:val="en-US"/>
        </w:rPr>
        <w:t xml:space="preserve">. We expect further cost </w:t>
      </w:r>
      <w:r w:rsidR="008D1C85" w:rsidRPr="007B140B">
        <w:rPr>
          <w:rFonts w:ascii="Times New Roman" w:hAnsi="Times New Roman" w:cs="Times New Roman"/>
          <w:iCs/>
          <w:color w:val="000000" w:themeColor="text1"/>
          <w:sz w:val="24"/>
          <w:szCs w:val="24"/>
          <w:lang w:val="en-US"/>
        </w:rPr>
        <w:t>benefits</w:t>
      </w:r>
      <w:r w:rsidRPr="007B140B">
        <w:rPr>
          <w:rFonts w:ascii="Times New Roman" w:hAnsi="Times New Roman" w:cs="Times New Roman"/>
          <w:iCs/>
          <w:color w:val="000000" w:themeColor="text1"/>
          <w:sz w:val="24"/>
          <w:szCs w:val="24"/>
          <w:lang w:val="en-US"/>
        </w:rPr>
        <w:t xml:space="preserve"> due to reductions in other types of fractures</w:t>
      </w:r>
      <w:r w:rsidR="008D1C85" w:rsidRPr="007B140B">
        <w:rPr>
          <w:rFonts w:ascii="Times New Roman" w:hAnsi="Times New Roman" w:cs="Times New Roman"/>
          <w:iCs/>
          <w:color w:val="000000" w:themeColor="text1"/>
          <w:sz w:val="24"/>
          <w:szCs w:val="24"/>
          <w:lang w:val="en-US"/>
        </w:rPr>
        <w:t xml:space="preserve"> </w:t>
      </w:r>
      <w:r w:rsidRPr="007B140B">
        <w:rPr>
          <w:rFonts w:ascii="Times New Roman" w:hAnsi="Times New Roman" w:cs="Times New Roman"/>
          <w:iCs/>
          <w:color w:val="000000" w:themeColor="text1"/>
          <w:sz w:val="24"/>
          <w:szCs w:val="24"/>
          <w:lang w:val="en-US"/>
        </w:rPr>
        <w:t xml:space="preserve">and </w:t>
      </w:r>
      <w:r w:rsidR="0011328C" w:rsidRPr="007B140B">
        <w:rPr>
          <w:rFonts w:ascii="Times New Roman" w:hAnsi="Times New Roman" w:cs="Times New Roman"/>
          <w:iCs/>
          <w:color w:val="000000" w:themeColor="text1"/>
          <w:sz w:val="24"/>
          <w:szCs w:val="24"/>
          <w:lang w:val="en-US"/>
        </w:rPr>
        <w:t>increased</w:t>
      </w:r>
      <w:r w:rsidRPr="007B140B">
        <w:rPr>
          <w:rFonts w:ascii="Times New Roman" w:hAnsi="Times New Roman" w:cs="Times New Roman"/>
          <w:iCs/>
          <w:color w:val="000000" w:themeColor="text1"/>
          <w:sz w:val="24"/>
          <w:szCs w:val="24"/>
          <w:lang w:val="en-US"/>
        </w:rPr>
        <w:t xml:space="preserve"> quality-adjusted life years. </w:t>
      </w:r>
    </w:p>
    <w:p w14:paraId="5D3E59C1" w14:textId="207BED88" w:rsidR="000359EB" w:rsidRPr="007B140B" w:rsidRDefault="00834E33" w:rsidP="00834E33">
      <w:pPr>
        <w:rPr>
          <w:rFonts w:ascii="Times New Roman" w:hAnsi="Times New Roman" w:cs="Times New Roman"/>
          <w:iCs/>
          <w:color w:val="000000" w:themeColor="text1"/>
          <w:sz w:val="24"/>
          <w:szCs w:val="24"/>
          <w:lang w:val="en-US"/>
        </w:rPr>
      </w:pPr>
      <w:r w:rsidRPr="007B140B">
        <w:rPr>
          <w:rFonts w:ascii="Times New Roman" w:hAnsi="Times New Roman" w:cs="Times New Roman"/>
          <w:iCs/>
          <w:color w:val="000000" w:themeColor="text1"/>
          <w:sz w:val="24"/>
          <w:szCs w:val="24"/>
          <w:lang w:val="en-US"/>
        </w:rPr>
        <w:t xml:space="preserve">There are also risks </w:t>
      </w:r>
      <w:r w:rsidR="00943B07" w:rsidRPr="007B140B">
        <w:rPr>
          <w:rFonts w:ascii="Times New Roman" w:hAnsi="Times New Roman" w:cs="Times New Roman"/>
          <w:iCs/>
          <w:color w:val="000000" w:themeColor="text1"/>
          <w:sz w:val="24"/>
          <w:szCs w:val="24"/>
          <w:lang w:val="en-US"/>
        </w:rPr>
        <w:t>involved in</w:t>
      </w:r>
      <w:r w:rsidR="00BF5E38" w:rsidRPr="007B140B">
        <w:rPr>
          <w:rFonts w:ascii="Times New Roman" w:hAnsi="Times New Roman" w:cs="Times New Roman"/>
          <w:iCs/>
          <w:color w:val="000000" w:themeColor="text1"/>
          <w:sz w:val="24"/>
          <w:szCs w:val="24"/>
          <w:lang w:val="en-US"/>
        </w:rPr>
        <w:t xml:space="preserve"> participating in this</w:t>
      </w:r>
      <w:r w:rsidRPr="007B140B">
        <w:rPr>
          <w:rFonts w:ascii="Times New Roman" w:hAnsi="Times New Roman" w:cs="Times New Roman"/>
          <w:iCs/>
          <w:color w:val="000000" w:themeColor="text1"/>
          <w:sz w:val="24"/>
          <w:szCs w:val="24"/>
          <w:lang w:val="en-US"/>
        </w:rPr>
        <w:t xml:space="preserve"> </w:t>
      </w:r>
      <w:r w:rsidR="002A3276" w:rsidRPr="007B140B">
        <w:rPr>
          <w:rFonts w:ascii="Times New Roman" w:hAnsi="Times New Roman" w:cs="Times New Roman"/>
          <w:iCs/>
          <w:color w:val="000000" w:themeColor="text1"/>
          <w:sz w:val="24"/>
          <w:szCs w:val="24"/>
          <w:lang w:val="en-US"/>
        </w:rPr>
        <w:t>trial</w:t>
      </w:r>
      <w:r w:rsidRPr="007B140B">
        <w:rPr>
          <w:rFonts w:ascii="Times New Roman" w:hAnsi="Times New Roman" w:cs="Times New Roman"/>
          <w:iCs/>
          <w:color w:val="000000" w:themeColor="text1"/>
          <w:sz w:val="24"/>
          <w:szCs w:val="24"/>
          <w:lang w:val="en-US"/>
        </w:rPr>
        <w:t xml:space="preserve">. </w:t>
      </w:r>
      <w:r w:rsidR="00A822F8" w:rsidRPr="007B140B">
        <w:rPr>
          <w:rFonts w:ascii="Times New Roman" w:hAnsi="Times New Roman" w:cs="Times New Roman"/>
          <w:iCs/>
          <w:color w:val="000000" w:themeColor="text1"/>
          <w:sz w:val="24"/>
          <w:szCs w:val="24"/>
          <w:lang w:val="en-US"/>
        </w:rPr>
        <w:t>One risk is adverse effects. A</w:t>
      </w:r>
      <w:r w:rsidR="000359EB" w:rsidRPr="007B140B">
        <w:rPr>
          <w:rFonts w:ascii="Times New Roman" w:hAnsi="Times New Roman" w:cs="Times New Roman"/>
          <w:iCs/>
          <w:color w:val="000000" w:themeColor="text1"/>
          <w:sz w:val="24"/>
          <w:szCs w:val="24"/>
          <w:lang w:val="en-US"/>
        </w:rPr>
        <w:t xml:space="preserve">s explained in the </w:t>
      </w:r>
      <w:r w:rsidR="009A5909">
        <w:rPr>
          <w:rFonts w:ascii="Times New Roman" w:hAnsi="Times New Roman" w:cs="Times New Roman"/>
          <w:iCs/>
          <w:color w:val="000000" w:themeColor="text1"/>
          <w:sz w:val="24"/>
          <w:szCs w:val="24"/>
          <w:lang w:val="en-US"/>
        </w:rPr>
        <w:t>I</w:t>
      </w:r>
      <w:r w:rsidR="000359EB" w:rsidRPr="007B140B">
        <w:rPr>
          <w:rFonts w:ascii="Times New Roman" w:hAnsi="Times New Roman" w:cs="Times New Roman"/>
          <w:iCs/>
          <w:color w:val="000000" w:themeColor="text1"/>
          <w:sz w:val="24"/>
          <w:szCs w:val="24"/>
          <w:lang w:val="en-US"/>
        </w:rPr>
        <w:t>ntroduction, zoledronic acid causes post-infusion symptoms in about a third of patients, but these symptoms are transient and less common after the second infusion.</w:t>
      </w:r>
      <w:r w:rsidR="000359EB" w:rsidRPr="007B140B">
        <w:rPr>
          <w:rFonts w:ascii="Times New Roman" w:hAnsi="Times New Roman" w:cs="Times New Roman"/>
          <w:iCs/>
          <w:color w:val="000000" w:themeColor="text1"/>
          <w:sz w:val="24"/>
          <w:szCs w:val="24"/>
          <w:lang w:val="en-US"/>
        </w:rPr>
        <w:fldChar w:fldCharType="begin" w:fldLock="1"/>
      </w:r>
      <w:r w:rsidR="00D2485C">
        <w:rPr>
          <w:rFonts w:ascii="Times New Roman" w:hAnsi="Times New Roman" w:cs="Times New Roman"/>
          <w:iCs/>
          <w:color w:val="000000" w:themeColor="text1"/>
          <w:sz w:val="24"/>
          <w:szCs w:val="24"/>
          <w:lang w:val="en-US"/>
        </w:rPr>
        <w:instrText>ADDIN CSL_CITATION {"citationItems":[{"id":"ITEM-1","itemData":{"DOI":"10.1056/NEJMoa067312","author":[{"dropping-particle":"","family":"Black","given":"D M","non-dropping-particle":"","parse-names":false,"suffix":""},{"dropping-particle":"","family":"Delmas","given":"P D","non-dropping-particle":"","parse-names":false,"suffix":""},{"dropping-particle":"","family":"Eastell","given":"R","non-dropping-particle":"","parse-names":false,"suffix":""},{"dropping-particle":"","family":"Reid","given":"I R","non-dropping-particle":"","parse-names":false,"suffix":""},{"dropping-particle":"","family":"Boonen","given":"S","non-dropping-particle":"","parse-names":false,"suffix":""},{"dropping-particle":"","family":"Cauley","given":"J A","non-dropping-particle":"","parse-names":false,"suffix":""},{"dropping-particle":"","family":"Cosman","given":"F","non-dropping-particle":"","parse-names":false,"suffix":""},{"dropping-particle":"","family":"Lakatos","given":"P","non-dropping-particle":"","parse-names":false,"suffix":""},{"dropping-particle":"","family":"Leung","given":"P C","non-dropping-particle":"","parse-names":false,"suffix":""},{"dropping-particle":"","family":"Man","given":"Z","non-dropping-particle":"","parse-names":false,"suffix":""},{"dropping-particle":"","family":"Mautalen","given":"C","non-dropping-particle":"","parse-names":false,"suffix":""},{"dropping-particle":"","family":"Mesenbrink","given":"P","non-dropping-particle":"","parse-names":false,"suffix":""},{"dropping-particle":"","family":"Hu","given":"H","non-dropping-particle":"","parse-names":false,"suffix":""},{"dropping-particle":"","family":"Caminis","given":"J","non-dropping-particle":"","parse-names":false,"suffix":""},{"dropping-particle":"","family":"Tong","given":"K","non-dropping-particle":"","parse-names":false,"suffix":""},{"dropping-particle":"","family":"Rosario-Jansen","given":"T","non-dropping-particle":"","parse-names":false,"suffix":""},{"dropping-particle":"","family":"Krasnow","given":"J","non-dropping-particle":"","parse-names":false,"suffix":""},{"dropping-particle":"","family":"Hue","given":"T F","non-dropping-particle":"","parse-names":false,"suffix":""},{"dropping-particle":"","family":"Sellmeyer","given":"D","non-dropping-particle":"","parse-names":false,"suffix":""},{"dropping-particle":"","family":"Eriksen","given":"E F","non-dropping-particle":"","parse-names":false,"suffix":""},{"dropping-particle":"","family":"Cummings","given":"S R","non-dropping-particle":"","parse-names":false,"suffix":""}],"container-title":"N Engl J Med","id":"ITEM-1","issue":"18","issued":{"date-parts":[["2007"]]},"page":"1809-1822","title":"Once-yearly zoledronic acid for treatment of postmenopausal osteoporosis","type":"article-journal","volume":"356"},"uris":["http://www.mendeley.com/documents/?uuid=0f13fad4-b5f5-42f7-873f-7dd2216502be"]}],"mendeley":{"formattedCitation":"&lt;sup&gt;&lt;sup&gt;19&lt;/sup&gt;&lt;/sup&gt;","plainTextFormattedCitation":"19","previouslyFormattedCitation":"&lt;sup&gt;&lt;sup&gt;19&lt;/sup&gt;&lt;/sup&gt;"},"properties":{"noteIndex":0},"schema":"https://github.com/citation-style-language/schema/raw/master/csl-citation.json"}</w:instrText>
      </w:r>
      <w:r w:rsidR="000359EB" w:rsidRPr="007B140B">
        <w:rPr>
          <w:rFonts w:ascii="Times New Roman" w:hAnsi="Times New Roman" w:cs="Times New Roman"/>
          <w:iCs/>
          <w:color w:val="000000" w:themeColor="text1"/>
          <w:sz w:val="24"/>
          <w:szCs w:val="24"/>
          <w:lang w:val="en-US"/>
        </w:rPr>
        <w:fldChar w:fldCharType="separate"/>
      </w:r>
      <w:r w:rsidR="00D2485C" w:rsidRPr="00D2485C">
        <w:rPr>
          <w:rFonts w:ascii="Times New Roman" w:hAnsi="Times New Roman" w:cs="Times New Roman"/>
          <w:iCs/>
          <w:noProof/>
          <w:color w:val="000000" w:themeColor="text1"/>
          <w:sz w:val="24"/>
          <w:szCs w:val="24"/>
          <w:vertAlign w:val="superscript"/>
          <w:lang w:val="en-US"/>
        </w:rPr>
        <w:t>19</w:t>
      </w:r>
      <w:r w:rsidR="000359EB" w:rsidRPr="007B140B">
        <w:rPr>
          <w:rFonts w:ascii="Times New Roman" w:hAnsi="Times New Roman" w:cs="Times New Roman"/>
          <w:iCs/>
          <w:color w:val="000000" w:themeColor="text1"/>
          <w:sz w:val="24"/>
          <w:szCs w:val="24"/>
          <w:lang w:val="en-US"/>
        </w:rPr>
        <w:fldChar w:fldCharType="end"/>
      </w:r>
      <w:r w:rsidR="000359EB" w:rsidRPr="007B140B">
        <w:rPr>
          <w:rFonts w:ascii="Times New Roman" w:hAnsi="Times New Roman" w:cs="Times New Roman"/>
          <w:iCs/>
          <w:color w:val="000000" w:themeColor="text1"/>
          <w:sz w:val="24"/>
          <w:szCs w:val="24"/>
          <w:lang w:val="en-US"/>
        </w:rPr>
        <w:t xml:space="preserve"> </w:t>
      </w:r>
      <w:r w:rsidR="00A822F8" w:rsidRPr="007B140B">
        <w:rPr>
          <w:rFonts w:ascii="Times New Roman" w:hAnsi="Times New Roman" w:cs="Times New Roman"/>
          <w:iCs/>
          <w:color w:val="000000" w:themeColor="text1"/>
          <w:sz w:val="24"/>
          <w:szCs w:val="24"/>
          <w:lang w:val="en-US"/>
        </w:rPr>
        <w:t>More serious are t</w:t>
      </w:r>
      <w:r w:rsidR="000359EB" w:rsidRPr="007B140B">
        <w:rPr>
          <w:rFonts w:ascii="Times New Roman" w:hAnsi="Times New Roman" w:cs="Times New Roman"/>
          <w:iCs/>
          <w:color w:val="000000" w:themeColor="text1"/>
          <w:sz w:val="24"/>
          <w:szCs w:val="24"/>
          <w:lang w:val="en-US"/>
        </w:rPr>
        <w:t>he adverse effects of atypical femoral fractures and osteonecrosis of the jaw</w:t>
      </w:r>
      <w:r w:rsidR="00A822F8" w:rsidRPr="007B140B">
        <w:rPr>
          <w:rFonts w:ascii="Times New Roman" w:hAnsi="Times New Roman" w:cs="Times New Roman"/>
          <w:iCs/>
          <w:color w:val="000000" w:themeColor="text1"/>
          <w:sz w:val="24"/>
          <w:szCs w:val="24"/>
          <w:lang w:val="en-US"/>
        </w:rPr>
        <w:t>.</w:t>
      </w:r>
      <w:r w:rsidR="00700099" w:rsidRPr="007B140B">
        <w:rPr>
          <w:rFonts w:ascii="Times New Roman" w:hAnsi="Times New Roman" w:cs="Times New Roman"/>
          <w:iCs/>
          <w:color w:val="000000" w:themeColor="text1"/>
          <w:sz w:val="24"/>
          <w:szCs w:val="24"/>
          <w:lang w:val="en-US"/>
        </w:rPr>
        <w:t xml:space="preserve"> </w:t>
      </w:r>
      <w:r w:rsidR="00776E48" w:rsidRPr="007B140B">
        <w:rPr>
          <w:rFonts w:ascii="Times New Roman" w:hAnsi="Times New Roman" w:cs="Times New Roman"/>
          <w:iCs/>
          <w:color w:val="000000" w:themeColor="text1"/>
          <w:sz w:val="24"/>
          <w:szCs w:val="24"/>
          <w:lang w:val="en-US"/>
        </w:rPr>
        <w:t>These effects are rare, however</w:t>
      </w:r>
      <w:r w:rsidR="00C068D6" w:rsidRPr="007B140B">
        <w:rPr>
          <w:rFonts w:ascii="Times New Roman" w:hAnsi="Times New Roman" w:cs="Times New Roman"/>
          <w:iCs/>
          <w:color w:val="000000" w:themeColor="text1"/>
          <w:sz w:val="24"/>
          <w:szCs w:val="24"/>
          <w:lang w:val="en-US"/>
        </w:rPr>
        <w:t>.</w:t>
      </w:r>
      <w:r w:rsidR="00C25988" w:rsidRPr="007B140B">
        <w:rPr>
          <w:rFonts w:ascii="Times New Roman" w:hAnsi="Times New Roman" w:cs="Times New Roman"/>
          <w:iCs/>
          <w:color w:val="000000" w:themeColor="text1"/>
          <w:sz w:val="24"/>
          <w:szCs w:val="24"/>
          <w:lang w:val="en-US"/>
        </w:rPr>
        <w:fldChar w:fldCharType="begin" w:fldLock="1"/>
      </w:r>
      <w:r w:rsidR="00D2485C">
        <w:rPr>
          <w:rFonts w:ascii="Times New Roman" w:hAnsi="Times New Roman" w:cs="Times New Roman"/>
          <w:iCs/>
          <w:color w:val="000000" w:themeColor="text1"/>
          <w:sz w:val="24"/>
          <w:szCs w:val="24"/>
          <w:lang w:val="en-US"/>
        </w:rPr>
        <w:instrText>ADDIN CSL_CITATION {"citationItems":[{"id":"ITEM-1","itemData":{"DOI":"10.1002/jbmr.2405","ISBN":"1523-4681 (Electronic)\\r0884-0431 (Linking)","ISSN":"15234681","PMID":"25414052","abstract":"This work provides a systematic review of the literature from January 2003 to April 2014 pertaining to the incidence, pathophysiology, diagnosis, and treatment of osteonecrosis of the jaw (ONJ), and offers recommendations for its management based on multidisciplinary international consensus. ONJ is associated with oncology-dose parenteral antiresorptive therapy of bisphosphonates (BP) and denosumab (Dmab). The incidence of ONJ is greatest in the oncology patient population (1% to 15%), where high doses of these medications are used at frequent intervals. In the osteoporosis patient population, the incidence of ONJ is estimated at 0.001% to 0.01%, marginally higher than the incidence in the general population (&lt;0.001%). New insights into the pathophysiology of ONJ include antiresorptive effects of BPs and Dmab, effects of BPs on gamma delta T-cells and on monocyte and macrophage function, as well as the role of local bacterial infection, inflammation, and necrosis. Advances in imaging include the use of cone beam computerized tomography assessing cortical and cancellous architecture with lower radiation exposure, magnetic resonance imaging, bone scanning, and positron emission tomography, although plain films often suffice. Other risk factors for ONJ include glucocorticoid use, maxillary or mandibular bone surgery, poor oral hygiene, chronic inflammation, diabetes mellitus, ill-fitting dentures, as well as other drugs, including antiangiogenic agents. Prevention strategies for ONJ include elimination or stabilization of oral disease prior to initiation of antiresorptive agents, as well as maintenance of good oral hygiene. In those patients at high risk for the development of ONJ, including cancer patients receiving high-dose BP or Dmab therapy, consideration should be given to withholding antiresorptive therapy following extensive oral surgery until the surgical site heals with mature mucosal coverage. Management of ONJ is based on the stage of the disease, size of the lesions, and the presence of contributing drug therapy and comorbidity. Conservative therapy includes topical antibiotic oral rinses and systemic antibiotic therapy. Localized surgical debridement is indicated in advanced nonresponsive disease and has been successful. Early data have suggested enhanced osseous wound healing with teriparatide in those without contraindications for its use. Experimental therapy includes bone marrow stem cell intralesional transplantation, low-level laser the…","author":[{"dropping-particle":"","family":"Khan","given":"Aliya A.","non-dropping-particle":"","parse-names":false,"suffix":""},{"dropping-particle":"","family":"Morrison","given":"Archie","non-dropping-particle":"","parse-names":false,"suffix":""},{"dropping-particle":"","family":"Hanley","given":"David A.","non-dropping-particle":"","parse-names":false,"suffix":""},{"dropping-particle":"","family":"Felsenberg","given":"Dieter","non-dropping-particle":"","parse-names":false,"suffix":""},{"dropping-particle":"","family":"McCauley","given":"Laurie K.","non-dropping-particle":"","parse-names":false,"suffix":""},{"dropping-particle":"","family":"O'Ryan","given":"Felice","non-dropping-particle":"","parse-names":false,"suffix":""},{"dropping-particle":"","family":"Reid","given":"Ian R.","non-dropping-particle":"","parse-names":false,"suffix":""},{"dropping-particle":"","family":"Ruggiero","given":"Salvatore L.","non-dropping-particle":"","parse-names":false,"suffix":""},{"dropping-particle":"","family":"Taguchi","given":"Akira","non-dropping-particle":"","parse-names":false,"suffix":""},{"dropping-particle":"","family":"Tetradis","given":"Sotirios","non-dropping-particle":"","parse-names":false,"suffix":""},{"dropping-particle":"","family":"Watts","given":"Nelson B.","non-dropping-particle":"","parse-names":false,"suffix":""},{"dropping-particle":"","family":"Brandi","given":"Maria Luisa","non-dropping-particle":"","parse-names":false,"suffix":""},{"dropping-particle":"","family":"Peters","given":"Edmund","non-dropping-particle":"","parse-names":false,"suffix":""},{"dropping-particle":"","family":"Guise","given":"Teresa","non-dropping-particle":"","parse-names":false,"suffix":""},{"dropping-particle":"","family":"Eastell","given":"Richard","non-dropping-particle":"","parse-names":false,"suffix":""},{"dropping-particle":"","family":"Cheung","given":"Angela M.","non-dropping-particle":"","parse-names":false,"suffix":""},{"dropping-particle":"","family":"Morin","given":"Suzanne N.","non-dropping-particle":"","parse-names":false,"suffix":""},{"dropping-particle":"","family":"Masri","given":"Basel","non-dropping-particle":"","parse-names":false,"suffix":""},{"dropping-particle":"","family":"Cooper","given":"Cyrus","non-dropping-particle":"","parse-names":false,"suffix":""},{"dropping-particle":"","family":"Morgan","given":"Sarah L.","non-dropping-particle":"","parse-names":false,"suffix":""},{"dropping-particle":"","family":"Obermayer-Pietsch","given":"Barbara","non-dropping-particle":"","parse-names":false,"suffix":""},{"dropping-particle":"","family":"Langdahl","given":"Bente L.","non-dropping-particle":"","parse-names":false,"suffix":""},{"dropping-particle":"","family":"Dabagh","given":"Rana","non-dropping-particle":"Al","parse-names":false,"suffix":""},{"dropping-particle":"","family":"Davison","given":"K. Shawn","non-dropping-particle":"","parse-names":false,"suffix":""},{"dropping-particle":"","family":"Kendler","given":"David L.","non-dropping-particle":"","parse-names":false,"suffix":""},{"dropping-particle":"","family":"Sándor","given":"George K.","non-dropping-particle":"","parse-names":false,"suffix":""},{"dropping-particle":"","family":"Josse","given":"Robert G.","non-dropping-particle":"","parse-names":false,"suffix":""},{"dropping-particle":"","family":"Bhandari","given":"Mohit","non-dropping-particle":"","parse-names":false,"suffix":""},{"dropping-particle":"","family":"Rabbany","given":"Mohamed","non-dropping-particle":"El","parse-names":false,"suffix":""},{"dropping-particle":"","family":"Pierroz","given":"Dominique D.","non-dropping-particle":"","parse-names":false,"suffix":""},{"dropping-particle":"","family":"Sulimani","given":"Riad","non-dropping-particle":"","parse-names":false,"suffix":""},{"dropping-particle":"","family":"Saunders","given":"Deborah P.","non-dropping-particle":"","parse-names":false,"suffix":""},{"dropping-particle":"","family":"Brown","given":"Jacques P.","non-dropping-particle":"","parse-names":false,"suffix":""},{"dropping-particle":"","family":"Compston","given":"Juliet","non-dropping-particle":"","parse-names":false,"suffix":""}],"container-title":"Journal of Bone and Mineral Research","id":"ITEM-1","issue":"1","issued":{"date-parts":[["2015"]]},"page":"3-23","title":"Diagnosis and management of osteonecrosis of the jaw: a systematic review and international consensus","type":"article-journal","volume":"30"},"uris":["http://www.mendeley.com/documents/?uuid=65e9991e-4b42-41cc-b2d3-de11a9ec9c35"]},{"id":"ITEM-2","itemData":{"DOI":"https://doi.org/10.1002/jbmr.1998","ISBN":"0884-0431","ISSN":"08840431","PMID":"23712442","abstract":"Bisphosphonates (BPs) and denosumab reduce the risk of spine and nonspine fractures. Atypical femur fractures (AFFs) located in the subtrochanteric region and diaphysis of the femur have been reported in patients taking BPs and in patients on denosumab, but they also occur in patients with no exposure to these drugs. In this report, we review studies on the epidemiology, pathogenesis, and medical management of AFFs, published since 2010. This newer evidence suggests that AFFs are stress or insufficiency fractures. The original case definition was revised to highlight radiographic features that distinguish AFFs from ordinary osteoporotic femoral diaphyseal fractures and to provide guidance on the importance of their transverse orientation. The requirement that fractures be noncomminuted was relaxed to include minimal comminution. The periosteal stress reaction at the fracture site was changed from a minor to a major feature. The association with specific diseases and drug exposures was removed from the minor features, because it was considered that these associations should be sought rather than be included in the case definition. Studies with radiographic review consistently report significant associations between AFFs and BP use, although the strength of associations and magnitude of effect vary. Although the relative risk of patients with AFFs taking BPs is high, the absolute risk of AFFs in patients on BPs is low, ranging from 3.2 to 50 cases per 100,000 person-years. However, long-term use may be associated with higher risk (</w:instrText>
      </w:r>
      <w:r w:rsidR="00D2485C">
        <w:rPr>
          <w:rFonts w:ascii="Cambria Math" w:hAnsi="Cambria Math" w:cs="Cambria Math"/>
          <w:iCs/>
          <w:color w:val="000000" w:themeColor="text1"/>
          <w:sz w:val="24"/>
          <w:szCs w:val="24"/>
          <w:lang w:val="en-US"/>
        </w:rPr>
        <w:instrText>∼</w:instrText>
      </w:r>
      <w:r w:rsidR="00D2485C">
        <w:rPr>
          <w:rFonts w:ascii="Times New Roman" w:hAnsi="Times New Roman" w:cs="Times New Roman"/>
          <w:iCs/>
          <w:color w:val="000000" w:themeColor="text1"/>
          <w:sz w:val="24"/>
          <w:szCs w:val="24"/>
          <w:lang w:val="en-US"/>
        </w:rPr>
        <w:instrText>100 per 100,000 person-years). BPs localize in areas that are developing stress fractures; suppression of targeted intracortical remodeling at the site of an AFF could impair the processes by which stress fractures normally heal. When BPs are stopped, risk of an AFF may decline. Lower limb geometry and Asian ethnicity may contribute to the risk of AFFs. There is inconsistent evidence that teriparatide may advance healing of AFFs.","author":[{"dropping-particle":"","family":"Shane","given":"Elizabeth","non-dropping-particle":"","parse-names":false,"suffix":""},{"dropping-particle":"","family":"Burr","given":"David","non-dropping-particle":"","parse-names":false,"suffix":""},{"dropping-particle":"","family":"Abrahamsen","given":"Bo","non-dropping-particle":"","parse-names":false,"suffix":""},{"dropping-particle":"","family":"Adler","given":"Robert A.","non-dropping-particle":"","parse-names":false,"suffix":""},{"dropping-particle":"","family":"Brown","given":"Thomas D.","non-dropping-particle":"","parse-names":false,"suffix":""},{"dropping-particle":"","family":"Cheung","given":"Angela M.","non-dropping-particle":"","parse-names":false,"suffix":""},{"dropping-particle":"","family":"Cosman","given":"Felicia","non-dropping-particle":"","parse-names":false,"suffix":""},{"dropping-particle":"","family":"Curtis","given":"Jeffrey R.","non-dropping-particle":"","parse-names":false,"suffix":""},{"dropping-particle":"","family":"Dell","given":"Richard","non-dropping-particle":"","parse-names":false,"suffix":""},{"dropping-particle":"","family":"Dempster","given":"David W.","non-dropping-particle":"","parse-names":false,"suffix":""},{"dropping-particle":"","family":"Ebeling","given":"Peter R.","non-dropping-particle":"","parse-names":false,"suffix":""},{"dropping-particle":"","family":"Einhorn","given":"Thomas A.","non-dropping-particle":"","parse-names":false,"suffix":""},{"dropping-particle":"","family":"Genant","given":"Harry K.","non-dropping-particle":"","parse-names":false,"suffix":""},{"dropping-particle":"","family":"Geusens","given":"Piet","non-dropping-particle":"","parse-names":false,"suffix":""},{"dropping-particle":"","family":"Klaushofer","given":"Klaus","non-dropping-particle":"","parse-names":false,"suffix":""},{"dropping-particle":"","family":"Lane","given":"Joseph M.","non-dropping-particle":"","parse-names":false,"suffix":""},{"dropping-particle":"","family":"McKiernan","given":"Fergus","non-dropping-particle":"","parse-names":false,"suffix":""},{"dropping-particle":"","family":"McKinney","given":"Ross","non-dropping-particle":"","parse-names":false,"suffix":""},{"dropping-particle":"","family":"Ng","given":"Alvin","non-dropping-particle":"","parse-names":false,"suffix":""},{"dropping-particle":"","family":"Nieves","given":"Jeri","non-dropping-particle":"","parse-names":false,"suffix":""},{"dropping-particle":"","family":"O'Keefe","given":"Regis","non-dropping-particle":"","parse-names":false,"suffix":""},{"dropping-particle":"","family":"Papapoulos","given":"Socrates","non-dropping-particle":"","parse-names":false,"suffix":""},{"dropping-particle":"Sen","family":"Howe","given":"Tet","non-dropping-particle":"","parse-names":false,"suffix":""},{"dropping-particle":"","family":"Meulen","given":"Marjolein C H","non-dropping-particle":"Van Der","parse-names":false,"suffix":""},{"dropping-particle":"","family":"Weinstein","given":"Robert S.","non-dropping-particle":"","parse-names":false,"suffix":""},{"dropping-particle":"","family":"Whyte","given":"Michael P.","non-dropping-particle":"","parse-names":false,"suffix":""}],"container-title":"Journal of Bone and Mineral Research","id":"ITEM-2","issue":"1","issued":{"date-parts":[["2014"]]},"page":"1-23","title":"Atypical subtrochanteric and diaphyseal femoral fractures: second report of a task force of the American Society for Bone and Mineral Research","type":"article-journal","volume":"29"},"uris":["http://www.mendeley.com/documents/?uuid=1decd54c-cdc2-4aa3-9aae-f38f9c5eaab7"]}],"mendeley":{"formattedCitation":"&lt;sup&gt;&lt;sup&gt;23&lt;/sup&gt;,&lt;sup&gt;24&lt;/sup&gt;&lt;/sup&gt;","plainTextFormattedCitation":"23,24","previouslyFormattedCitation":"&lt;sup&gt;&lt;sup&gt;23&lt;/sup&gt;,&lt;sup&gt;24&lt;/sup&gt;&lt;/sup&gt;"},"properties":{"noteIndex":0},"schema":"https://github.com/citation-style-language/schema/raw/master/csl-citation.json"}</w:instrText>
      </w:r>
      <w:r w:rsidR="00C25988" w:rsidRPr="007B140B">
        <w:rPr>
          <w:rFonts w:ascii="Times New Roman" w:hAnsi="Times New Roman" w:cs="Times New Roman"/>
          <w:iCs/>
          <w:color w:val="000000" w:themeColor="text1"/>
          <w:sz w:val="24"/>
          <w:szCs w:val="24"/>
          <w:lang w:val="en-US"/>
        </w:rPr>
        <w:fldChar w:fldCharType="separate"/>
      </w:r>
      <w:r w:rsidR="00D2485C" w:rsidRPr="00D2485C">
        <w:rPr>
          <w:rFonts w:ascii="Times New Roman" w:hAnsi="Times New Roman" w:cs="Times New Roman"/>
          <w:iCs/>
          <w:noProof/>
          <w:color w:val="000000" w:themeColor="text1"/>
          <w:sz w:val="24"/>
          <w:szCs w:val="24"/>
          <w:vertAlign w:val="superscript"/>
          <w:lang w:val="en-US"/>
        </w:rPr>
        <w:t>23,24</w:t>
      </w:r>
      <w:r w:rsidR="00C25988" w:rsidRPr="007B140B">
        <w:rPr>
          <w:rFonts w:ascii="Times New Roman" w:hAnsi="Times New Roman" w:cs="Times New Roman"/>
          <w:iCs/>
          <w:color w:val="000000" w:themeColor="text1"/>
          <w:sz w:val="24"/>
          <w:szCs w:val="24"/>
          <w:lang w:val="en-US"/>
        </w:rPr>
        <w:fldChar w:fldCharType="end"/>
      </w:r>
      <w:r w:rsidR="00C068D6" w:rsidRPr="007B140B">
        <w:rPr>
          <w:rFonts w:ascii="Times New Roman" w:hAnsi="Times New Roman" w:cs="Times New Roman"/>
          <w:iCs/>
          <w:color w:val="000000" w:themeColor="text1"/>
          <w:sz w:val="24"/>
          <w:szCs w:val="24"/>
          <w:lang w:val="en-US"/>
        </w:rPr>
        <w:t xml:space="preserve"> </w:t>
      </w:r>
      <w:r w:rsidR="00776E48" w:rsidRPr="007B140B">
        <w:rPr>
          <w:rFonts w:ascii="Times New Roman" w:hAnsi="Times New Roman" w:cs="Times New Roman"/>
          <w:iCs/>
          <w:color w:val="000000" w:themeColor="text1"/>
          <w:sz w:val="24"/>
          <w:szCs w:val="24"/>
          <w:lang w:val="en-US"/>
        </w:rPr>
        <w:t xml:space="preserve">It should also be noted that </w:t>
      </w:r>
      <w:r w:rsidR="00C068D6" w:rsidRPr="007B140B">
        <w:rPr>
          <w:rFonts w:ascii="Times New Roman" w:hAnsi="Times New Roman" w:cs="Times New Roman"/>
          <w:iCs/>
          <w:color w:val="000000" w:themeColor="text1"/>
          <w:sz w:val="24"/>
          <w:szCs w:val="24"/>
          <w:lang w:val="en-US"/>
        </w:rPr>
        <w:t>increased risks</w:t>
      </w:r>
      <w:r w:rsidR="00A822F8" w:rsidRPr="007B140B">
        <w:rPr>
          <w:rFonts w:ascii="Times New Roman" w:hAnsi="Times New Roman" w:cs="Times New Roman"/>
          <w:iCs/>
          <w:color w:val="000000" w:themeColor="text1"/>
          <w:sz w:val="24"/>
          <w:szCs w:val="24"/>
          <w:lang w:val="en-US"/>
        </w:rPr>
        <w:t xml:space="preserve"> </w:t>
      </w:r>
      <w:r w:rsidR="00DB3D48">
        <w:rPr>
          <w:rFonts w:ascii="Times New Roman" w:hAnsi="Times New Roman" w:cs="Times New Roman"/>
          <w:iCs/>
          <w:color w:val="000000" w:themeColor="text1"/>
          <w:sz w:val="24"/>
          <w:szCs w:val="24"/>
          <w:lang w:val="en-US"/>
        </w:rPr>
        <w:t xml:space="preserve">of these events </w:t>
      </w:r>
      <w:r w:rsidR="00A822F8" w:rsidRPr="007B140B">
        <w:rPr>
          <w:rFonts w:ascii="Times New Roman" w:hAnsi="Times New Roman" w:cs="Times New Roman"/>
          <w:iCs/>
          <w:color w:val="000000" w:themeColor="text1"/>
          <w:sz w:val="24"/>
          <w:szCs w:val="24"/>
          <w:lang w:val="en-US"/>
        </w:rPr>
        <w:t xml:space="preserve">were not </w:t>
      </w:r>
      <w:r w:rsidR="00700099" w:rsidRPr="007B140B">
        <w:rPr>
          <w:rFonts w:ascii="Times New Roman" w:hAnsi="Times New Roman" w:cs="Times New Roman"/>
          <w:iCs/>
          <w:color w:val="000000" w:themeColor="text1"/>
          <w:sz w:val="24"/>
          <w:szCs w:val="24"/>
          <w:lang w:val="en-US"/>
        </w:rPr>
        <w:t>reported</w:t>
      </w:r>
      <w:r w:rsidR="00C068D6" w:rsidRPr="007B140B">
        <w:rPr>
          <w:rFonts w:ascii="Times New Roman" w:hAnsi="Times New Roman" w:cs="Times New Roman"/>
          <w:iCs/>
          <w:color w:val="000000" w:themeColor="text1"/>
          <w:sz w:val="24"/>
          <w:szCs w:val="24"/>
          <w:lang w:val="en-US"/>
        </w:rPr>
        <w:t xml:space="preserve"> </w:t>
      </w:r>
      <w:r w:rsidR="00A822F8" w:rsidRPr="007B140B">
        <w:rPr>
          <w:rFonts w:ascii="Times New Roman" w:hAnsi="Times New Roman" w:cs="Times New Roman"/>
          <w:iCs/>
          <w:color w:val="000000" w:themeColor="text1"/>
          <w:sz w:val="24"/>
          <w:szCs w:val="24"/>
          <w:lang w:val="en-US"/>
        </w:rPr>
        <w:t>in four previous large trials</w:t>
      </w:r>
      <w:r w:rsidR="00C068D6" w:rsidRPr="007B140B">
        <w:rPr>
          <w:rFonts w:ascii="Times New Roman" w:hAnsi="Times New Roman" w:cs="Times New Roman"/>
          <w:iCs/>
          <w:color w:val="000000" w:themeColor="text1"/>
          <w:sz w:val="24"/>
          <w:szCs w:val="24"/>
          <w:lang w:val="en-US"/>
        </w:rPr>
        <w:t xml:space="preserve"> of zoledronic acid</w:t>
      </w:r>
      <w:r w:rsidR="000359EB" w:rsidRPr="007B140B">
        <w:rPr>
          <w:rFonts w:ascii="Times New Roman" w:hAnsi="Times New Roman" w:cs="Times New Roman"/>
          <w:iCs/>
          <w:color w:val="000000" w:themeColor="text1"/>
          <w:sz w:val="24"/>
          <w:szCs w:val="24"/>
          <w:lang w:val="en-US"/>
        </w:rPr>
        <w:t>.</w:t>
      </w:r>
      <w:r w:rsidR="00700099" w:rsidRPr="007B140B">
        <w:rPr>
          <w:rFonts w:ascii="Times New Roman" w:hAnsi="Times New Roman" w:cs="Times New Roman"/>
          <w:sz w:val="24"/>
          <w:szCs w:val="24"/>
          <w:lang w:val="en-US"/>
        </w:rPr>
        <w:fldChar w:fldCharType="begin" w:fldLock="1"/>
      </w:r>
      <w:r w:rsidR="00D2485C">
        <w:rPr>
          <w:rFonts w:ascii="Times New Roman" w:hAnsi="Times New Roman" w:cs="Times New Roman"/>
          <w:sz w:val="24"/>
          <w:szCs w:val="24"/>
          <w:lang w:val="en-US"/>
        </w:rPr>
        <w:instrText>ADDIN CSL_CITATION {"citationItems":[{"id":"ITEM-1","itemData":{"DOI":"10.1056/NEJMoa074941","author":[{"dropping-particle":"","family":"Lyles","given":"Kenneth W.","non-dropping-particle":"","parse-names":false,"suffix":""},{"dropping-particle":"","family":"Colón-Emeric","given":"Cathleen S.","non-dropping-particle":"","parse-names":false,"suffix":""},{"dropping-particle":"","family":"Magaziner","given":"Jay S.","non-dropping-particle":"","parse-names":false,"suffix":""},{"dropping-particle":"","family":"Adachi","given":"Jonathan D.","non-dropping-particle":"","parse-names":false,"suffix":""},{"dropping-particle":"","family":"Pieper","given":"Carl F.","non-dropping-particle":"","parse-names":false,"suffix":""},{"dropping-particle":"","family":"Mautalen","given":"Carlos","non-dropping-particle":"","parse-names":false,"suffix":""},{"dropping-particle":"","family":"Hyldstrup","given":"Lars","non-dropping-particle":"","parse-names":false,"suffix":""},{"dropping-particle":"","family":"Recknor","given":"Chris","non-dropping-particle":"","parse-names":false,"suffix":""},{"dropping-particle":"","family":"Nordsletten","given":"Lars","non-dropping-particle":"","parse-names":false,"suffix":""},{"dropping-particle":"","family":"Moore","given":"Kathy A.","non-dropping-particle":"","parse-names":false,"suffix":""},{"dropping-particle":"","family":"Lavecchia","given":"Catherine","non-dropping-particle":"","parse-names":false,"suffix":""},{"dropping-particle":"","family":"Zhang","given":"Jie","non-dropping-particle":"","parse-names":false,"suffix":""},{"dropping-particle":"","family":"Mesenbrink","given":"Peter","non-dropping-particle":"","parse-names":false,"suffix":""},{"dropping-particle":"","family":"Hodgson","given":"Patricia K.","non-dropping-particle":"","parse-names":false,"suffix":""},{"dropping-particle":"","family":"Abrams","given":"Ken","non-dropping-particle":"","parse-names":false,"suffix":""},{"dropping-particle":"","family":"Orloff","given":"John J.","non-dropping-particle":"","parse-names":false,"suffix":""},{"dropping-particle":"","family":"Horowitz","given":"Zebulun","non-dropping-particle":"","parse-names":false,"suffix":""},{"dropping-particle":"","family":"Eriksen","given":"Erik Fink","non-dropping-particle":"","parse-names":false,"suffix":""},{"dropping-particle":"","family":"Boonen","given":"Steven","non-dropping-particle":"","parse-names":false,"suffix":""}],"container-title":"New England Journal of Medicine","id":"ITEM-1","issue":"18","issued":{"date-parts":[["2007"]]},"page":"1799-1809","title":"Zoledronic acid and clinical fractures and mortality after hip fracture","type":"article-journal","volume":"357"},"uris":["http://www.mendeley.com/documents/?uuid=fdc4eb3b-a387-4743-a233-680ae590c2cf"]},{"id":"ITEM-2","itemData":{"author":[{"dropping-particle":"","family":"Black","given":"D","non-dropping-particle":"","parse-names":false,"suffix":""},{"dropping-particle":"","family":"Kelly","given":"M","non-dropping-particle":"","parse-names":false,"suffix":""},{"dropping-particle":"","family":"Genant","given":"H","non-dropping-particle":"","parse-names":false,"suffix":""},{"dropping-particle":"","family":"Palermo","given":"L","non-dropping-particle":"","parse-names":false,"suffix":""},{"dropping-particle":"","family":"Eastell","given":"R","non-dropping-particle":"","parse-names":false,"suffix":""},{"dropping-particle":"","family":"Bucci-Rechtweg","given":"C","non-dropping-particle":"","parse-names":false,"suffix":""},{"dropping-particle":"","family":"Cauley","given":"J","non-dropping-particle":"","parse-names":false,"suffix":""}],"container-title":"N Engl J Med","id":"ITEM-2","issue":"19","issued":{"date-parts":[["2010"]]},"note":"Study ID: 50","page":"1761-1771","title":"Bisphosphonates and fractures of the subtrochanteric or diaphyseal femur","type":"article-journal","volume":"362"},"uris":["http://www.mendeley.com/documents/?uuid=dcae0160-61fa-45a5-9f6c-4e7c5e7a59f4"]},{"id":"ITEM-3","itemData":{"DOI":"10.1056/NEJMoa1808082","ISSN":"0028-4793","author":[{"dropping-particle":"","family":"Reid","given":"Ian R.","non-dropping-particle":"","parse-names":false,"suffix":""},{"dropping-particle":"","family":"Horne","given":"Anne M.","non-dropping-particle":"","parse-names":false,"suffix":""},{"dropping-particle":"","family":"Mihov","given":"Borislav","non-dropping-particle":"","parse-names":false,"suffix":""},{"dropping-particle":"","family":"Stewart","given":"Angela","non-dropping-particle":"","parse-names":false,"suffix":""},{"dropping-particle":"","family":"Garratt","given":"Elizabeth","non-dropping-particle":"","parse-names":false,"suffix":""},{"dropping-particle":"","family":"Wong","given":"Sumwai","non-dropping-particle":"","parse-names":false,"suffix":""},{"dropping-particle":"","family":"Wiessing","given":"Katy R.","non-dropping-particle":"","parse-names":false,"suffix":""},{"dropping-particle":"","family":"Bolland","given":"Mark J.","non-dropping-particle":"","parse-names":false,"suffix":""},{"dropping-particle":"","family":"Bastin","given":"Sonja","non-dropping-particle":"","parse-names":false,"suffix":""},{"dropping-particle":"","family":"Gamble","given":"Gregory D.","non-dropping-particle":"","parse-names":false,"suffix":""}],"container-title":"New England Journal of Medicine","id":"ITEM-3","issue":"25","issued":{"date-parts":[["2018"]]},"page":"2407-2416","title":"Fracture prevention with zoledronate in older women with osteopenia","type":"article-journal","volume":"379"},"uris":["http://www.mendeley.com/documents/?uuid=69cbf6db-0dca-4f28-87bb-02a266b0d7ef"]},{"id":"ITEM-4","itemData":{"DOI":"10.1056/NEJMoa1204061","ISBN":"0028-4793","ISSN":"1533-4406","PMID":"23113482","abstract":"Fractures in men are a major health issue, and data on the antifracture efficacy of therapies for osteoporosis in men are limited. We studied the effect of zoledronic acid on fracture risk among men with osteoporosis.","author":[{"dropping-particle":"","family":"Boonen","given":"Steven","non-dropping-particle":"","parse-names":false,"suffix":""},{"dropping-particle":"","family":"Reginster","given":"Jean Yves","non-dropping-particle":"","parse-names":false,"suffix":""},{"dropping-particle":"","family":"Kaufman","given":"Jean Marc","non-dropping-particle":"","parse-names":false,"suffix":""},{"dropping-particle":"","family":"Lippuner","given":"Kurt","non-dropping-particle":"","parse-names":false,"suffix":""},{"dropping-particle":"","family":"Zanchetta","given":"Jose","non-dropping-particle":"","parse-names":false,"suffix":""},{"dropping-particle":"","family":"Langdahl","given":"Bente","non-dropping-particle":"","parse-names":false,"suffix":""},{"dropping-particle":"","family":"Rizzoli","given":"Rene","non-dropping-particle":"","parse-names":false,"suffix":""},{"dropping-particle":"","family":"Lipschitz","given":"Stanley","non-dropping-particle":"","parse-names":false,"suffix":""},{"dropping-particle":"","family":"Dimai","given":"Hans Peter","non-dropping-particle":"","parse-names":false,"suffix":""},{"dropping-particle":"","family":"Witvrouw","given":"Richard","non-dropping-particle":"","parse-names":false,"suffix":""},{"dropping-particle":"","family":"Eriksen","given":"Erik","non-dropping-particle":"","parse-names":false,"suffix":""},{"dropping-particle":"","family":"Brixen","given":"Kim","non-dropping-particle":"","parse-names":false,"suffix":""},{"dropping-particle":"","family":"Russo","given":"Luis","non-dropping-particle":"","parse-names":false,"suffix":""},{"dropping-particle":"","family":"Claessens","given":"Frank","non-dropping-particle":"","parse-names":false,"suffix":""},{"dropping-particle":"","family":"Papanastasiou","given":"Philemon","non-dropping-particle":"","parse-names":false,"suffix":""},{"dropping-particle":"","family":"Antunez","given":"Oscar","non-dropping-particle":"","parse-names":false,"suffix":""},{"dropping-particle":"","family":"Su","given":"Guoqin","non-dropping-particle":"","parse-names":false,"suffix":""},{"dropping-particle":"","family":"Bucci-Rechtweg","given":"Christina","non-dropping-particle":"","parse-names":false,"suffix":""},{"dropping-particle":"","family":"Hruska","given":"Josef","non-dropping-particle":"","parse-names":false,"suffix":""},{"dropping-particle":"","family":"Incera","given":"Elodie","non-dropping-particle":"","parse-names":false,"suffix":""},{"dropping-particle":"","family":"Vanderschueren","given":"Dirk","non-dropping-particle":"","parse-names":false,"suffix":""},{"dropping-particle":"","family":"Orwoll","given":"Eric","non-dropping-particle":"","parse-names":false,"suffix":""}],"container-title":"New England Journal of Medicine","id":"ITEM-4","issued":{"date-parts":[["2012"]]},"page":"1714-23","title":"Fracture risk and zoledronic acid therapy in men with osteoporosis.","type":"article-journal","volume":"367"},"uris":["http://www.mendeley.com/documents/?uuid=468f639f-e766-4ff9-83b2-83686de955c1"]}],"mendeley":{"formattedCitation":"&lt;sup&gt;&lt;sup&gt;20&lt;/sup&gt;–&lt;sup&gt;22&lt;/sup&gt;,&lt;sup&gt;26&lt;/sup&gt;&lt;/sup&gt;","plainTextFormattedCitation":"20–22,26","previouslyFormattedCitation":"&lt;sup&gt;&lt;sup&gt;20&lt;/sup&gt;–&lt;sup&gt;22&lt;/sup&gt;,&lt;sup&gt;26&lt;/sup&gt;&lt;/sup&gt;"},"properties":{"noteIndex":0},"schema":"https://github.com/citation-style-language/schema/raw/master/csl-citation.json"}</w:instrText>
      </w:r>
      <w:r w:rsidR="00700099" w:rsidRPr="007B140B">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20–22,26</w:t>
      </w:r>
      <w:r w:rsidR="00700099" w:rsidRPr="007B140B">
        <w:rPr>
          <w:rFonts w:ascii="Times New Roman" w:hAnsi="Times New Roman" w:cs="Times New Roman"/>
          <w:sz w:val="24"/>
          <w:szCs w:val="24"/>
          <w:lang w:val="en-US"/>
        </w:rPr>
        <w:fldChar w:fldCharType="end"/>
      </w:r>
      <w:r w:rsidR="005B370D" w:rsidRPr="007B140B">
        <w:rPr>
          <w:rFonts w:ascii="Times New Roman" w:hAnsi="Times New Roman" w:cs="Times New Roman"/>
          <w:iCs/>
          <w:color w:val="000000" w:themeColor="text1"/>
          <w:sz w:val="24"/>
          <w:szCs w:val="24"/>
          <w:lang w:val="en-US"/>
        </w:rPr>
        <w:t xml:space="preserve"> In</w:t>
      </w:r>
      <w:r w:rsidR="00A822F8" w:rsidRPr="007B140B">
        <w:rPr>
          <w:rFonts w:ascii="Times New Roman" w:hAnsi="Times New Roman" w:cs="Times New Roman"/>
          <w:iCs/>
          <w:color w:val="000000" w:themeColor="text1"/>
          <w:sz w:val="24"/>
          <w:szCs w:val="24"/>
          <w:lang w:val="en-US"/>
        </w:rPr>
        <w:t xml:space="preserve"> the</w:t>
      </w:r>
      <w:r w:rsidR="00943B07" w:rsidRPr="007B140B">
        <w:rPr>
          <w:rFonts w:ascii="Times New Roman" w:hAnsi="Times New Roman" w:cs="Times New Roman"/>
          <w:iCs/>
          <w:color w:val="000000" w:themeColor="text1"/>
          <w:sz w:val="24"/>
          <w:szCs w:val="24"/>
          <w:lang w:val="en-US"/>
        </w:rPr>
        <w:t>se</w:t>
      </w:r>
      <w:r w:rsidR="00A822F8" w:rsidRPr="007B140B">
        <w:rPr>
          <w:rFonts w:ascii="Times New Roman" w:hAnsi="Times New Roman" w:cs="Times New Roman"/>
          <w:iCs/>
          <w:color w:val="000000" w:themeColor="text1"/>
          <w:sz w:val="24"/>
          <w:szCs w:val="24"/>
          <w:lang w:val="en-US"/>
        </w:rPr>
        <w:t xml:space="preserve"> trials, zoledronic acid</w:t>
      </w:r>
      <w:r w:rsidR="00776E48" w:rsidRPr="007B140B">
        <w:rPr>
          <w:rFonts w:ascii="Times New Roman" w:hAnsi="Times New Roman" w:cs="Times New Roman"/>
          <w:iCs/>
          <w:color w:val="000000" w:themeColor="text1"/>
          <w:sz w:val="24"/>
          <w:szCs w:val="24"/>
          <w:lang w:val="en-US"/>
        </w:rPr>
        <w:t xml:space="preserve"> was given</w:t>
      </w:r>
      <w:r w:rsidR="00A822F8" w:rsidRPr="007B140B">
        <w:rPr>
          <w:rFonts w:ascii="Times New Roman" w:hAnsi="Times New Roman" w:cs="Times New Roman"/>
          <w:iCs/>
          <w:color w:val="000000" w:themeColor="text1"/>
          <w:sz w:val="24"/>
          <w:szCs w:val="24"/>
          <w:lang w:val="en-US"/>
        </w:rPr>
        <w:t xml:space="preserve"> at more frequent intervals</w:t>
      </w:r>
      <w:r w:rsidR="00776E48" w:rsidRPr="007B140B">
        <w:rPr>
          <w:rFonts w:ascii="Times New Roman" w:hAnsi="Times New Roman" w:cs="Times New Roman"/>
          <w:iCs/>
          <w:color w:val="000000" w:themeColor="text1"/>
          <w:sz w:val="24"/>
          <w:szCs w:val="24"/>
          <w:lang w:val="en-US"/>
        </w:rPr>
        <w:t xml:space="preserve"> than is planned in our trial</w:t>
      </w:r>
      <w:r w:rsidR="00A822F8" w:rsidRPr="007B140B">
        <w:rPr>
          <w:rFonts w:ascii="Times New Roman" w:hAnsi="Times New Roman" w:cs="Times New Roman"/>
          <w:iCs/>
          <w:color w:val="000000" w:themeColor="text1"/>
          <w:sz w:val="24"/>
          <w:szCs w:val="24"/>
          <w:lang w:val="en-US"/>
        </w:rPr>
        <w:t>, which reduces the risk of adverse effects</w:t>
      </w:r>
      <w:r w:rsidR="00776E48" w:rsidRPr="007B140B">
        <w:rPr>
          <w:rFonts w:ascii="Times New Roman" w:hAnsi="Times New Roman" w:cs="Times New Roman"/>
          <w:iCs/>
          <w:color w:val="000000" w:themeColor="text1"/>
          <w:sz w:val="24"/>
          <w:szCs w:val="24"/>
          <w:lang w:val="en-US"/>
        </w:rPr>
        <w:t xml:space="preserve"> in our trial</w:t>
      </w:r>
      <w:r w:rsidR="00A822F8" w:rsidRPr="007B140B">
        <w:rPr>
          <w:rFonts w:ascii="Times New Roman" w:hAnsi="Times New Roman" w:cs="Times New Roman"/>
          <w:iCs/>
          <w:color w:val="000000" w:themeColor="text1"/>
          <w:sz w:val="24"/>
          <w:szCs w:val="24"/>
          <w:lang w:val="en-US"/>
        </w:rPr>
        <w:t>.</w:t>
      </w:r>
    </w:p>
    <w:p w14:paraId="5541C57B" w14:textId="4D5444F6" w:rsidR="00834E33" w:rsidRPr="007B140B" w:rsidRDefault="00834E33" w:rsidP="00834E33">
      <w:p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Another aspect of ethical concern is that some of the patients in the placebo group likely would have received </w:t>
      </w:r>
      <w:r w:rsidR="00767CB3" w:rsidRPr="007B140B">
        <w:rPr>
          <w:rFonts w:ascii="Times New Roman" w:hAnsi="Times New Roman" w:cs="Times New Roman"/>
          <w:sz w:val="24"/>
          <w:szCs w:val="24"/>
          <w:lang w:val="en-US"/>
        </w:rPr>
        <w:t>bone-protective</w:t>
      </w:r>
      <w:r w:rsidRPr="007B140B">
        <w:rPr>
          <w:rFonts w:ascii="Times New Roman" w:hAnsi="Times New Roman" w:cs="Times New Roman"/>
          <w:sz w:val="24"/>
          <w:szCs w:val="24"/>
          <w:lang w:val="en-US"/>
        </w:rPr>
        <w:t xml:space="preserve"> treatment had </w:t>
      </w:r>
      <w:r w:rsidR="00246320">
        <w:rPr>
          <w:rFonts w:ascii="Times New Roman" w:hAnsi="Times New Roman" w:cs="Times New Roman"/>
          <w:sz w:val="24"/>
          <w:szCs w:val="24"/>
          <w:lang w:val="en-US"/>
        </w:rPr>
        <w:t xml:space="preserve">they </w:t>
      </w:r>
      <w:r w:rsidRPr="007B140B">
        <w:rPr>
          <w:rFonts w:ascii="Times New Roman" w:hAnsi="Times New Roman" w:cs="Times New Roman"/>
          <w:sz w:val="24"/>
          <w:szCs w:val="24"/>
          <w:lang w:val="en-US"/>
        </w:rPr>
        <w:t>not been included in th</w:t>
      </w:r>
      <w:r w:rsidR="00246320">
        <w:rPr>
          <w:rFonts w:ascii="Times New Roman" w:hAnsi="Times New Roman" w:cs="Times New Roman"/>
          <w:sz w:val="24"/>
          <w:szCs w:val="24"/>
          <w:lang w:val="en-US"/>
        </w:rPr>
        <w:t>e</w:t>
      </w:r>
      <w:r w:rsidRPr="007B140B">
        <w:rPr>
          <w:rFonts w:ascii="Times New Roman" w:hAnsi="Times New Roman" w:cs="Times New Roman"/>
          <w:sz w:val="24"/>
          <w:szCs w:val="24"/>
          <w:lang w:val="en-US"/>
        </w:rPr>
        <w:t xml:space="preserve"> </w:t>
      </w:r>
      <w:r w:rsidR="00700099" w:rsidRPr="007B140B">
        <w:rPr>
          <w:rFonts w:ascii="Times New Roman" w:hAnsi="Times New Roman" w:cs="Times New Roman"/>
          <w:sz w:val="24"/>
          <w:szCs w:val="24"/>
          <w:lang w:val="en-US"/>
        </w:rPr>
        <w:t>trial</w:t>
      </w:r>
      <w:r w:rsidRPr="007B140B">
        <w:rPr>
          <w:rFonts w:ascii="Times New Roman" w:hAnsi="Times New Roman" w:cs="Times New Roman"/>
          <w:sz w:val="24"/>
          <w:szCs w:val="24"/>
          <w:lang w:val="en-US"/>
        </w:rPr>
        <w:t xml:space="preserve">. However, only about </w:t>
      </w:r>
      <w:r w:rsidR="002756D9" w:rsidRPr="007B140B">
        <w:rPr>
          <w:rFonts w:ascii="Times New Roman" w:hAnsi="Times New Roman" w:cs="Times New Roman"/>
          <w:sz w:val="24"/>
          <w:szCs w:val="24"/>
          <w:lang w:val="en-US"/>
        </w:rPr>
        <w:t>10%</w:t>
      </w:r>
      <w:r w:rsidRPr="007B140B">
        <w:rPr>
          <w:rFonts w:ascii="Times New Roman" w:hAnsi="Times New Roman" w:cs="Times New Roman"/>
          <w:sz w:val="24"/>
          <w:szCs w:val="24"/>
          <w:lang w:val="en-US"/>
        </w:rPr>
        <w:t xml:space="preserve"> of </w:t>
      </w:r>
      <w:r w:rsidR="002756D9" w:rsidRPr="007B140B">
        <w:rPr>
          <w:rFonts w:ascii="Times New Roman" w:hAnsi="Times New Roman" w:cs="Times New Roman"/>
          <w:sz w:val="24"/>
          <w:szCs w:val="24"/>
          <w:lang w:val="en-US"/>
        </w:rPr>
        <w:t xml:space="preserve">fracture </w:t>
      </w:r>
      <w:r w:rsidRPr="007B140B">
        <w:rPr>
          <w:rFonts w:ascii="Times New Roman" w:hAnsi="Times New Roman" w:cs="Times New Roman"/>
          <w:sz w:val="24"/>
          <w:szCs w:val="24"/>
          <w:lang w:val="en-US"/>
        </w:rPr>
        <w:t>patients</w:t>
      </w:r>
      <w:r w:rsidR="002756D9" w:rsidRPr="007B140B">
        <w:rPr>
          <w:rFonts w:ascii="Times New Roman" w:hAnsi="Times New Roman" w:cs="Times New Roman"/>
          <w:sz w:val="24"/>
          <w:szCs w:val="24"/>
          <w:lang w:val="en-US"/>
        </w:rPr>
        <w:t xml:space="preserve"> </w:t>
      </w:r>
      <w:r w:rsidR="000D76B7">
        <w:rPr>
          <w:rFonts w:ascii="Times New Roman" w:hAnsi="Times New Roman" w:cs="Times New Roman"/>
          <w:sz w:val="24"/>
          <w:szCs w:val="24"/>
          <w:lang w:val="en-US"/>
        </w:rPr>
        <w:t xml:space="preserve">currently </w:t>
      </w:r>
      <w:r w:rsidR="002756D9" w:rsidRPr="007B140B">
        <w:rPr>
          <w:rFonts w:ascii="Times New Roman" w:hAnsi="Times New Roman" w:cs="Times New Roman"/>
          <w:sz w:val="24"/>
          <w:szCs w:val="24"/>
          <w:lang w:val="en-US"/>
        </w:rPr>
        <w:t>receive treatment,</w:t>
      </w:r>
      <w:r w:rsidR="002756D9" w:rsidRPr="007B140B">
        <w:rPr>
          <w:rFonts w:ascii="Times New Roman" w:hAnsi="Times New Roman" w:cs="Times New Roman"/>
          <w:sz w:val="24"/>
          <w:szCs w:val="24"/>
          <w:lang w:val="en-US"/>
        </w:rPr>
        <w:fldChar w:fldCharType="begin" w:fldLock="1"/>
      </w:r>
      <w:r w:rsidR="00D2485C">
        <w:rPr>
          <w:rFonts w:ascii="Times New Roman" w:hAnsi="Times New Roman" w:cs="Times New Roman"/>
          <w:sz w:val="24"/>
          <w:szCs w:val="24"/>
          <w:lang w:val="en-US"/>
        </w:rPr>
        <w:instrText>ADDIN CSL_CITATION {"citationItems":[{"id":"ITEM-1","itemData":{"author":[{"dropping-particle":"","family":"Socialstyrelsen","given":"","non-dropping-particle":"","parse-names":false,"suffix":""},{"dropping-particle":"","family":"Sveriges kommuner och landsting","given":"","non-dropping-particle":"","parse-names":false,"suffix":""}],"id":"ITEM-1","issued":{"date-parts":[["2014"]]},"number-of-pages":"223","publisher-place":"Stockholm","title":"Öppna jämförelser 2014: Hälso- och sjukvård - jämförelser mellan landsting. Del 2. Indikatorer om sjukdomar och behandlingar","type":"book"},"uris":["http://www.mendeley.com/documents/?uuid=cf48489f-97b1-49f8-8e97-ef99b2f367d9"]},{"id":"ITEM-2","itemData":{"DOI":"10.1007/s00198-017-4367-7.","author":[{"dropping-particle":"","family":"Bergman","given":"J","non-dropping-particle":"","parse-names":false,"suffix":""},{"dropping-particle":"","family":"Nordström","given":"A","non-dropping-particle":"","parse-names":false,"suffix":""},{"dropping-particle":"","family":"Nordström","given":"P","non-dropping-particle":"","parse-names":false,"suffix":""}],"container-title":"Osteoporosis International","id":"ITEM-2","issue":"4","issued":{"date-parts":[["2018"]]},"page":"937-945","title":"Bisphosphonate use after clinical fracture and risk of new fracture","type":"article-journal","volume":"29"},"uris":["http://www.mendeley.com/documents/?uuid=eb7ca692-5558-44cd-b470-46cf0e5c1d73"]}],"mendeley":{"formattedCitation":"&lt;sup&gt;&lt;sup&gt;15&lt;/sup&gt;,&lt;sup&gt;16&lt;/sup&gt;&lt;/sup&gt;","plainTextFormattedCitation":"15,16","previouslyFormattedCitation":"&lt;sup&gt;&lt;sup&gt;15&lt;/sup&gt;,&lt;sup&gt;16&lt;/sup&gt;&lt;/sup&gt;"},"properties":{"noteIndex":0},"schema":"https://github.com/citation-style-language/schema/raw/master/csl-citation.json"}</w:instrText>
      </w:r>
      <w:r w:rsidR="002756D9" w:rsidRPr="007B140B">
        <w:rPr>
          <w:rFonts w:ascii="Times New Roman" w:hAnsi="Times New Roman" w:cs="Times New Roman"/>
          <w:sz w:val="24"/>
          <w:szCs w:val="24"/>
          <w:lang w:val="en-US"/>
        </w:rPr>
        <w:fldChar w:fldCharType="separate"/>
      </w:r>
      <w:r w:rsidR="00D2485C" w:rsidRPr="00D2485C">
        <w:rPr>
          <w:rFonts w:ascii="Times New Roman" w:hAnsi="Times New Roman" w:cs="Times New Roman"/>
          <w:noProof/>
          <w:sz w:val="24"/>
          <w:szCs w:val="24"/>
          <w:vertAlign w:val="superscript"/>
          <w:lang w:val="en-US"/>
        </w:rPr>
        <w:t>15,16</w:t>
      </w:r>
      <w:r w:rsidR="002756D9" w:rsidRPr="007B140B">
        <w:rPr>
          <w:rFonts w:ascii="Times New Roman" w:hAnsi="Times New Roman" w:cs="Times New Roman"/>
          <w:sz w:val="24"/>
          <w:szCs w:val="24"/>
          <w:lang w:val="en-US"/>
        </w:rPr>
        <w:fldChar w:fldCharType="end"/>
      </w:r>
      <w:r w:rsidR="002756D9" w:rsidRPr="007B140B">
        <w:rPr>
          <w:rFonts w:ascii="Times New Roman" w:hAnsi="Times New Roman" w:cs="Times New Roman"/>
          <w:sz w:val="24"/>
          <w:szCs w:val="24"/>
          <w:lang w:val="en-US"/>
        </w:rPr>
        <w:t xml:space="preserve"> and there is currently no standard treatment for fracture patients who </w:t>
      </w:r>
      <w:r w:rsidR="00074123" w:rsidRPr="007B140B">
        <w:rPr>
          <w:rFonts w:ascii="Times New Roman" w:hAnsi="Times New Roman" w:cs="Times New Roman"/>
          <w:sz w:val="24"/>
          <w:szCs w:val="24"/>
          <w:lang w:val="en-US"/>
        </w:rPr>
        <w:t xml:space="preserve">(as the patients in the current trial) </w:t>
      </w:r>
      <w:r w:rsidR="002756D9" w:rsidRPr="007B140B">
        <w:rPr>
          <w:rFonts w:ascii="Times New Roman" w:hAnsi="Times New Roman" w:cs="Times New Roman"/>
          <w:sz w:val="24"/>
          <w:szCs w:val="24"/>
          <w:lang w:val="en-US"/>
        </w:rPr>
        <w:t>do not have a hip or vertebral fracture</w:t>
      </w:r>
      <w:r w:rsidR="00074123" w:rsidRPr="007B140B">
        <w:rPr>
          <w:rFonts w:ascii="Times New Roman" w:hAnsi="Times New Roman" w:cs="Times New Roman"/>
          <w:sz w:val="24"/>
          <w:szCs w:val="24"/>
          <w:lang w:val="en-US"/>
        </w:rPr>
        <w:t>.</w:t>
      </w:r>
    </w:p>
    <w:p w14:paraId="77AD2C34" w14:textId="4A9A79D0" w:rsidR="005726B9" w:rsidRDefault="00CF4170" w:rsidP="00834E33">
      <w:pPr>
        <w:rPr>
          <w:rFonts w:ascii="Times New Roman" w:hAnsi="Times New Roman" w:cs="Times New Roman"/>
          <w:sz w:val="24"/>
          <w:szCs w:val="24"/>
          <w:lang w:val="en-US"/>
        </w:rPr>
      </w:pPr>
      <w:r w:rsidRPr="007B140B">
        <w:rPr>
          <w:rFonts w:ascii="Times New Roman" w:hAnsi="Times New Roman" w:cs="Times New Roman"/>
          <w:sz w:val="24"/>
          <w:szCs w:val="24"/>
          <w:lang w:val="en-US"/>
        </w:rPr>
        <w:t>T</w:t>
      </w:r>
      <w:r w:rsidR="00834E33" w:rsidRPr="007B140B">
        <w:rPr>
          <w:rFonts w:ascii="Times New Roman" w:hAnsi="Times New Roman" w:cs="Times New Roman"/>
          <w:sz w:val="24"/>
          <w:szCs w:val="24"/>
          <w:lang w:val="en-US"/>
        </w:rPr>
        <w:t xml:space="preserve">here is </w:t>
      </w:r>
      <w:r w:rsidRPr="007B140B">
        <w:rPr>
          <w:rFonts w:ascii="Times New Roman" w:hAnsi="Times New Roman" w:cs="Times New Roman"/>
          <w:sz w:val="24"/>
          <w:szCs w:val="24"/>
          <w:lang w:val="en-US"/>
        </w:rPr>
        <w:t xml:space="preserve">also </w:t>
      </w:r>
      <w:r w:rsidR="00834E33" w:rsidRPr="007B140B">
        <w:rPr>
          <w:rFonts w:ascii="Times New Roman" w:hAnsi="Times New Roman" w:cs="Times New Roman"/>
          <w:sz w:val="24"/>
          <w:szCs w:val="24"/>
          <w:lang w:val="en-US"/>
        </w:rPr>
        <w:t xml:space="preserve">a risk of invasion of privacy because we intend to contact potential participants through </w:t>
      </w:r>
      <w:r w:rsidR="00350427" w:rsidRPr="007B140B">
        <w:rPr>
          <w:rFonts w:ascii="Times New Roman" w:hAnsi="Times New Roman" w:cs="Times New Roman"/>
          <w:sz w:val="24"/>
          <w:szCs w:val="24"/>
          <w:lang w:val="en-US"/>
        </w:rPr>
        <w:t xml:space="preserve">the registers, primarily the Swedish Fracture Register. </w:t>
      </w:r>
      <w:r w:rsidR="00834E33" w:rsidRPr="007B140B">
        <w:rPr>
          <w:rFonts w:ascii="Times New Roman" w:hAnsi="Times New Roman" w:cs="Times New Roman"/>
          <w:sz w:val="24"/>
          <w:szCs w:val="24"/>
          <w:lang w:val="en-US"/>
        </w:rPr>
        <w:t xml:space="preserve">However, individuals </w:t>
      </w:r>
      <w:r w:rsidR="00834E33" w:rsidRPr="007B140B">
        <w:rPr>
          <w:rFonts w:ascii="Times New Roman" w:hAnsi="Times New Roman" w:cs="Times New Roman"/>
          <w:sz w:val="24"/>
          <w:szCs w:val="24"/>
          <w:lang w:val="en-US"/>
        </w:rPr>
        <w:lastRenderedPageBreak/>
        <w:t xml:space="preserve">registered in the </w:t>
      </w:r>
      <w:r w:rsidR="00350427" w:rsidRPr="007B140B">
        <w:rPr>
          <w:rFonts w:ascii="Times New Roman" w:hAnsi="Times New Roman" w:cs="Times New Roman"/>
          <w:sz w:val="24"/>
          <w:szCs w:val="24"/>
          <w:lang w:val="en-US"/>
        </w:rPr>
        <w:t>Swedish Fracture Register</w:t>
      </w:r>
      <w:r w:rsidR="00834E33" w:rsidRPr="007B140B">
        <w:rPr>
          <w:rFonts w:ascii="Times New Roman" w:hAnsi="Times New Roman" w:cs="Times New Roman"/>
          <w:sz w:val="24"/>
          <w:szCs w:val="24"/>
          <w:lang w:val="en-US"/>
        </w:rPr>
        <w:t xml:space="preserve"> </w:t>
      </w:r>
      <w:r w:rsidR="006C03A9">
        <w:rPr>
          <w:rFonts w:ascii="Times New Roman" w:hAnsi="Times New Roman" w:cs="Times New Roman"/>
          <w:sz w:val="24"/>
          <w:szCs w:val="24"/>
          <w:lang w:val="en-US"/>
        </w:rPr>
        <w:t xml:space="preserve">have </w:t>
      </w:r>
      <w:r w:rsidR="00EA78FB" w:rsidRPr="007B140B">
        <w:rPr>
          <w:rFonts w:ascii="Times New Roman" w:hAnsi="Times New Roman" w:cs="Times New Roman"/>
          <w:sz w:val="24"/>
          <w:szCs w:val="24"/>
          <w:lang w:val="en-US"/>
        </w:rPr>
        <w:t>agreed</w:t>
      </w:r>
      <w:r w:rsidR="00350427" w:rsidRPr="007B140B">
        <w:rPr>
          <w:rFonts w:ascii="Times New Roman" w:hAnsi="Times New Roman" w:cs="Times New Roman"/>
          <w:sz w:val="24"/>
          <w:szCs w:val="24"/>
          <w:lang w:val="en-US"/>
        </w:rPr>
        <w:t xml:space="preserve"> to the use of</w:t>
      </w:r>
      <w:r w:rsidR="00834E33" w:rsidRPr="007B140B">
        <w:rPr>
          <w:rFonts w:ascii="Times New Roman" w:hAnsi="Times New Roman" w:cs="Times New Roman"/>
          <w:sz w:val="24"/>
          <w:szCs w:val="24"/>
          <w:lang w:val="en-US"/>
        </w:rPr>
        <w:t xml:space="preserve"> their data in research.</w:t>
      </w:r>
      <w:r w:rsidR="001A1C36">
        <w:rPr>
          <w:rFonts w:ascii="Times New Roman" w:hAnsi="Times New Roman" w:cs="Times New Roman"/>
          <w:sz w:val="24"/>
          <w:szCs w:val="24"/>
          <w:lang w:val="en-US"/>
        </w:rPr>
        <w:t xml:space="preserve"> </w:t>
      </w:r>
      <w:r w:rsidR="00DB6F45">
        <w:rPr>
          <w:rFonts w:ascii="Times New Roman" w:hAnsi="Times New Roman" w:cs="Times New Roman"/>
          <w:sz w:val="24"/>
          <w:szCs w:val="24"/>
          <w:lang w:val="en-US"/>
        </w:rPr>
        <w:t xml:space="preserve">In addition, </w:t>
      </w:r>
      <w:r w:rsidR="00DB6F45" w:rsidRPr="007B140B">
        <w:rPr>
          <w:rFonts w:ascii="Times New Roman" w:hAnsi="Times New Roman" w:cs="Times New Roman"/>
          <w:sz w:val="24"/>
          <w:szCs w:val="24"/>
          <w:lang w:val="en-US"/>
        </w:rPr>
        <w:t xml:space="preserve">we consider it to be more respectful than approaching patients in </w:t>
      </w:r>
      <w:r w:rsidR="00AE3BBE">
        <w:rPr>
          <w:rFonts w:ascii="Times New Roman" w:hAnsi="Times New Roman" w:cs="Times New Roman"/>
          <w:sz w:val="24"/>
          <w:szCs w:val="24"/>
          <w:lang w:val="en-US"/>
        </w:rPr>
        <w:t xml:space="preserve">clinics, such as </w:t>
      </w:r>
      <w:r w:rsidR="00DB6F45" w:rsidRPr="007B140B">
        <w:rPr>
          <w:rFonts w:ascii="Times New Roman" w:hAnsi="Times New Roman" w:cs="Times New Roman"/>
          <w:sz w:val="24"/>
          <w:szCs w:val="24"/>
          <w:lang w:val="en-US"/>
        </w:rPr>
        <w:t>emergency rooms, where they are in pain and in need of medical attention.</w:t>
      </w:r>
    </w:p>
    <w:p w14:paraId="5E0096D5" w14:textId="0521D3A6" w:rsidR="00405654" w:rsidRPr="007B140B" w:rsidRDefault="00405654" w:rsidP="00405654">
      <w:pPr>
        <w:rPr>
          <w:rFonts w:ascii="Times New Roman" w:hAnsi="Times New Roman" w:cs="Times New Roman"/>
          <w:sz w:val="24"/>
          <w:szCs w:val="24"/>
          <w:lang w:val="en-US"/>
        </w:rPr>
      </w:pPr>
      <w:r>
        <w:rPr>
          <w:rFonts w:ascii="Times New Roman" w:hAnsi="Times New Roman" w:cs="Times New Roman"/>
          <w:sz w:val="24"/>
          <w:szCs w:val="24"/>
          <w:lang w:val="en-US"/>
        </w:rPr>
        <w:t xml:space="preserve">A final risk is the COVID-19 pandemic, which started in 2020 and is ongoing at the time of writing. Due to the participants’ age, they are at increased risk of developing severe COVID-19. We believe this risk outweighs any potential benefit of the trial, so participant enrollment will not begin until the pandemic is under control. The sponsor will determine when it is safe to start enrollment. </w:t>
      </w:r>
      <w:r w:rsidRPr="007B140B">
        <w:rPr>
          <w:rFonts w:ascii="Times New Roman" w:hAnsi="Times New Roman" w:cs="Times New Roman"/>
          <w:iCs/>
          <w:color w:val="000000" w:themeColor="text1"/>
          <w:sz w:val="24"/>
          <w:szCs w:val="24"/>
          <w:lang w:val="en-US"/>
        </w:rPr>
        <w:t>In summary, we consider the benefits of conducting this study to outweigh the risks</w:t>
      </w:r>
      <w:r w:rsidRPr="00476F74">
        <w:rPr>
          <w:rFonts w:ascii="Times New Roman" w:hAnsi="Times New Roman" w:cs="Times New Roman"/>
          <w:iCs/>
          <w:color w:val="000000" w:themeColor="text1"/>
          <w:sz w:val="24"/>
          <w:szCs w:val="24"/>
          <w:lang w:val="en-US"/>
        </w:rPr>
        <w:t xml:space="preserve"> </w:t>
      </w:r>
      <w:r>
        <w:rPr>
          <w:rFonts w:ascii="Times New Roman" w:hAnsi="Times New Roman" w:cs="Times New Roman"/>
          <w:iCs/>
          <w:color w:val="000000" w:themeColor="text1"/>
          <w:sz w:val="24"/>
          <w:szCs w:val="24"/>
          <w:lang w:val="en-US"/>
        </w:rPr>
        <w:t>when the COVID-19 pandemic is under control</w:t>
      </w:r>
      <w:r w:rsidRPr="007B140B">
        <w:rPr>
          <w:rFonts w:ascii="Times New Roman" w:hAnsi="Times New Roman" w:cs="Times New Roman"/>
          <w:iCs/>
          <w:color w:val="000000" w:themeColor="text1"/>
          <w:sz w:val="24"/>
          <w:szCs w:val="24"/>
          <w:lang w:val="en-US"/>
        </w:rPr>
        <w:t>, making the trial ethical to perform.</w:t>
      </w:r>
    </w:p>
    <w:p w14:paraId="42F6A84F" w14:textId="6DC0A9E0" w:rsidR="00CF0EC7" w:rsidRPr="007B140B" w:rsidRDefault="00834E33" w:rsidP="00637A0B">
      <w:pPr>
        <w:rPr>
          <w:rFonts w:ascii="Times New Roman" w:hAnsi="Times New Roman" w:cs="Times New Roman"/>
          <w:iCs/>
          <w:color w:val="000000" w:themeColor="text1"/>
          <w:sz w:val="24"/>
          <w:szCs w:val="24"/>
          <w:lang w:val="en-US"/>
        </w:rPr>
      </w:pPr>
      <w:r w:rsidRPr="007B140B">
        <w:rPr>
          <w:rFonts w:ascii="Times New Roman" w:hAnsi="Times New Roman" w:cs="Times New Roman"/>
          <w:iCs/>
          <w:color w:val="000000" w:themeColor="text1"/>
          <w:sz w:val="24"/>
          <w:szCs w:val="24"/>
          <w:lang w:val="en-US"/>
        </w:rPr>
        <w:t xml:space="preserve">   </w:t>
      </w:r>
      <w:r w:rsidR="00CF0EC7" w:rsidRPr="007B140B">
        <w:rPr>
          <w:rFonts w:ascii="Times New Roman" w:hAnsi="Times New Roman" w:cs="Times New Roman"/>
          <w:iCs/>
          <w:color w:val="000000" w:themeColor="text1"/>
          <w:sz w:val="24"/>
          <w:szCs w:val="24"/>
          <w:lang w:val="en-US"/>
        </w:rPr>
        <w:br w:type="page"/>
      </w:r>
    </w:p>
    <w:p w14:paraId="3F40FB51" w14:textId="2DE18F8C" w:rsidR="00515145" w:rsidRPr="007B140B" w:rsidRDefault="00515145" w:rsidP="00D36611">
      <w:pPr>
        <w:pStyle w:val="Formatmall4"/>
        <w:rPr>
          <w:rFonts w:cs="Times New Roman"/>
          <w:lang w:val="en-US"/>
        </w:rPr>
      </w:pPr>
      <w:bookmarkStart w:id="508" w:name="_Toc99001455"/>
      <w:r w:rsidRPr="007B140B">
        <w:rPr>
          <w:rFonts w:cs="Times New Roman"/>
          <w:lang w:val="en-US"/>
        </w:rPr>
        <w:lastRenderedPageBreak/>
        <w:t>Referen</w:t>
      </w:r>
      <w:bookmarkEnd w:id="505"/>
      <w:bookmarkEnd w:id="506"/>
      <w:r w:rsidR="009F61B1" w:rsidRPr="007B140B">
        <w:rPr>
          <w:rFonts w:cs="Times New Roman"/>
          <w:lang w:val="en-US"/>
        </w:rPr>
        <w:t>ces</w:t>
      </w:r>
      <w:bookmarkEnd w:id="508"/>
    </w:p>
    <w:p w14:paraId="5E5AD9C8" w14:textId="0B992CB9" w:rsidR="00E85D18" w:rsidRPr="00E85D18" w:rsidRDefault="00756440" w:rsidP="00E85D18">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7B140B">
        <w:rPr>
          <w:rFonts w:ascii="Times New Roman" w:hAnsi="Times New Roman" w:cs="Times New Roman"/>
          <w:color w:val="FF0000"/>
          <w:sz w:val="24"/>
          <w:szCs w:val="24"/>
          <w:lang w:val="en-US"/>
        </w:rPr>
        <w:fldChar w:fldCharType="begin" w:fldLock="1"/>
      </w:r>
      <w:r w:rsidRPr="00C231B5">
        <w:rPr>
          <w:rFonts w:ascii="Times New Roman" w:hAnsi="Times New Roman" w:cs="Times New Roman"/>
          <w:color w:val="FF0000"/>
          <w:sz w:val="24"/>
          <w:szCs w:val="24"/>
        </w:rPr>
        <w:instrText xml:space="preserve">ADDIN Mendeley Bibliography CSL_BIBLIOGRAPHY </w:instrText>
      </w:r>
      <w:r w:rsidRPr="007B140B">
        <w:rPr>
          <w:rFonts w:ascii="Times New Roman" w:hAnsi="Times New Roman" w:cs="Times New Roman"/>
          <w:color w:val="FF0000"/>
          <w:sz w:val="24"/>
          <w:szCs w:val="24"/>
          <w:lang w:val="en-US"/>
        </w:rPr>
        <w:fldChar w:fldCharType="separate"/>
      </w:r>
      <w:r w:rsidR="00E85D18" w:rsidRPr="00E85D18">
        <w:rPr>
          <w:rFonts w:ascii="Times New Roman" w:hAnsi="Times New Roman" w:cs="Times New Roman"/>
          <w:noProof/>
          <w:sz w:val="24"/>
          <w:szCs w:val="24"/>
        </w:rPr>
        <w:t xml:space="preserve">1 </w:t>
      </w:r>
      <w:r w:rsidR="00E85D18" w:rsidRPr="00E85D18">
        <w:rPr>
          <w:rFonts w:ascii="Times New Roman" w:hAnsi="Times New Roman" w:cs="Times New Roman"/>
          <w:noProof/>
          <w:sz w:val="24"/>
          <w:szCs w:val="24"/>
        </w:rPr>
        <w:tab/>
        <w:t>Socialstyrelsen. Statistikdatabas för diagnoser i sluten vården. https://sdb.socialstyrelsen.se/if_par/val.aspx. Accessed 29 Nov 2019.</w:t>
      </w:r>
    </w:p>
    <w:p w14:paraId="5E61BAC0"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85D18">
        <w:rPr>
          <w:rFonts w:ascii="Times New Roman" w:hAnsi="Times New Roman" w:cs="Times New Roman"/>
          <w:noProof/>
          <w:sz w:val="24"/>
          <w:szCs w:val="24"/>
        </w:rPr>
        <w:t xml:space="preserve">2 </w:t>
      </w:r>
      <w:r w:rsidRPr="00E85D18">
        <w:rPr>
          <w:rFonts w:ascii="Times New Roman" w:hAnsi="Times New Roman" w:cs="Times New Roman"/>
          <w:noProof/>
          <w:sz w:val="24"/>
          <w:szCs w:val="24"/>
        </w:rPr>
        <w:tab/>
        <w:t>Socialstyrelsen. Statistikdatabas för diagnoser i specialiserad öppen vård. https://sdb.socialstyrelsen.se/if_paro/val.aspx. Accessed 29 Nov 2019.</w:t>
      </w:r>
    </w:p>
    <w:p w14:paraId="66464392"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3 </w:t>
      </w:r>
      <w:r w:rsidRPr="00E85D18">
        <w:rPr>
          <w:rFonts w:ascii="Times New Roman" w:hAnsi="Times New Roman" w:cs="Times New Roman"/>
          <w:noProof/>
          <w:sz w:val="24"/>
          <w:szCs w:val="24"/>
          <w:lang w:val="en-US"/>
        </w:rPr>
        <w:tab/>
        <w:t xml:space="preserve">Nordström P, Gustafson Y, Michaëlsson K, Nordström A. Length of hospital stay after hip fracture and short term risk of death after discharge: a total cohort study in Sweden. </w:t>
      </w:r>
      <w:r w:rsidRPr="00E85D18">
        <w:rPr>
          <w:rFonts w:ascii="Times New Roman" w:hAnsi="Times New Roman" w:cs="Times New Roman"/>
          <w:i/>
          <w:iCs/>
          <w:noProof/>
          <w:sz w:val="24"/>
          <w:szCs w:val="24"/>
          <w:lang w:val="en-US"/>
        </w:rPr>
        <w:t>BMJ</w:t>
      </w:r>
      <w:r w:rsidRPr="00E85D18">
        <w:rPr>
          <w:rFonts w:ascii="Times New Roman" w:hAnsi="Times New Roman" w:cs="Times New Roman"/>
          <w:noProof/>
          <w:sz w:val="24"/>
          <w:szCs w:val="24"/>
          <w:lang w:val="en-US"/>
        </w:rPr>
        <w:t xml:space="preserve"> 2015;350:1–11.</w:t>
      </w:r>
    </w:p>
    <w:p w14:paraId="309B207E"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4 </w:t>
      </w:r>
      <w:r w:rsidRPr="00E85D18">
        <w:rPr>
          <w:rFonts w:ascii="Times New Roman" w:hAnsi="Times New Roman" w:cs="Times New Roman"/>
          <w:noProof/>
          <w:sz w:val="24"/>
          <w:szCs w:val="24"/>
          <w:lang w:val="en-US"/>
        </w:rPr>
        <w:tab/>
        <w:t xml:space="preserve">Michaëlsson K, Nordström P, Nordström A et al. Impact of hip fracture on mortality: a cohort study in hip fracture discordant identical twins. </w:t>
      </w:r>
      <w:r w:rsidRPr="00E85D18">
        <w:rPr>
          <w:rFonts w:ascii="Times New Roman" w:hAnsi="Times New Roman" w:cs="Times New Roman"/>
          <w:i/>
          <w:iCs/>
          <w:noProof/>
          <w:sz w:val="24"/>
          <w:szCs w:val="24"/>
          <w:lang w:val="en-US"/>
        </w:rPr>
        <w:t>J Bone Miner Res</w:t>
      </w:r>
      <w:r w:rsidRPr="00E85D18">
        <w:rPr>
          <w:rFonts w:ascii="Times New Roman" w:hAnsi="Times New Roman" w:cs="Times New Roman"/>
          <w:noProof/>
          <w:sz w:val="24"/>
          <w:szCs w:val="24"/>
          <w:lang w:val="en-US"/>
        </w:rPr>
        <w:t xml:space="preserve"> 2014;29:424–431.</w:t>
      </w:r>
    </w:p>
    <w:p w14:paraId="4A3A3D31"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5 </w:t>
      </w:r>
      <w:r w:rsidRPr="00E85D18">
        <w:rPr>
          <w:rFonts w:ascii="Times New Roman" w:hAnsi="Times New Roman" w:cs="Times New Roman"/>
          <w:noProof/>
          <w:sz w:val="24"/>
          <w:szCs w:val="24"/>
          <w:lang w:val="en-US"/>
        </w:rPr>
        <w:tab/>
        <w:t xml:space="preserve">Peeters CMM, Visser E, Van De Ree CLP, Gosens T, Den Oudsten BL, De Vries J. Quality of life after hip fracture in the elderly: a systematic literature review. </w:t>
      </w:r>
      <w:r w:rsidRPr="00E85D18">
        <w:rPr>
          <w:rFonts w:ascii="Times New Roman" w:hAnsi="Times New Roman" w:cs="Times New Roman"/>
          <w:i/>
          <w:iCs/>
          <w:noProof/>
          <w:sz w:val="24"/>
          <w:szCs w:val="24"/>
          <w:lang w:val="en-US"/>
        </w:rPr>
        <w:t>Injury</w:t>
      </w:r>
      <w:r w:rsidRPr="00E85D18">
        <w:rPr>
          <w:rFonts w:ascii="Times New Roman" w:hAnsi="Times New Roman" w:cs="Times New Roman"/>
          <w:noProof/>
          <w:sz w:val="24"/>
          <w:szCs w:val="24"/>
          <w:lang w:val="en-US"/>
        </w:rPr>
        <w:t xml:space="preserve"> 2016;47:1369–1382.</w:t>
      </w:r>
    </w:p>
    <w:p w14:paraId="374A5C37"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85D18">
        <w:rPr>
          <w:rFonts w:ascii="Times New Roman" w:hAnsi="Times New Roman" w:cs="Times New Roman"/>
          <w:noProof/>
          <w:sz w:val="24"/>
          <w:szCs w:val="24"/>
          <w:lang w:val="en-US"/>
        </w:rPr>
        <w:t xml:space="preserve">6 </w:t>
      </w:r>
      <w:r w:rsidRPr="00E85D18">
        <w:rPr>
          <w:rFonts w:ascii="Times New Roman" w:hAnsi="Times New Roman" w:cs="Times New Roman"/>
          <w:noProof/>
          <w:sz w:val="24"/>
          <w:szCs w:val="24"/>
          <w:lang w:val="en-US"/>
        </w:rPr>
        <w:tab/>
        <w:t xml:space="preserve">Kado DM, Duong T, Stone KL et al. Incident vertebral fractures and mortality in older women: a prospective study. </w:t>
      </w:r>
      <w:r w:rsidRPr="00E85D18">
        <w:rPr>
          <w:rFonts w:ascii="Times New Roman" w:hAnsi="Times New Roman" w:cs="Times New Roman"/>
          <w:i/>
          <w:iCs/>
          <w:noProof/>
          <w:sz w:val="24"/>
          <w:szCs w:val="24"/>
        </w:rPr>
        <w:t>Osteoporos Int</w:t>
      </w:r>
      <w:r w:rsidRPr="00E85D18">
        <w:rPr>
          <w:rFonts w:ascii="Times New Roman" w:hAnsi="Times New Roman" w:cs="Times New Roman"/>
          <w:noProof/>
          <w:sz w:val="24"/>
          <w:szCs w:val="24"/>
        </w:rPr>
        <w:t xml:space="preserve"> 2003;14:589–594.</w:t>
      </w:r>
    </w:p>
    <w:p w14:paraId="3AC07489"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rPr>
        <w:t xml:space="preserve">7 </w:t>
      </w:r>
      <w:r w:rsidRPr="00E85D18">
        <w:rPr>
          <w:rFonts w:ascii="Times New Roman" w:hAnsi="Times New Roman" w:cs="Times New Roman"/>
          <w:noProof/>
          <w:sz w:val="24"/>
          <w:szCs w:val="24"/>
        </w:rPr>
        <w:tab/>
        <w:t xml:space="preserve">Svensson HK, Olofsson EH, Karlsson J, Hansson T, Olsson LE. </w:t>
      </w:r>
      <w:r w:rsidRPr="00E85D18">
        <w:rPr>
          <w:rFonts w:ascii="Times New Roman" w:hAnsi="Times New Roman" w:cs="Times New Roman"/>
          <w:noProof/>
          <w:sz w:val="24"/>
          <w:szCs w:val="24"/>
          <w:lang w:val="en-US"/>
        </w:rPr>
        <w:t xml:space="preserve">A painful, never ending story: older women’s experiences of living with an osteoporotic vertebral compression fracture. </w:t>
      </w:r>
      <w:r w:rsidRPr="00E85D18">
        <w:rPr>
          <w:rFonts w:ascii="Times New Roman" w:hAnsi="Times New Roman" w:cs="Times New Roman"/>
          <w:i/>
          <w:iCs/>
          <w:noProof/>
          <w:sz w:val="24"/>
          <w:szCs w:val="24"/>
          <w:lang w:val="en-US"/>
        </w:rPr>
        <w:t>Osteoporos Int</w:t>
      </w:r>
      <w:r w:rsidRPr="00E85D18">
        <w:rPr>
          <w:rFonts w:ascii="Times New Roman" w:hAnsi="Times New Roman" w:cs="Times New Roman"/>
          <w:noProof/>
          <w:sz w:val="24"/>
          <w:szCs w:val="24"/>
          <w:lang w:val="en-US"/>
        </w:rPr>
        <w:t xml:space="preserve"> 2016;27:1729–1736.</w:t>
      </w:r>
    </w:p>
    <w:p w14:paraId="04437B59"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8 </w:t>
      </w:r>
      <w:r w:rsidRPr="00E85D18">
        <w:rPr>
          <w:rFonts w:ascii="Times New Roman" w:hAnsi="Times New Roman" w:cs="Times New Roman"/>
          <w:noProof/>
          <w:sz w:val="24"/>
          <w:szCs w:val="24"/>
          <w:lang w:val="en-US"/>
        </w:rPr>
        <w:tab/>
        <w:t xml:space="preserve">Crandall CJ, Newberry SJ, Diamant A et al. Comparative effectiveness of pharmacologic treatments to prevent fractures: an updated systematic review. </w:t>
      </w:r>
      <w:r w:rsidRPr="00E85D18">
        <w:rPr>
          <w:rFonts w:ascii="Times New Roman" w:hAnsi="Times New Roman" w:cs="Times New Roman"/>
          <w:i/>
          <w:iCs/>
          <w:noProof/>
          <w:sz w:val="24"/>
          <w:szCs w:val="24"/>
          <w:lang w:val="en-US"/>
        </w:rPr>
        <w:t>Ann Intern Med</w:t>
      </w:r>
      <w:r w:rsidRPr="00E85D18">
        <w:rPr>
          <w:rFonts w:ascii="Times New Roman" w:hAnsi="Times New Roman" w:cs="Times New Roman"/>
          <w:noProof/>
          <w:sz w:val="24"/>
          <w:szCs w:val="24"/>
          <w:lang w:val="en-US"/>
        </w:rPr>
        <w:t xml:space="preserve"> 2014;161:711–723.</w:t>
      </w:r>
    </w:p>
    <w:p w14:paraId="2BDFB510"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9 </w:t>
      </w:r>
      <w:r w:rsidRPr="00E85D18">
        <w:rPr>
          <w:rFonts w:ascii="Times New Roman" w:hAnsi="Times New Roman" w:cs="Times New Roman"/>
          <w:noProof/>
          <w:sz w:val="24"/>
          <w:szCs w:val="24"/>
          <w:lang w:val="en-US"/>
        </w:rPr>
        <w:tab/>
        <w:t>Crandall CJ, Newberry SJ, Diamant A et al. Treatment to prevent fractures in men and women with low bone density or osteoporosis: update of a 2007 report. Rockville: Agency for Healthcare Research and Quality, 2012.</w:t>
      </w:r>
    </w:p>
    <w:p w14:paraId="4031F556"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10 </w:t>
      </w:r>
      <w:r w:rsidRPr="00E85D18">
        <w:rPr>
          <w:rFonts w:ascii="Times New Roman" w:hAnsi="Times New Roman" w:cs="Times New Roman"/>
          <w:noProof/>
          <w:sz w:val="24"/>
          <w:szCs w:val="24"/>
          <w:lang w:val="en-US"/>
        </w:rPr>
        <w:tab/>
        <w:t xml:space="preserve">Hernlund E, Svedbom A, Ivergård M et al. Osteoporosis in the European Union: medical management, epidemiology and economic burden: a report prepared in collaboration with the International Osteoporosis Foundation (IOF) and the European Federation of Pharmaceutical Industry Associations (EFPIA). </w:t>
      </w:r>
      <w:r w:rsidRPr="00E85D18">
        <w:rPr>
          <w:rFonts w:ascii="Times New Roman" w:hAnsi="Times New Roman" w:cs="Times New Roman"/>
          <w:i/>
          <w:iCs/>
          <w:noProof/>
          <w:sz w:val="24"/>
          <w:szCs w:val="24"/>
          <w:lang w:val="en-US"/>
        </w:rPr>
        <w:t>Arch Osteoporos</w:t>
      </w:r>
      <w:r w:rsidRPr="00E85D18">
        <w:rPr>
          <w:rFonts w:ascii="Times New Roman" w:hAnsi="Times New Roman" w:cs="Times New Roman"/>
          <w:noProof/>
          <w:sz w:val="24"/>
          <w:szCs w:val="24"/>
          <w:lang w:val="en-US"/>
        </w:rPr>
        <w:t xml:space="preserve"> 2013;8:136.</w:t>
      </w:r>
    </w:p>
    <w:p w14:paraId="579DCBDE" w14:textId="77777777" w:rsidR="00E85D18" w:rsidRPr="00A87467"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85D18">
        <w:rPr>
          <w:rFonts w:ascii="Times New Roman" w:hAnsi="Times New Roman" w:cs="Times New Roman"/>
          <w:noProof/>
          <w:sz w:val="24"/>
          <w:szCs w:val="24"/>
          <w:lang w:val="en-US"/>
        </w:rPr>
        <w:t xml:space="preserve">11 </w:t>
      </w:r>
      <w:r w:rsidRPr="00E85D18">
        <w:rPr>
          <w:rFonts w:ascii="Times New Roman" w:hAnsi="Times New Roman" w:cs="Times New Roman"/>
          <w:noProof/>
          <w:sz w:val="24"/>
          <w:szCs w:val="24"/>
          <w:lang w:val="en-US"/>
        </w:rPr>
        <w:tab/>
        <w:t xml:space="preserve">Mackey DC, Lui LY, Cawthon PM et al. High-trauma fractures and low bone mineral density in older women and men. </w:t>
      </w:r>
      <w:r w:rsidRPr="003F1D8C">
        <w:rPr>
          <w:rFonts w:ascii="Times New Roman" w:hAnsi="Times New Roman" w:cs="Times New Roman"/>
          <w:i/>
          <w:iCs/>
          <w:noProof/>
          <w:sz w:val="24"/>
          <w:szCs w:val="24"/>
        </w:rPr>
        <w:t>JAMA</w:t>
      </w:r>
      <w:r w:rsidRPr="00A87467">
        <w:rPr>
          <w:rFonts w:ascii="Times New Roman" w:hAnsi="Times New Roman" w:cs="Times New Roman"/>
          <w:noProof/>
          <w:sz w:val="24"/>
          <w:szCs w:val="24"/>
        </w:rPr>
        <w:t xml:space="preserve"> 2007;298:2381–2388.</w:t>
      </w:r>
    </w:p>
    <w:p w14:paraId="5BA2E581"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rPr>
        <w:t xml:space="preserve">12 </w:t>
      </w:r>
      <w:r w:rsidRPr="00E85D18">
        <w:rPr>
          <w:rFonts w:ascii="Times New Roman" w:hAnsi="Times New Roman" w:cs="Times New Roman"/>
          <w:noProof/>
          <w:sz w:val="24"/>
          <w:szCs w:val="24"/>
        </w:rPr>
        <w:tab/>
        <w:t xml:space="preserve">Schuit SCE, Van Der Klift M, Weel AEAM et al. </w:t>
      </w:r>
      <w:r w:rsidRPr="00E85D18">
        <w:rPr>
          <w:rFonts w:ascii="Times New Roman" w:hAnsi="Times New Roman" w:cs="Times New Roman"/>
          <w:noProof/>
          <w:sz w:val="24"/>
          <w:szCs w:val="24"/>
          <w:lang w:val="en-US"/>
        </w:rPr>
        <w:t xml:space="preserve">Fracture incidence and association with bone mineral density in elderly men and women: The Rotterdam Study. </w:t>
      </w:r>
      <w:r w:rsidRPr="00E85D18">
        <w:rPr>
          <w:rFonts w:ascii="Times New Roman" w:hAnsi="Times New Roman" w:cs="Times New Roman"/>
          <w:i/>
          <w:iCs/>
          <w:noProof/>
          <w:sz w:val="24"/>
          <w:szCs w:val="24"/>
          <w:lang w:val="en-US"/>
        </w:rPr>
        <w:t>Bone</w:t>
      </w:r>
      <w:r w:rsidRPr="00E85D18">
        <w:rPr>
          <w:rFonts w:ascii="Times New Roman" w:hAnsi="Times New Roman" w:cs="Times New Roman"/>
          <w:noProof/>
          <w:sz w:val="24"/>
          <w:szCs w:val="24"/>
          <w:lang w:val="en-US"/>
        </w:rPr>
        <w:t xml:space="preserve"> 2004;34:195–202.</w:t>
      </w:r>
    </w:p>
    <w:p w14:paraId="134B683F"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13 </w:t>
      </w:r>
      <w:r w:rsidRPr="00E85D18">
        <w:rPr>
          <w:rFonts w:ascii="Times New Roman" w:hAnsi="Times New Roman" w:cs="Times New Roman"/>
          <w:noProof/>
          <w:sz w:val="24"/>
          <w:szCs w:val="24"/>
          <w:lang w:val="en-US"/>
        </w:rPr>
        <w:tab/>
        <w:t xml:space="preserve">Sanders KM, Nicholson GC, Watts JJ et al. Half the burden of fragility fractures in the community occur in women without osteoporosis. When is fracture prevention cost-effective? </w:t>
      </w:r>
      <w:r w:rsidRPr="00E85D18">
        <w:rPr>
          <w:rFonts w:ascii="Times New Roman" w:hAnsi="Times New Roman" w:cs="Times New Roman"/>
          <w:i/>
          <w:iCs/>
          <w:noProof/>
          <w:sz w:val="24"/>
          <w:szCs w:val="24"/>
          <w:lang w:val="en-US"/>
        </w:rPr>
        <w:t>Bone</w:t>
      </w:r>
      <w:r w:rsidRPr="00E85D18">
        <w:rPr>
          <w:rFonts w:ascii="Times New Roman" w:hAnsi="Times New Roman" w:cs="Times New Roman"/>
          <w:noProof/>
          <w:sz w:val="24"/>
          <w:szCs w:val="24"/>
          <w:lang w:val="en-US"/>
        </w:rPr>
        <w:t xml:space="preserve"> 2006;38:694–700.</w:t>
      </w:r>
    </w:p>
    <w:p w14:paraId="4EEAFF52"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14 </w:t>
      </w:r>
      <w:r w:rsidRPr="00E85D18">
        <w:rPr>
          <w:rFonts w:ascii="Times New Roman" w:hAnsi="Times New Roman" w:cs="Times New Roman"/>
          <w:noProof/>
          <w:sz w:val="24"/>
          <w:szCs w:val="24"/>
          <w:lang w:val="en-US"/>
        </w:rPr>
        <w:tab/>
        <w:t xml:space="preserve">Siris ES, Chen YT, Abbott TA et al. Bone mineral density thresholds for pharmacological intervention to prevent fractures. </w:t>
      </w:r>
      <w:r w:rsidRPr="00E85D18">
        <w:rPr>
          <w:rFonts w:ascii="Times New Roman" w:hAnsi="Times New Roman" w:cs="Times New Roman"/>
          <w:i/>
          <w:iCs/>
          <w:noProof/>
          <w:sz w:val="24"/>
          <w:szCs w:val="24"/>
          <w:lang w:val="en-US"/>
        </w:rPr>
        <w:t>Arch Intern Med</w:t>
      </w:r>
      <w:r w:rsidRPr="00E85D18">
        <w:rPr>
          <w:rFonts w:ascii="Times New Roman" w:hAnsi="Times New Roman" w:cs="Times New Roman"/>
          <w:noProof/>
          <w:sz w:val="24"/>
          <w:szCs w:val="24"/>
          <w:lang w:val="en-US"/>
        </w:rPr>
        <w:t xml:space="preserve"> 2004;164:1108–1112.</w:t>
      </w:r>
    </w:p>
    <w:p w14:paraId="2851BCBD"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85D18">
        <w:rPr>
          <w:rFonts w:ascii="Times New Roman" w:hAnsi="Times New Roman" w:cs="Times New Roman"/>
          <w:noProof/>
          <w:sz w:val="24"/>
          <w:szCs w:val="24"/>
          <w:lang w:val="en-US"/>
        </w:rPr>
        <w:t xml:space="preserve">15 </w:t>
      </w:r>
      <w:r w:rsidRPr="00E85D18">
        <w:rPr>
          <w:rFonts w:ascii="Times New Roman" w:hAnsi="Times New Roman" w:cs="Times New Roman"/>
          <w:noProof/>
          <w:sz w:val="24"/>
          <w:szCs w:val="24"/>
          <w:lang w:val="en-US"/>
        </w:rPr>
        <w:tab/>
        <w:t xml:space="preserve">Bergman J, Nordström A, Nordström P. Bisphosphonate use after clinical fracture and risk of new fracture. </w:t>
      </w:r>
      <w:r w:rsidRPr="00E85D18">
        <w:rPr>
          <w:rFonts w:ascii="Times New Roman" w:hAnsi="Times New Roman" w:cs="Times New Roman"/>
          <w:i/>
          <w:iCs/>
          <w:noProof/>
          <w:sz w:val="24"/>
          <w:szCs w:val="24"/>
        </w:rPr>
        <w:t>Osteoporos Int</w:t>
      </w:r>
      <w:r w:rsidRPr="00E85D18">
        <w:rPr>
          <w:rFonts w:ascii="Times New Roman" w:hAnsi="Times New Roman" w:cs="Times New Roman"/>
          <w:noProof/>
          <w:sz w:val="24"/>
          <w:szCs w:val="24"/>
        </w:rPr>
        <w:t xml:space="preserve"> 2018;29:937–945.</w:t>
      </w:r>
    </w:p>
    <w:p w14:paraId="62C2713B"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85D18">
        <w:rPr>
          <w:rFonts w:ascii="Times New Roman" w:hAnsi="Times New Roman" w:cs="Times New Roman"/>
          <w:noProof/>
          <w:sz w:val="24"/>
          <w:szCs w:val="24"/>
        </w:rPr>
        <w:t xml:space="preserve">16 </w:t>
      </w:r>
      <w:r w:rsidRPr="00E85D18">
        <w:rPr>
          <w:rFonts w:ascii="Times New Roman" w:hAnsi="Times New Roman" w:cs="Times New Roman"/>
          <w:noProof/>
          <w:sz w:val="24"/>
          <w:szCs w:val="24"/>
        </w:rPr>
        <w:tab/>
        <w:t>Socialstyrelsen, Sveriges kommuner och landsting. Öppna jämförelser 2014: Hälso- och sjukvård - jämförelser mellan landsting. Del 2. Indikatorer om sjukdomar och behandlingar. Stockholm, 2014.</w:t>
      </w:r>
    </w:p>
    <w:p w14:paraId="587EC4B7"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85D18">
        <w:rPr>
          <w:rFonts w:ascii="Times New Roman" w:hAnsi="Times New Roman" w:cs="Times New Roman"/>
          <w:noProof/>
          <w:sz w:val="24"/>
          <w:szCs w:val="24"/>
        </w:rPr>
        <w:lastRenderedPageBreak/>
        <w:t xml:space="preserve">17 </w:t>
      </w:r>
      <w:r w:rsidRPr="00E85D18">
        <w:rPr>
          <w:rFonts w:ascii="Times New Roman" w:hAnsi="Times New Roman" w:cs="Times New Roman"/>
          <w:noProof/>
          <w:sz w:val="24"/>
          <w:szCs w:val="24"/>
        </w:rPr>
        <w:tab/>
        <w:t xml:space="preserve">Aclasta: European Public Assessment Report (EPAR) - Product Information, Annex 1 - Summary of product characteristics (31/07/2019 Aclasta - EMEA/H/C/000595 - II/0072). </w:t>
      </w:r>
    </w:p>
    <w:p w14:paraId="124D89FC"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18 </w:t>
      </w:r>
      <w:r w:rsidRPr="00E85D18">
        <w:rPr>
          <w:rFonts w:ascii="Times New Roman" w:hAnsi="Times New Roman" w:cs="Times New Roman"/>
          <w:noProof/>
          <w:sz w:val="24"/>
          <w:szCs w:val="24"/>
          <w:lang w:val="en-US"/>
        </w:rPr>
        <w:tab/>
        <w:t xml:space="preserve">Compston JE, McClung MR, Leslie WD. Osteoporosis. </w:t>
      </w:r>
      <w:r w:rsidRPr="00E85D18">
        <w:rPr>
          <w:rFonts w:ascii="Times New Roman" w:hAnsi="Times New Roman" w:cs="Times New Roman"/>
          <w:i/>
          <w:iCs/>
          <w:noProof/>
          <w:sz w:val="24"/>
          <w:szCs w:val="24"/>
          <w:lang w:val="en-US"/>
        </w:rPr>
        <w:t>Lancet</w:t>
      </w:r>
      <w:r w:rsidRPr="00E85D18">
        <w:rPr>
          <w:rFonts w:ascii="Times New Roman" w:hAnsi="Times New Roman" w:cs="Times New Roman"/>
          <w:noProof/>
          <w:sz w:val="24"/>
          <w:szCs w:val="24"/>
          <w:lang w:val="en-US"/>
        </w:rPr>
        <w:t xml:space="preserve"> 2019;393:364–376.</w:t>
      </w:r>
    </w:p>
    <w:p w14:paraId="43B3326F"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19 </w:t>
      </w:r>
      <w:r w:rsidRPr="00E85D18">
        <w:rPr>
          <w:rFonts w:ascii="Times New Roman" w:hAnsi="Times New Roman" w:cs="Times New Roman"/>
          <w:noProof/>
          <w:sz w:val="24"/>
          <w:szCs w:val="24"/>
          <w:lang w:val="en-US"/>
        </w:rPr>
        <w:tab/>
        <w:t xml:space="preserve">Black DM, Delmas PD, Eastell R et al. Once-yearly zoledronic acid for treatment of postmenopausal osteoporosis. </w:t>
      </w:r>
      <w:r w:rsidRPr="00E85D18">
        <w:rPr>
          <w:rFonts w:ascii="Times New Roman" w:hAnsi="Times New Roman" w:cs="Times New Roman"/>
          <w:i/>
          <w:iCs/>
          <w:noProof/>
          <w:sz w:val="24"/>
          <w:szCs w:val="24"/>
          <w:lang w:val="en-US"/>
        </w:rPr>
        <w:t>N Engl J Med</w:t>
      </w:r>
      <w:r w:rsidRPr="00E85D18">
        <w:rPr>
          <w:rFonts w:ascii="Times New Roman" w:hAnsi="Times New Roman" w:cs="Times New Roman"/>
          <w:noProof/>
          <w:sz w:val="24"/>
          <w:szCs w:val="24"/>
          <w:lang w:val="en-US"/>
        </w:rPr>
        <w:t xml:space="preserve"> 2007;356:1809–1822.</w:t>
      </w:r>
    </w:p>
    <w:p w14:paraId="4CA29468"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20 </w:t>
      </w:r>
      <w:r w:rsidRPr="00E85D18">
        <w:rPr>
          <w:rFonts w:ascii="Times New Roman" w:hAnsi="Times New Roman" w:cs="Times New Roman"/>
          <w:noProof/>
          <w:sz w:val="24"/>
          <w:szCs w:val="24"/>
          <w:lang w:val="en-US"/>
        </w:rPr>
        <w:tab/>
        <w:t xml:space="preserve">Lyles KW, Colón-Emeric CS, Magaziner JS et al. Zoledronic acid and clinical fractures and mortality after hip fracture. </w:t>
      </w:r>
      <w:r w:rsidRPr="00E85D18">
        <w:rPr>
          <w:rFonts w:ascii="Times New Roman" w:hAnsi="Times New Roman" w:cs="Times New Roman"/>
          <w:i/>
          <w:iCs/>
          <w:noProof/>
          <w:sz w:val="24"/>
          <w:szCs w:val="24"/>
          <w:lang w:val="en-US"/>
        </w:rPr>
        <w:t>N Engl J Med</w:t>
      </w:r>
      <w:r w:rsidRPr="00E85D18">
        <w:rPr>
          <w:rFonts w:ascii="Times New Roman" w:hAnsi="Times New Roman" w:cs="Times New Roman"/>
          <w:noProof/>
          <w:sz w:val="24"/>
          <w:szCs w:val="24"/>
          <w:lang w:val="en-US"/>
        </w:rPr>
        <w:t xml:space="preserve"> 2007;357:1799–1809.</w:t>
      </w:r>
    </w:p>
    <w:p w14:paraId="14242995" w14:textId="77777777" w:rsidR="00E85D18" w:rsidRPr="00A87467"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85D18">
        <w:rPr>
          <w:rFonts w:ascii="Times New Roman" w:hAnsi="Times New Roman" w:cs="Times New Roman"/>
          <w:noProof/>
          <w:sz w:val="24"/>
          <w:szCs w:val="24"/>
          <w:lang w:val="en-US"/>
        </w:rPr>
        <w:t xml:space="preserve">21 </w:t>
      </w:r>
      <w:r w:rsidRPr="00E85D18">
        <w:rPr>
          <w:rFonts w:ascii="Times New Roman" w:hAnsi="Times New Roman" w:cs="Times New Roman"/>
          <w:noProof/>
          <w:sz w:val="24"/>
          <w:szCs w:val="24"/>
          <w:lang w:val="en-US"/>
        </w:rPr>
        <w:tab/>
        <w:t xml:space="preserve">Reid IR, Horne AM, Mihov B et al. Fracture prevention with zoledronate in older women with osteopenia. </w:t>
      </w:r>
      <w:r w:rsidRPr="003F1D8C">
        <w:rPr>
          <w:rFonts w:ascii="Times New Roman" w:hAnsi="Times New Roman" w:cs="Times New Roman"/>
          <w:i/>
          <w:iCs/>
          <w:noProof/>
          <w:sz w:val="24"/>
          <w:szCs w:val="24"/>
        </w:rPr>
        <w:t>N Engl J Med</w:t>
      </w:r>
      <w:r w:rsidRPr="00A87467">
        <w:rPr>
          <w:rFonts w:ascii="Times New Roman" w:hAnsi="Times New Roman" w:cs="Times New Roman"/>
          <w:noProof/>
          <w:sz w:val="24"/>
          <w:szCs w:val="24"/>
        </w:rPr>
        <w:t xml:space="preserve"> 2018;379:2407–2416.</w:t>
      </w:r>
    </w:p>
    <w:p w14:paraId="4A5BFDC3"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rPr>
        <w:t xml:space="preserve">22 </w:t>
      </w:r>
      <w:r w:rsidRPr="00E85D18">
        <w:rPr>
          <w:rFonts w:ascii="Times New Roman" w:hAnsi="Times New Roman" w:cs="Times New Roman"/>
          <w:noProof/>
          <w:sz w:val="24"/>
          <w:szCs w:val="24"/>
        </w:rPr>
        <w:tab/>
        <w:t xml:space="preserve">Boonen S, Reginster JY, Kaufman JM et al. </w:t>
      </w:r>
      <w:r w:rsidRPr="00E85D18">
        <w:rPr>
          <w:rFonts w:ascii="Times New Roman" w:hAnsi="Times New Roman" w:cs="Times New Roman"/>
          <w:noProof/>
          <w:sz w:val="24"/>
          <w:szCs w:val="24"/>
          <w:lang w:val="en-US"/>
        </w:rPr>
        <w:t xml:space="preserve">Fracture risk and zoledronic acid therapy in men with osteoporosis. </w:t>
      </w:r>
      <w:r w:rsidRPr="00E85D18">
        <w:rPr>
          <w:rFonts w:ascii="Times New Roman" w:hAnsi="Times New Roman" w:cs="Times New Roman"/>
          <w:i/>
          <w:iCs/>
          <w:noProof/>
          <w:sz w:val="24"/>
          <w:szCs w:val="24"/>
          <w:lang w:val="en-US"/>
        </w:rPr>
        <w:t>N Engl J Med</w:t>
      </w:r>
      <w:r w:rsidRPr="00E85D18">
        <w:rPr>
          <w:rFonts w:ascii="Times New Roman" w:hAnsi="Times New Roman" w:cs="Times New Roman"/>
          <w:noProof/>
          <w:sz w:val="24"/>
          <w:szCs w:val="24"/>
          <w:lang w:val="en-US"/>
        </w:rPr>
        <w:t xml:space="preserve"> 2012;367:1714–23.</w:t>
      </w:r>
    </w:p>
    <w:p w14:paraId="46230A5D"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23 </w:t>
      </w:r>
      <w:r w:rsidRPr="00E85D18">
        <w:rPr>
          <w:rFonts w:ascii="Times New Roman" w:hAnsi="Times New Roman" w:cs="Times New Roman"/>
          <w:noProof/>
          <w:sz w:val="24"/>
          <w:szCs w:val="24"/>
          <w:lang w:val="en-US"/>
        </w:rPr>
        <w:tab/>
        <w:t xml:space="preserve">Khan AA, Morrison A, Hanley DA et al. Diagnosis and management of osteonecrosis of the jaw: a systematic review and international consensus. </w:t>
      </w:r>
      <w:r w:rsidRPr="00E85D18">
        <w:rPr>
          <w:rFonts w:ascii="Times New Roman" w:hAnsi="Times New Roman" w:cs="Times New Roman"/>
          <w:i/>
          <w:iCs/>
          <w:noProof/>
          <w:sz w:val="24"/>
          <w:szCs w:val="24"/>
          <w:lang w:val="en-US"/>
        </w:rPr>
        <w:t>J Bone Miner Res</w:t>
      </w:r>
      <w:r w:rsidRPr="00E85D18">
        <w:rPr>
          <w:rFonts w:ascii="Times New Roman" w:hAnsi="Times New Roman" w:cs="Times New Roman"/>
          <w:noProof/>
          <w:sz w:val="24"/>
          <w:szCs w:val="24"/>
          <w:lang w:val="en-US"/>
        </w:rPr>
        <w:t xml:space="preserve"> 2015;30:3–23.</w:t>
      </w:r>
    </w:p>
    <w:p w14:paraId="49517A89"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24 </w:t>
      </w:r>
      <w:r w:rsidRPr="00E85D18">
        <w:rPr>
          <w:rFonts w:ascii="Times New Roman" w:hAnsi="Times New Roman" w:cs="Times New Roman"/>
          <w:noProof/>
          <w:sz w:val="24"/>
          <w:szCs w:val="24"/>
          <w:lang w:val="en-US"/>
        </w:rPr>
        <w:tab/>
        <w:t xml:space="preserve">Shane E, Burr D, Abrahamsen B et al. Atypical subtrochanteric and diaphyseal femoral fractures: second report of a task force of the American Society for Bone and Mineral Research. </w:t>
      </w:r>
      <w:r w:rsidRPr="00E85D18">
        <w:rPr>
          <w:rFonts w:ascii="Times New Roman" w:hAnsi="Times New Roman" w:cs="Times New Roman"/>
          <w:i/>
          <w:iCs/>
          <w:noProof/>
          <w:sz w:val="24"/>
          <w:szCs w:val="24"/>
          <w:lang w:val="en-US"/>
        </w:rPr>
        <w:t>J Bone Miner Res</w:t>
      </w:r>
      <w:r w:rsidRPr="00E85D18">
        <w:rPr>
          <w:rFonts w:ascii="Times New Roman" w:hAnsi="Times New Roman" w:cs="Times New Roman"/>
          <w:noProof/>
          <w:sz w:val="24"/>
          <w:szCs w:val="24"/>
          <w:lang w:val="en-US"/>
        </w:rPr>
        <w:t xml:space="preserve"> 2014;29:1–23.</w:t>
      </w:r>
    </w:p>
    <w:p w14:paraId="55D6B10F"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25 </w:t>
      </w:r>
      <w:r w:rsidRPr="00E85D18">
        <w:rPr>
          <w:rFonts w:ascii="Times New Roman" w:hAnsi="Times New Roman" w:cs="Times New Roman"/>
          <w:noProof/>
          <w:sz w:val="24"/>
          <w:szCs w:val="24"/>
          <w:lang w:val="en-US"/>
        </w:rPr>
        <w:tab/>
        <w:t xml:space="preserve">Schilcher J, Michaëlsson K, Aspenberg P. Bisphosphonate use and atypical fractures of the femoral shaft. </w:t>
      </w:r>
      <w:r w:rsidRPr="00E85D18">
        <w:rPr>
          <w:rFonts w:ascii="Times New Roman" w:hAnsi="Times New Roman" w:cs="Times New Roman"/>
          <w:i/>
          <w:iCs/>
          <w:noProof/>
          <w:sz w:val="24"/>
          <w:szCs w:val="24"/>
          <w:lang w:val="en-US"/>
        </w:rPr>
        <w:t>N Engl J Med</w:t>
      </w:r>
      <w:r w:rsidRPr="00E85D18">
        <w:rPr>
          <w:rFonts w:ascii="Times New Roman" w:hAnsi="Times New Roman" w:cs="Times New Roman"/>
          <w:noProof/>
          <w:sz w:val="24"/>
          <w:szCs w:val="24"/>
          <w:lang w:val="en-US"/>
        </w:rPr>
        <w:t xml:space="preserve"> 2011;365:1728–1737.</w:t>
      </w:r>
    </w:p>
    <w:p w14:paraId="28537DBE"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26 </w:t>
      </w:r>
      <w:r w:rsidRPr="00E85D18">
        <w:rPr>
          <w:rFonts w:ascii="Times New Roman" w:hAnsi="Times New Roman" w:cs="Times New Roman"/>
          <w:noProof/>
          <w:sz w:val="24"/>
          <w:szCs w:val="24"/>
          <w:lang w:val="en-US"/>
        </w:rPr>
        <w:tab/>
        <w:t xml:space="preserve">Black D, Kelly M, Genant H et al. Bisphosphonates and fractures of the subtrochanteric or diaphyseal femur. </w:t>
      </w:r>
      <w:r w:rsidRPr="00E85D18">
        <w:rPr>
          <w:rFonts w:ascii="Times New Roman" w:hAnsi="Times New Roman" w:cs="Times New Roman"/>
          <w:i/>
          <w:iCs/>
          <w:noProof/>
          <w:sz w:val="24"/>
          <w:szCs w:val="24"/>
          <w:lang w:val="en-US"/>
        </w:rPr>
        <w:t>N Engl J Med</w:t>
      </w:r>
      <w:r w:rsidRPr="00E85D18">
        <w:rPr>
          <w:rFonts w:ascii="Times New Roman" w:hAnsi="Times New Roman" w:cs="Times New Roman"/>
          <w:noProof/>
          <w:sz w:val="24"/>
          <w:szCs w:val="24"/>
          <w:lang w:val="en-US"/>
        </w:rPr>
        <w:t xml:space="preserve"> 2010;362:1761–1771.</w:t>
      </w:r>
    </w:p>
    <w:p w14:paraId="260BAE14"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85D18">
        <w:rPr>
          <w:rFonts w:ascii="Times New Roman" w:hAnsi="Times New Roman" w:cs="Times New Roman"/>
          <w:noProof/>
          <w:sz w:val="24"/>
          <w:szCs w:val="24"/>
          <w:lang w:val="en-US"/>
        </w:rPr>
        <w:t xml:space="preserve">27 </w:t>
      </w:r>
      <w:r w:rsidRPr="00E85D18">
        <w:rPr>
          <w:rFonts w:ascii="Times New Roman" w:hAnsi="Times New Roman" w:cs="Times New Roman"/>
          <w:noProof/>
          <w:sz w:val="24"/>
          <w:szCs w:val="24"/>
          <w:lang w:val="en-US"/>
        </w:rPr>
        <w:tab/>
        <w:t xml:space="preserve">Solomon DH, Johnston SS, Boytsov NN, McMorrow D, Lane JM, Krohn KD. Osteoporosis medication use after hip fracture in U.S. patients between 2002 and 2011. </w:t>
      </w:r>
      <w:r w:rsidRPr="00E85D18">
        <w:rPr>
          <w:rFonts w:ascii="Times New Roman" w:hAnsi="Times New Roman" w:cs="Times New Roman"/>
          <w:i/>
          <w:iCs/>
          <w:noProof/>
          <w:sz w:val="24"/>
          <w:szCs w:val="24"/>
        </w:rPr>
        <w:t>J Bone Miner Res</w:t>
      </w:r>
      <w:r w:rsidRPr="00E85D18">
        <w:rPr>
          <w:rFonts w:ascii="Times New Roman" w:hAnsi="Times New Roman" w:cs="Times New Roman"/>
          <w:noProof/>
          <w:sz w:val="24"/>
          <w:szCs w:val="24"/>
        </w:rPr>
        <w:t xml:space="preserve"> 2014;29:1929–1937.</w:t>
      </w:r>
    </w:p>
    <w:p w14:paraId="2921F6C1" w14:textId="77777777" w:rsidR="00E85D18" w:rsidRPr="0038183D"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rPr>
        <w:t xml:space="preserve">28 </w:t>
      </w:r>
      <w:r w:rsidRPr="00E85D18">
        <w:rPr>
          <w:rFonts w:ascii="Times New Roman" w:hAnsi="Times New Roman" w:cs="Times New Roman"/>
          <w:noProof/>
          <w:sz w:val="24"/>
          <w:szCs w:val="24"/>
        </w:rPr>
        <w:tab/>
        <w:t xml:space="preserve">Kranenburg G, Bartstra JW, Weijmans M et al. </w:t>
      </w:r>
      <w:r w:rsidRPr="00E85D18">
        <w:rPr>
          <w:rFonts w:ascii="Times New Roman" w:hAnsi="Times New Roman" w:cs="Times New Roman"/>
          <w:noProof/>
          <w:sz w:val="24"/>
          <w:szCs w:val="24"/>
          <w:lang w:val="en-US"/>
        </w:rPr>
        <w:t xml:space="preserve">Bisphosphonates for cardiovascular risk reduction: a systematic review and meta-analysis. </w:t>
      </w:r>
      <w:r w:rsidRPr="0038183D">
        <w:rPr>
          <w:rFonts w:ascii="Times New Roman" w:hAnsi="Times New Roman" w:cs="Times New Roman"/>
          <w:i/>
          <w:iCs/>
          <w:noProof/>
          <w:sz w:val="24"/>
          <w:szCs w:val="24"/>
          <w:lang w:val="en-US"/>
        </w:rPr>
        <w:t>Atherosclerosis</w:t>
      </w:r>
      <w:r w:rsidRPr="0038183D">
        <w:rPr>
          <w:rFonts w:ascii="Times New Roman" w:hAnsi="Times New Roman" w:cs="Times New Roman"/>
          <w:noProof/>
          <w:sz w:val="24"/>
          <w:szCs w:val="24"/>
          <w:lang w:val="en-US"/>
        </w:rPr>
        <w:t xml:space="preserve"> 2016;252:106–115.</w:t>
      </w:r>
    </w:p>
    <w:p w14:paraId="17041A84" w14:textId="77777777" w:rsidR="00E85D18" w:rsidRPr="0038183D"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29 </w:t>
      </w:r>
      <w:r w:rsidRPr="00E85D18">
        <w:rPr>
          <w:rFonts w:ascii="Times New Roman" w:hAnsi="Times New Roman" w:cs="Times New Roman"/>
          <w:noProof/>
          <w:sz w:val="24"/>
          <w:szCs w:val="24"/>
          <w:lang w:val="en-US"/>
        </w:rPr>
        <w:tab/>
        <w:t xml:space="preserve">Sing CW, Wong AY, Kiel DP et al. Association of alendronate and risk of cardiovascular events in patients with hip fracture. </w:t>
      </w:r>
      <w:r w:rsidRPr="0038183D">
        <w:rPr>
          <w:rFonts w:ascii="Times New Roman" w:hAnsi="Times New Roman" w:cs="Times New Roman"/>
          <w:i/>
          <w:iCs/>
          <w:noProof/>
          <w:sz w:val="24"/>
          <w:szCs w:val="24"/>
          <w:lang w:val="en-US"/>
        </w:rPr>
        <w:t>J Bone Miner Res</w:t>
      </w:r>
      <w:r w:rsidRPr="0038183D">
        <w:rPr>
          <w:rFonts w:ascii="Times New Roman" w:hAnsi="Times New Roman" w:cs="Times New Roman"/>
          <w:noProof/>
          <w:sz w:val="24"/>
          <w:szCs w:val="24"/>
          <w:lang w:val="en-US"/>
        </w:rPr>
        <w:t xml:space="preserve"> 2018;33:1422–1434.</w:t>
      </w:r>
    </w:p>
    <w:p w14:paraId="1379E99C"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30 </w:t>
      </w:r>
      <w:r w:rsidRPr="00E85D18">
        <w:rPr>
          <w:rFonts w:ascii="Times New Roman" w:hAnsi="Times New Roman" w:cs="Times New Roman"/>
          <w:noProof/>
          <w:sz w:val="24"/>
          <w:szCs w:val="24"/>
          <w:lang w:val="en-US"/>
        </w:rPr>
        <w:tab/>
        <w:t xml:space="preserve">Colón-Emeric CS, Mesenbrink P, Lyles KW et al. Potential mediators of the mortality reduction with zoledronic acid after hip fracture. </w:t>
      </w:r>
      <w:r w:rsidRPr="00E85D18">
        <w:rPr>
          <w:rFonts w:ascii="Times New Roman" w:hAnsi="Times New Roman" w:cs="Times New Roman"/>
          <w:i/>
          <w:iCs/>
          <w:noProof/>
          <w:sz w:val="24"/>
          <w:szCs w:val="24"/>
          <w:lang w:val="en-US"/>
        </w:rPr>
        <w:t>J Bone Miner Res</w:t>
      </w:r>
      <w:r w:rsidRPr="00E85D18">
        <w:rPr>
          <w:rFonts w:ascii="Times New Roman" w:hAnsi="Times New Roman" w:cs="Times New Roman"/>
          <w:noProof/>
          <w:sz w:val="24"/>
          <w:szCs w:val="24"/>
          <w:lang w:val="en-US"/>
        </w:rPr>
        <w:t xml:space="preserve"> 2010;25:91–97.</w:t>
      </w:r>
    </w:p>
    <w:p w14:paraId="4703CD3A"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31 </w:t>
      </w:r>
      <w:r w:rsidRPr="00E85D18">
        <w:rPr>
          <w:rFonts w:ascii="Times New Roman" w:hAnsi="Times New Roman" w:cs="Times New Roman"/>
          <w:noProof/>
          <w:sz w:val="24"/>
          <w:szCs w:val="24"/>
          <w:lang w:val="en-US"/>
        </w:rPr>
        <w:tab/>
        <w:t xml:space="preserve">Cummings SR, Martin JS, McClung MR et al. Denosumab for prevention of fractures in postmenopausal women with osteoporosis. </w:t>
      </w:r>
      <w:r w:rsidRPr="00E85D18">
        <w:rPr>
          <w:rFonts w:ascii="Times New Roman" w:hAnsi="Times New Roman" w:cs="Times New Roman"/>
          <w:i/>
          <w:iCs/>
          <w:noProof/>
          <w:sz w:val="24"/>
          <w:szCs w:val="24"/>
          <w:lang w:val="en-US"/>
        </w:rPr>
        <w:t>N Engl J Med</w:t>
      </w:r>
      <w:r w:rsidRPr="00E85D18">
        <w:rPr>
          <w:rFonts w:ascii="Times New Roman" w:hAnsi="Times New Roman" w:cs="Times New Roman"/>
          <w:noProof/>
          <w:sz w:val="24"/>
          <w:szCs w:val="24"/>
          <w:lang w:val="en-US"/>
        </w:rPr>
        <w:t xml:space="preserve"> 2009;361:756–765.</w:t>
      </w:r>
    </w:p>
    <w:p w14:paraId="77E515D0"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32 </w:t>
      </w:r>
      <w:r w:rsidRPr="00E85D18">
        <w:rPr>
          <w:rFonts w:ascii="Times New Roman" w:hAnsi="Times New Roman" w:cs="Times New Roman"/>
          <w:noProof/>
          <w:sz w:val="24"/>
          <w:szCs w:val="24"/>
          <w:lang w:val="en-US"/>
        </w:rPr>
        <w:tab/>
        <w:t xml:space="preserve">Boonen S, McClung MR, Eastell R, Fuleihan GEH, Barton IP, Delmas P. Safety and efficacy of risedronate in reducing fracture risk in osteoporotic women aged 80 and older: implications for the use of antiresorptive agents in the old and oldest old. </w:t>
      </w:r>
      <w:r w:rsidRPr="00E85D18">
        <w:rPr>
          <w:rFonts w:ascii="Times New Roman" w:hAnsi="Times New Roman" w:cs="Times New Roman"/>
          <w:i/>
          <w:iCs/>
          <w:noProof/>
          <w:sz w:val="24"/>
          <w:szCs w:val="24"/>
          <w:lang w:val="en-US"/>
        </w:rPr>
        <w:t>J Am Geriatr Soc</w:t>
      </w:r>
      <w:r w:rsidRPr="00E85D18">
        <w:rPr>
          <w:rFonts w:ascii="Times New Roman" w:hAnsi="Times New Roman" w:cs="Times New Roman"/>
          <w:noProof/>
          <w:sz w:val="24"/>
          <w:szCs w:val="24"/>
          <w:lang w:val="en-US"/>
        </w:rPr>
        <w:t xml:space="preserve"> 2004;52:1832–1839.</w:t>
      </w:r>
    </w:p>
    <w:p w14:paraId="2A82D469"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33 </w:t>
      </w:r>
      <w:r w:rsidRPr="00E85D18">
        <w:rPr>
          <w:rFonts w:ascii="Times New Roman" w:hAnsi="Times New Roman" w:cs="Times New Roman"/>
          <w:noProof/>
          <w:sz w:val="24"/>
          <w:szCs w:val="24"/>
          <w:lang w:val="en-US"/>
        </w:rPr>
        <w:tab/>
        <w:t xml:space="preserve">Boonen S, Black DM, Colón-Emeric CS et al. Efficacy and safety of a once-yearly intravenous zoledronic acid 5 mg for fracture prevention in elderly postmenopausal women with osteoporosis aged 75 and older. </w:t>
      </w:r>
      <w:r w:rsidRPr="00E85D18">
        <w:rPr>
          <w:rFonts w:ascii="Times New Roman" w:hAnsi="Times New Roman" w:cs="Times New Roman"/>
          <w:i/>
          <w:iCs/>
          <w:noProof/>
          <w:sz w:val="24"/>
          <w:szCs w:val="24"/>
          <w:lang w:val="en-US"/>
        </w:rPr>
        <w:t>J Am Geriatr Soc</w:t>
      </w:r>
      <w:r w:rsidRPr="00E85D18">
        <w:rPr>
          <w:rFonts w:ascii="Times New Roman" w:hAnsi="Times New Roman" w:cs="Times New Roman"/>
          <w:noProof/>
          <w:sz w:val="24"/>
          <w:szCs w:val="24"/>
          <w:lang w:val="en-US"/>
        </w:rPr>
        <w:t xml:space="preserve"> 2010;58:292–299.</w:t>
      </w:r>
    </w:p>
    <w:p w14:paraId="781B7FC1"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34 </w:t>
      </w:r>
      <w:r w:rsidRPr="00E85D18">
        <w:rPr>
          <w:rFonts w:ascii="Times New Roman" w:hAnsi="Times New Roman" w:cs="Times New Roman"/>
          <w:noProof/>
          <w:sz w:val="24"/>
          <w:szCs w:val="24"/>
          <w:lang w:val="en-US"/>
        </w:rPr>
        <w:tab/>
        <w:t xml:space="preserve">Johnell K, Fastbom J. Undertreatment of osteoporosis in the oldest old? A nationwide study of over 700,000 older people. </w:t>
      </w:r>
      <w:r w:rsidRPr="00E85D18">
        <w:rPr>
          <w:rFonts w:ascii="Times New Roman" w:hAnsi="Times New Roman" w:cs="Times New Roman"/>
          <w:i/>
          <w:iCs/>
          <w:noProof/>
          <w:sz w:val="24"/>
          <w:szCs w:val="24"/>
          <w:lang w:val="en-US"/>
        </w:rPr>
        <w:t>Arch Osteoporos</w:t>
      </w:r>
      <w:r w:rsidRPr="00E85D18">
        <w:rPr>
          <w:rFonts w:ascii="Times New Roman" w:hAnsi="Times New Roman" w:cs="Times New Roman"/>
          <w:noProof/>
          <w:sz w:val="24"/>
          <w:szCs w:val="24"/>
          <w:lang w:val="en-US"/>
        </w:rPr>
        <w:t xml:space="preserve"> 2009;4:17–23.</w:t>
      </w:r>
    </w:p>
    <w:p w14:paraId="5201177B"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35 </w:t>
      </w:r>
      <w:r w:rsidRPr="00E85D18">
        <w:rPr>
          <w:rFonts w:ascii="Times New Roman" w:hAnsi="Times New Roman" w:cs="Times New Roman"/>
          <w:noProof/>
          <w:sz w:val="24"/>
          <w:szCs w:val="24"/>
          <w:lang w:val="en-US"/>
        </w:rPr>
        <w:tab/>
        <w:t>Huang J, Romero-Suarez S, Lara N et al. Crosstalk Between MLO-Y4 Osteocytes and C2C12 Muscle Cells Is Mediated by the Wnt/</w:t>
      </w:r>
      <w:r w:rsidRPr="00E85D18">
        <w:rPr>
          <w:rFonts w:ascii="Times New Roman" w:hAnsi="Times New Roman" w:cs="Times New Roman"/>
          <w:noProof/>
          <w:sz w:val="24"/>
          <w:szCs w:val="24"/>
        </w:rPr>
        <w:t>β</w:t>
      </w:r>
      <w:r w:rsidRPr="00E85D18">
        <w:rPr>
          <w:rFonts w:ascii="Times New Roman" w:hAnsi="Times New Roman" w:cs="Times New Roman"/>
          <w:noProof/>
          <w:sz w:val="24"/>
          <w:szCs w:val="24"/>
          <w:lang w:val="en-US"/>
        </w:rPr>
        <w:t xml:space="preserve">-Catenin Pathway. </w:t>
      </w:r>
      <w:r w:rsidRPr="00E85D18">
        <w:rPr>
          <w:rFonts w:ascii="Times New Roman" w:hAnsi="Times New Roman" w:cs="Times New Roman"/>
          <w:i/>
          <w:iCs/>
          <w:noProof/>
          <w:sz w:val="24"/>
          <w:szCs w:val="24"/>
          <w:lang w:val="en-US"/>
        </w:rPr>
        <w:t>JBMR Plus</w:t>
      </w:r>
      <w:r w:rsidRPr="00E85D18">
        <w:rPr>
          <w:rFonts w:ascii="Times New Roman" w:hAnsi="Times New Roman" w:cs="Times New Roman"/>
          <w:noProof/>
          <w:sz w:val="24"/>
          <w:szCs w:val="24"/>
          <w:lang w:val="en-US"/>
        </w:rPr>
        <w:t xml:space="preserve"> 2017;1:86–100.</w:t>
      </w:r>
    </w:p>
    <w:p w14:paraId="0EEEBA01" w14:textId="77777777" w:rsidR="00E85D18" w:rsidRPr="00A87467"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85D18">
        <w:rPr>
          <w:rFonts w:ascii="Times New Roman" w:hAnsi="Times New Roman" w:cs="Times New Roman"/>
          <w:noProof/>
          <w:sz w:val="24"/>
          <w:szCs w:val="24"/>
          <w:lang w:val="en-US"/>
        </w:rPr>
        <w:t xml:space="preserve">36 </w:t>
      </w:r>
      <w:r w:rsidRPr="00E85D18">
        <w:rPr>
          <w:rFonts w:ascii="Times New Roman" w:hAnsi="Times New Roman" w:cs="Times New Roman"/>
          <w:noProof/>
          <w:sz w:val="24"/>
          <w:szCs w:val="24"/>
          <w:lang w:val="en-US"/>
        </w:rPr>
        <w:tab/>
        <w:t>Adachi JD, Lyles KW, Colón-Emeric CS et al. Zoledronic acid results in better health-</w:t>
      </w:r>
      <w:r w:rsidRPr="00E85D18">
        <w:rPr>
          <w:rFonts w:ascii="Times New Roman" w:hAnsi="Times New Roman" w:cs="Times New Roman"/>
          <w:noProof/>
          <w:sz w:val="24"/>
          <w:szCs w:val="24"/>
          <w:lang w:val="en-US"/>
        </w:rPr>
        <w:lastRenderedPageBreak/>
        <w:t xml:space="preserve">related quality of life following hip fracture: The HORIZON-Recurrent Fracture Trial. </w:t>
      </w:r>
      <w:r w:rsidRPr="003F1D8C">
        <w:rPr>
          <w:rFonts w:ascii="Times New Roman" w:hAnsi="Times New Roman" w:cs="Times New Roman"/>
          <w:i/>
          <w:iCs/>
          <w:noProof/>
          <w:sz w:val="24"/>
          <w:szCs w:val="24"/>
        </w:rPr>
        <w:t>Osteoporos Int</w:t>
      </w:r>
      <w:r w:rsidRPr="00A87467">
        <w:rPr>
          <w:rFonts w:ascii="Times New Roman" w:hAnsi="Times New Roman" w:cs="Times New Roman"/>
          <w:noProof/>
          <w:sz w:val="24"/>
          <w:szCs w:val="24"/>
        </w:rPr>
        <w:t xml:space="preserve"> 2011;22:2539–2549.</w:t>
      </w:r>
    </w:p>
    <w:p w14:paraId="7762768D"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85D18">
        <w:rPr>
          <w:rFonts w:ascii="Times New Roman" w:hAnsi="Times New Roman" w:cs="Times New Roman"/>
          <w:noProof/>
          <w:sz w:val="24"/>
          <w:szCs w:val="24"/>
        </w:rPr>
        <w:t xml:space="preserve">37 </w:t>
      </w:r>
      <w:r w:rsidRPr="00E85D18">
        <w:rPr>
          <w:rFonts w:ascii="Times New Roman" w:hAnsi="Times New Roman" w:cs="Times New Roman"/>
          <w:noProof/>
          <w:sz w:val="24"/>
          <w:szCs w:val="24"/>
        </w:rPr>
        <w:tab/>
        <w:t xml:space="preserve">Center JR, Bliuc D, Nguyen T V, Eisman JA. </w:t>
      </w:r>
      <w:r w:rsidRPr="00E85D18">
        <w:rPr>
          <w:rFonts w:ascii="Times New Roman" w:hAnsi="Times New Roman" w:cs="Times New Roman"/>
          <w:noProof/>
          <w:sz w:val="24"/>
          <w:szCs w:val="24"/>
          <w:lang w:val="en-US"/>
        </w:rPr>
        <w:t xml:space="preserve">Risk of subsequent fracture after low-trauma fracture in men and women. </w:t>
      </w:r>
      <w:r w:rsidRPr="00E85D18">
        <w:rPr>
          <w:rFonts w:ascii="Times New Roman" w:hAnsi="Times New Roman" w:cs="Times New Roman"/>
          <w:i/>
          <w:iCs/>
          <w:noProof/>
          <w:sz w:val="24"/>
          <w:szCs w:val="24"/>
        </w:rPr>
        <w:t>JAMA</w:t>
      </w:r>
      <w:r w:rsidRPr="00E85D18">
        <w:rPr>
          <w:rFonts w:ascii="Times New Roman" w:hAnsi="Times New Roman" w:cs="Times New Roman"/>
          <w:noProof/>
          <w:sz w:val="24"/>
          <w:szCs w:val="24"/>
        </w:rPr>
        <w:t xml:space="preserve"> 2007;297:387–394.</w:t>
      </w:r>
    </w:p>
    <w:p w14:paraId="176AF649"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rPr>
        <w:t xml:space="preserve">38 </w:t>
      </w:r>
      <w:r w:rsidRPr="00E85D18">
        <w:rPr>
          <w:rFonts w:ascii="Times New Roman" w:hAnsi="Times New Roman" w:cs="Times New Roman"/>
          <w:noProof/>
          <w:sz w:val="24"/>
          <w:szCs w:val="24"/>
        </w:rPr>
        <w:tab/>
        <w:t xml:space="preserve">van Geel TAMC, van Helden S, Geusens PP, Winkens B, Dinant GJ. </w:t>
      </w:r>
      <w:r w:rsidRPr="00E85D18">
        <w:rPr>
          <w:rFonts w:ascii="Times New Roman" w:hAnsi="Times New Roman" w:cs="Times New Roman"/>
          <w:noProof/>
          <w:sz w:val="24"/>
          <w:szCs w:val="24"/>
          <w:lang w:val="en-US"/>
        </w:rPr>
        <w:t xml:space="preserve">Clinical subsequent fractures cluster in time after first fractures. </w:t>
      </w:r>
      <w:r w:rsidRPr="00E85D18">
        <w:rPr>
          <w:rFonts w:ascii="Times New Roman" w:hAnsi="Times New Roman" w:cs="Times New Roman"/>
          <w:i/>
          <w:iCs/>
          <w:noProof/>
          <w:sz w:val="24"/>
          <w:szCs w:val="24"/>
          <w:lang w:val="en-US"/>
        </w:rPr>
        <w:t>Ann Rheum Dis</w:t>
      </w:r>
      <w:r w:rsidRPr="00E85D18">
        <w:rPr>
          <w:rFonts w:ascii="Times New Roman" w:hAnsi="Times New Roman" w:cs="Times New Roman"/>
          <w:noProof/>
          <w:sz w:val="24"/>
          <w:szCs w:val="24"/>
          <w:lang w:val="en-US"/>
        </w:rPr>
        <w:t xml:space="preserve"> 2009;68:99–102.</w:t>
      </w:r>
    </w:p>
    <w:p w14:paraId="7D771A1E" w14:textId="77777777" w:rsidR="00E85D18" w:rsidRPr="0038183D"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rPr>
        <w:t xml:space="preserve">39 </w:t>
      </w:r>
      <w:r w:rsidRPr="00E85D18">
        <w:rPr>
          <w:rFonts w:ascii="Times New Roman" w:hAnsi="Times New Roman" w:cs="Times New Roman"/>
          <w:noProof/>
          <w:sz w:val="24"/>
          <w:szCs w:val="24"/>
        </w:rPr>
        <w:tab/>
        <w:t xml:space="preserve">Socialstyrelsen. Nationella riktlinjer för rörelseorganens sjukdomar 2012: osteoporos, artros, inflammatorisk ryggsjukdom och ankyloserande spondylit, psoriasisartrit och reumatoid artrit: stöd för styrning och ledning. </w:t>
      </w:r>
      <w:r w:rsidRPr="0038183D">
        <w:rPr>
          <w:rFonts w:ascii="Times New Roman" w:hAnsi="Times New Roman" w:cs="Times New Roman"/>
          <w:noProof/>
          <w:sz w:val="24"/>
          <w:szCs w:val="24"/>
          <w:lang w:val="en-US"/>
        </w:rPr>
        <w:t>Stockholm, 2012.</w:t>
      </w:r>
    </w:p>
    <w:p w14:paraId="5D31FBAA"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40 </w:t>
      </w:r>
      <w:r w:rsidRPr="00E85D18">
        <w:rPr>
          <w:rFonts w:ascii="Times New Roman" w:hAnsi="Times New Roman" w:cs="Times New Roman"/>
          <w:noProof/>
          <w:sz w:val="24"/>
          <w:szCs w:val="24"/>
          <w:lang w:val="en-US"/>
        </w:rPr>
        <w:tab/>
        <w:t xml:space="preserve">Sanders KM, Stuart AL, Williamson EJ et al. Annual high-dose oral vitamin D and falls and fractures in older women: A randomized controlled trial. </w:t>
      </w:r>
      <w:r w:rsidRPr="00E85D18">
        <w:rPr>
          <w:rFonts w:ascii="Times New Roman" w:hAnsi="Times New Roman" w:cs="Times New Roman"/>
          <w:i/>
          <w:iCs/>
          <w:noProof/>
          <w:sz w:val="24"/>
          <w:szCs w:val="24"/>
          <w:lang w:val="en-US"/>
        </w:rPr>
        <w:t>JAMA - J Am Med Assoc</w:t>
      </w:r>
      <w:r w:rsidRPr="00E85D18">
        <w:rPr>
          <w:rFonts w:ascii="Times New Roman" w:hAnsi="Times New Roman" w:cs="Times New Roman"/>
          <w:noProof/>
          <w:sz w:val="24"/>
          <w:szCs w:val="24"/>
          <w:lang w:val="en-US"/>
        </w:rPr>
        <w:t xml:space="preserve"> 2010;303:1815–1822.</w:t>
      </w:r>
    </w:p>
    <w:p w14:paraId="619091E1"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41 </w:t>
      </w:r>
      <w:r w:rsidRPr="00E85D18">
        <w:rPr>
          <w:rFonts w:ascii="Times New Roman" w:hAnsi="Times New Roman" w:cs="Times New Roman"/>
          <w:noProof/>
          <w:sz w:val="24"/>
          <w:szCs w:val="24"/>
          <w:lang w:val="en-US"/>
        </w:rPr>
        <w:tab/>
        <w:t xml:space="preserve">Grey A, Bolland MJ, Horne A, Mihov B, Gamble G, Reid IR. Duration of antiresorptive activity of zoledronate in postmenopausal women with osteopenia: a randomized, controlled multidose trial. </w:t>
      </w:r>
      <w:r w:rsidRPr="00E85D18">
        <w:rPr>
          <w:rFonts w:ascii="Times New Roman" w:hAnsi="Times New Roman" w:cs="Times New Roman"/>
          <w:i/>
          <w:iCs/>
          <w:noProof/>
          <w:sz w:val="24"/>
          <w:szCs w:val="24"/>
          <w:lang w:val="en-US"/>
        </w:rPr>
        <w:t>CMAJ</w:t>
      </w:r>
      <w:r w:rsidRPr="00E85D18">
        <w:rPr>
          <w:rFonts w:ascii="Times New Roman" w:hAnsi="Times New Roman" w:cs="Times New Roman"/>
          <w:noProof/>
          <w:sz w:val="24"/>
          <w:szCs w:val="24"/>
          <w:lang w:val="en-US"/>
        </w:rPr>
        <w:t xml:space="preserve"> 2017;189:E1130–E1136.</w:t>
      </w:r>
    </w:p>
    <w:p w14:paraId="02395EE0"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85D18">
        <w:rPr>
          <w:rFonts w:ascii="Times New Roman" w:hAnsi="Times New Roman" w:cs="Times New Roman"/>
          <w:noProof/>
          <w:sz w:val="24"/>
          <w:szCs w:val="24"/>
          <w:lang w:val="en-US"/>
        </w:rPr>
        <w:t xml:space="preserve">42 </w:t>
      </w:r>
      <w:r w:rsidRPr="00E85D18">
        <w:rPr>
          <w:rFonts w:ascii="Times New Roman" w:hAnsi="Times New Roman" w:cs="Times New Roman"/>
          <w:noProof/>
          <w:sz w:val="24"/>
          <w:szCs w:val="24"/>
          <w:lang w:val="en-US"/>
        </w:rPr>
        <w:tab/>
        <w:t xml:space="preserve">Reid IR, Black DM, Eastell R et al. Reduction in the risk of clinical fractures after a single dose of zoledronic acid 5 milligrams. </w:t>
      </w:r>
      <w:r w:rsidRPr="00E85D18">
        <w:rPr>
          <w:rFonts w:ascii="Times New Roman" w:hAnsi="Times New Roman" w:cs="Times New Roman"/>
          <w:i/>
          <w:iCs/>
          <w:noProof/>
          <w:sz w:val="24"/>
          <w:szCs w:val="24"/>
        </w:rPr>
        <w:t>J Clin Endocrinol Metab</w:t>
      </w:r>
      <w:r w:rsidRPr="00E85D18">
        <w:rPr>
          <w:rFonts w:ascii="Times New Roman" w:hAnsi="Times New Roman" w:cs="Times New Roman"/>
          <w:noProof/>
          <w:sz w:val="24"/>
          <w:szCs w:val="24"/>
        </w:rPr>
        <w:t xml:space="preserve"> 2013;98:557–563.</w:t>
      </w:r>
    </w:p>
    <w:p w14:paraId="6DF96DB2" w14:textId="77777777" w:rsidR="00E85D18" w:rsidRPr="0038183D"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rPr>
        <w:t xml:space="preserve">43 </w:t>
      </w:r>
      <w:r w:rsidRPr="00E85D18">
        <w:rPr>
          <w:rFonts w:ascii="Times New Roman" w:hAnsi="Times New Roman" w:cs="Times New Roman"/>
          <w:noProof/>
          <w:sz w:val="24"/>
          <w:szCs w:val="24"/>
        </w:rPr>
        <w:tab/>
        <w:t xml:space="preserve">Sanders KM, Pasco JA, Ugoni AM et al. </w:t>
      </w:r>
      <w:r w:rsidRPr="00E85D18">
        <w:rPr>
          <w:rFonts w:ascii="Times New Roman" w:hAnsi="Times New Roman" w:cs="Times New Roman"/>
          <w:noProof/>
          <w:sz w:val="24"/>
          <w:szCs w:val="24"/>
          <w:lang w:val="en-US"/>
        </w:rPr>
        <w:t xml:space="preserve">The exclusion of high trauma fractures may underestimate the prevalence of bone fragility fractures in the community: The Geelong Osteoporosis Study. </w:t>
      </w:r>
      <w:r w:rsidRPr="0038183D">
        <w:rPr>
          <w:rFonts w:ascii="Times New Roman" w:hAnsi="Times New Roman" w:cs="Times New Roman"/>
          <w:i/>
          <w:iCs/>
          <w:noProof/>
          <w:sz w:val="24"/>
          <w:szCs w:val="24"/>
          <w:lang w:val="en-US"/>
        </w:rPr>
        <w:t>J Bone Miner Res</w:t>
      </w:r>
      <w:r w:rsidRPr="0038183D">
        <w:rPr>
          <w:rFonts w:ascii="Times New Roman" w:hAnsi="Times New Roman" w:cs="Times New Roman"/>
          <w:noProof/>
          <w:sz w:val="24"/>
          <w:szCs w:val="24"/>
          <w:lang w:val="en-US"/>
        </w:rPr>
        <w:t xml:space="preserve"> 1998;13:1337–1342.</w:t>
      </w:r>
    </w:p>
    <w:p w14:paraId="14F239F5"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44 </w:t>
      </w:r>
      <w:r w:rsidRPr="00E85D18">
        <w:rPr>
          <w:rFonts w:ascii="Times New Roman" w:hAnsi="Times New Roman" w:cs="Times New Roman"/>
          <w:noProof/>
          <w:sz w:val="24"/>
          <w:szCs w:val="24"/>
          <w:lang w:val="en-US"/>
        </w:rPr>
        <w:tab/>
        <w:t xml:space="preserve">Ludvigsson JF, Andersson E, Ekbom A et al. External review and validation of the Swedish national inpatient register. </w:t>
      </w:r>
      <w:r w:rsidRPr="00E85D18">
        <w:rPr>
          <w:rFonts w:ascii="Times New Roman" w:hAnsi="Times New Roman" w:cs="Times New Roman"/>
          <w:i/>
          <w:iCs/>
          <w:noProof/>
          <w:sz w:val="24"/>
          <w:szCs w:val="24"/>
          <w:lang w:val="en-US"/>
        </w:rPr>
        <w:t>BMC Public Health</w:t>
      </w:r>
      <w:r w:rsidRPr="00E85D18">
        <w:rPr>
          <w:rFonts w:ascii="Times New Roman" w:hAnsi="Times New Roman" w:cs="Times New Roman"/>
          <w:noProof/>
          <w:sz w:val="24"/>
          <w:szCs w:val="24"/>
          <w:lang w:val="en-US"/>
        </w:rPr>
        <w:t xml:space="preserve"> 2011;11:450.</w:t>
      </w:r>
    </w:p>
    <w:p w14:paraId="2BA632F6" w14:textId="77777777" w:rsidR="00E85D18" w:rsidRPr="0038183D"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45 </w:t>
      </w:r>
      <w:r w:rsidRPr="00E85D18">
        <w:rPr>
          <w:rFonts w:ascii="Times New Roman" w:hAnsi="Times New Roman" w:cs="Times New Roman"/>
          <w:noProof/>
          <w:sz w:val="24"/>
          <w:szCs w:val="24"/>
          <w:lang w:val="en-US"/>
        </w:rPr>
        <w:tab/>
        <w:t xml:space="preserve">Brooke HL, Talbäck M, Hörnblad J et al. The Swedish cause of death register. </w:t>
      </w:r>
      <w:r w:rsidRPr="0038183D">
        <w:rPr>
          <w:rFonts w:ascii="Times New Roman" w:hAnsi="Times New Roman" w:cs="Times New Roman"/>
          <w:i/>
          <w:iCs/>
          <w:noProof/>
          <w:sz w:val="24"/>
          <w:szCs w:val="24"/>
          <w:lang w:val="en-US"/>
        </w:rPr>
        <w:t>Eur J Epidemiol</w:t>
      </w:r>
      <w:r w:rsidRPr="0038183D">
        <w:rPr>
          <w:rFonts w:ascii="Times New Roman" w:hAnsi="Times New Roman" w:cs="Times New Roman"/>
          <w:noProof/>
          <w:sz w:val="24"/>
          <w:szCs w:val="24"/>
          <w:lang w:val="en-US"/>
        </w:rPr>
        <w:t xml:space="preserve"> 2017;32:765–773.</w:t>
      </w:r>
    </w:p>
    <w:p w14:paraId="21FDE1BC" w14:textId="77777777" w:rsidR="00E85D18" w:rsidRPr="0038183D"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38183D">
        <w:rPr>
          <w:rFonts w:ascii="Times New Roman" w:hAnsi="Times New Roman" w:cs="Times New Roman"/>
          <w:noProof/>
          <w:sz w:val="24"/>
          <w:szCs w:val="24"/>
          <w:lang w:val="en-US"/>
        </w:rPr>
        <w:t xml:space="preserve">46 </w:t>
      </w:r>
      <w:r w:rsidRPr="0038183D">
        <w:rPr>
          <w:rFonts w:ascii="Times New Roman" w:hAnsi="Times New Roman" w:cs="Times New Roman"/>
          <w:noProof/>
          <w:sz w:val="24"/>
          <w:szCs w:val="24"/>
          <w:lang w:val="en-US"/>
        </w:rPr>
        <w:tab/>
        <w:t xml:space="preserve">Burström K, Teni FS, Gerdtham UG et al. </w:t>
      </w:r>
      <w:r w:rsidRPr="00E85D18">
        <w:rPr>
          <w:rFonts w:ascii="Times New Roman" w:hAnsi="Times New Roman" w:cs="Times New Roman"/>
          <w:noProof/>
          <w:sz w:val="24"/>
          <w:szCs w:val="24"/>
          <w:lang w:val="en-US"/>
        </w:rPr>
        <w:t xml:space="preserve">Experience-based Swedish TTO and VAS value sets for EQ-5D-5L health states. </w:t>
      </w:r>
      <w:r w:rsidRPr="0038183D">
        <w:rPr>
          <w:rFonts w:ascii="Times New Roman" w:hAnsi="Times New Roman" w:cs="Times New Roman"/>
          <w:i/>
          <w:iCs/>
          <w:noProof/>
          <w:sz w:val="24"/>
          <w:szCs w:val="24"/>
          <w:lang w:val="en-US"/>
        </w:rPr>
        <w:t>Pharmacoeconomics</w:t>
      </w:r>
      <w:r w:rsidRPr="0038183D">
        <w:rPr>
          <w:rFonts w:ascii="Times New Roman" w:hAnsi="Times New Roman" w:cs="Times New Roman"/>
          <w:noProof/>
          <w:sz w:val="24"/>
          <w:szCs w:val="24"/>
          <w:lang w:val="en-US"/>
        </w:rPr>
        <w:t xml:space="preserve"> 2020;</w:t>
      </w:r>
    </w:p>
    <w:p w14:paraId="23C99F06"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47 </w:t>
      </w:r>
      <w:r w:rsidRPr="00E85D18">
        <w:rPr>
          <w:rFonts w:ascii="Times New Roman" w:hAnsi="Times New Roman" w:cs="Times New Roman"/>
          <w:noProof/>
          <w:sz w:val="24"/>
          <w:szCs w:val="24"/>
          <w:lang w:val="en-US"/>
        </w:rPr>
        <w:tab/>
        <w:t>International Conference on Harmonisation of Technical Requirements for Registration of Pharmaceuticals for Human Use. ICH harmonised tripartite guideline E2A: clinical safety data management: definitions and standards for expedited reporting. 1994.</w:t>
      </w:r>
    </w:p>
    <w:p w14:paraId="08E665BA"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48 </w:t>
      </w:r>
      <w:r w:rsidRPr="00E85D18">
        <w:rPr>
          <w:rFonts w:ascii="Times New Roman" w:hAnsi="Times New Roman" w:cs="Times New Roman"/>
          <w:noProof/>
          <w:sz w:val="24"/>
          <w:szCs w:val="24"/>
          <w:lang w:val="en-US"/>
        </w:rPr>
        <w:tab/>
        <w:t>Council for International Organizations of Medical Sciences. Geneva [CH]. 2005 2005.</w:t>
      </w:r>
    </w:p>
    <w:p w14:paraId="09D93B0F"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49 </w:t>
      </w:r>
      <w:r w:rsidRPr="00E85D18">
        <w:rPr>
          <w:rFonts w:ascii="Times New Roman" w:hAnsi="Times New Roman" w:cs="Times New Roman"/>
          <w:noProof/>
          <w:sz w:val="24"/>
          <w:szCs w:val="24"/>
          <w:lang w:val="en-US"/>
        </w:rPr>
        <w:tab/>
        <w:t>Directive 2001/20/EC of the European Parliament and of the Council of 4 April 2001 on the approximation of the laws, regulations, and administrative provisions of the Member States relating to the implementation of good clinical practice in the conduct of. 2009.</w:t>
      </w:r>
    </w:p>
    <w:p w14:paraId="6DBB618C"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85D18">
        <w:rPr>
          <w:rFonts w:ascii="Times New Roman" w:hAnsi="Times New Roman" w:cs="Times New Roman"/>
          <w:noProof/>
          <w:sz w:val="24"/>
          <w:szCs w:val="24"/>
          <w:lang w:val="en-US"/>
        </w:rPr>
        <w:t xml:space="preserve">50 </w:t>
      </w:r>
      <w:r w:rsidRPr="00E85D18">
        <w:rPr>
          <w:rFonts w:ascii="Times New Roman" w:hAnsi="Times New Roman" w:cs="Times New Roman"/>
          <w:noProof/>
          <w:sz w:val="24"/>
          <w:szCs w:val="24"/>
          <w:lang w:val="en-US"/>
        </w:rPr>
        <w:tab/>
        <w:t xml:space="preserve">European Commission. Communication from the Commission — detailed guidance on the collection, verification and presentation of adverse event/reaction reports arising from clinical trials on medicinal products for human use (‘CT-3’) (2011/C 172/01). </w:t>
      </w:r>
      <w:r w:rsidRPr="00E85D18">
        <w:rPr>
          <w:rFonts w:ascii="Times New Roman" w:hAnsi="Times New Roman" w:cs="Times New Roman"/>
          <w:noProof/>
          <w:sz w:val="24"/>
          <w:szCs w:val="24"/>
        </w:rPr>
        <w:t>2011.</w:t>
      </w:r>
    </w:p>
    <w:p w14:paraId="489A336A"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85D18">
        <w:rPr>
          <w:rFonts w:ascii="Times New Roman" w:hAnsi="Times New Roman" w:cs="Times New Roman"/>
          <w:noProof/>
          <w:sz w:val="24"/>
          <w:szCs w:val="24"/>
        </w:rPr>
        <w:t xml:space="preserve">51 </w:t>
      </w:r>
      <w:r w:rsidRPr="00E85D18">
        <w:rPr>
          <w:rFonts w:ascii="Times New Roman" w:hAnsi="Times New Roman" w:cs="Times New Roman"/>
          <w:noProof/>
          <w:sz w:val="24"/>
          <w:szCs w:val="24"/>
        </w:rPr>
        <w:tab/>
        <w:t xml:space="preserve">Läkemedelsverkets föreskrifter (LVFS 2011:19) om kliniska läkemedelsprövningar på människor. </w:t>
      </w:r>
    </w:p>
    <w:p w14:paraId="5EB35793"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38183D">
        <w:rPr>
          <w:rFonts w:ascii="Times New Roman" w:hAnsi="Times New Roman" w:cs="Times New Roman"/>
          <w:noProof/>
          <w:sz w:val="24"/>
          <w:szCs w:val="24"/>
        </w:rPr>
        <w:t xml:space="preserve">52 </w:t>
      </w:r>
      <w:r w:rsidRPr="0038183D">
        <w:rPr>
          <w:rFonts w:ascii="Times New Roman" w:hAnsi="Times New Roman" w:cs="Times New Roman"/>
          <w:noProof/>
          <w:sz w:val="24"/>
          <w:szCs w:val="24"/>
        </w:rPr>
        <w:tab/>
        <w:t xml:space="preserve">International Conference on Harmonisation of Technical Requirements for Registration of Pharmaceuticals for Human Use. </w:t>
      </w:r>
      <w:r w:rsidRPr="00E85D18">
        <w:rPr>
          <w:rFonts w:ascii="Times New Roman" w:hAnsi="Times New Roman" w:cs="Times New Roman"/>
          <w:noProof/>
          <w:sz w:val="24"/>
          <w:szCs w:val="24"/>
          <w:lang w:val="en-US"/>
        </w:rPr>
        <w:t>ICH harmonised tripartite guideline E2F: development safety update report. 2010.</w:t>
      </w:r>
    </w:p>
    <w:p w14:paraId="21339C17" w14:textId="77777777" w:rsidR="00E85D18" w:rsidRPr="0038183D"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53 </w:t>
      </w:r>
      <w:r w:rsidRPr="00E85D18">
        <w:rPr>
          <w:rFonts w:ascii="Times New Roman" w:hAnsi="Times New Roman" w:cs="Times New Roman"/>
          <w:noProof/>
          <w:sz w:val="24"/>
          <w:szCs w:val="24"/>
          <w:lang w:val="en-US"/>
        </w:rPr>
        <w:tab/>
        <w:t xml:space="preserve">Wennergren D, Ekholm C, Sandelin A, Möller M. The Swedish fracture register: 103,000 fractures registered. </w:t>
      </w:r>
      <w:r w:rsidRPr="0038183D">
        <w:rPr>
          <w:rFonts w:ascii="Times New Roman" w:hAnsi="Times New Roman" w:cs="Times New Roman"/>
          <w:i/>
          <w:iCs/>
          <w:noProof/>
          <w:sz w:val="24"/>
          <w:szCs w:val="24"/>
          <w:lang w:val="en-US"/>
        </w:rPr>
        <w:t>BMC Musculoskelet Disord</w:t>
      </w:r>
      <w:r w:rsidRPr="0038183D">
        <w:rPr>
          <w:rFonts w:ascii="Times New Roman" w:hAnsi="Times New Roman" w:cs="Times New Roman"/>
          <w:noProof/>
          <w:sz w:val="24"/>
          <w:szCs w:val="24"/>
          <w:lang w:val="en-US"/>
        </w:rPr>
        <w:t xml:space="preserve"> 2015;16:1–9.</w:t>
      </w:r>
    </w:p>
    <w:p w14:paraId="53F7D13B"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85D18">
        <w:rPr>
          <w:rFonts w:ascii="Times New Roman" w:hAnsi="Times New Roman" w:cs="Times New Roman"/>
          <w:noProof/>
          <w:sz w:val="24"/>
          <w:szCs w:val="24"/>
          <w:lang w:val="en-US"/>
        </w:rPr>
        <w:t xml:space="preserve">54 </w:t>
      </w:r>
      <w:r w:rsidRPr="00E85D18">
        <w:rPr>
          <w:rFonts w:ascii="Times New Roman" w:hAnsi="Times New Roman" w:cs="Times New Roman"/>
          <w:noProof/>
          <w:sz w:val="24"/>
          <w:szCs w:val="24"/>
          <w:lang w:val="en-US"/>
        </w:rPr>
        <w:tab/>
        <w:t xml:space="preserve">International Conference on Harmonisation of Technical Requirements for Registration </w:t>
      </w:r>
      <w:r w:rsidRPr="00E85D18">
        <w:rPr>
          <w:rFonts w:ascii="Times New Roman" w:hAnsi="Times New Roman" w:cs="Times New Roman"/>
          <w:noProof/>
          <w:sz w:val="24"/>
          <w:szCs w:val="24"/>
          <w:lang w:val="en-US"/>
        </w:rPr>
        <w:lastRenderedPageBreak/>
        <w:t xml:space="preserve">of Pharmaceuticals for Human Use. ICH harmonised guideline E6(R2): integrated addendum to ICH E6(R1): guideline for good clinical practice. </w:t>
      </w:r>
      <w:r w:rsidRPr="00E85D18">
        <w:rPr>
          <w:rFonts w:ascii="Times New Roman" w:hAnsi="Times New Roman" w:cs="Times New Roman"/>
          <w:noProof/>
          <w:sz w:val="24"/>
          <w:szCs w:val="24"/>
        </w:rPr>
        <w:t>2016.</w:t>
      </w:r>
    </w:p>
    <w:p w14:paraId="6522AB15"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85D18">
        <w:rPr>
          <w:rFonts w:ascii="Times New Roman" w:hAnsi="Times New Roman" w:cs="Times New Roman"/>
          <w:noProof/>
          <w:sz w:val="24"/>
          <w:szCs w:val="24"/>
        </w:rPr>
        <w:t xml:space="preserve">55 </w:t>
      </w:r>
      <w:r w:rsidRPr="00E85D18">
        <w:rPr>
          <w:rFonts w:ascii="Times New Roman" w:hAnsi="Times New Roman" w:cs="Times New Roman"/>
          <w:noProof/>
          <w:sz w:val="24"/>
          <w:szCs w:val="24"/>
        </w:rPr>
        <w:tab/>
        <w:t>Berman AH, Wennberg P, Källmén H. AUDIT &amp; DUDIT - identifiera problem med alhohol och droger. Stockholm [SE]: GOTHIA Fortbildning, 2017.</w:t>
      </w:r>
    </w:p>
    <w:p w14:paraId="7E0A3EFC"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85D18">
        <w:rPr>
          <w:rFonts w:ascii="Times New Roman" w:hAnsi="Times New Roman" w:cs="Times New Roman"/>
          <w:noProof/>
          <w:sz w:val="24"/>
          <w:szCs w:val="24"/>
        </w:rPr>
        <w:t xml:space="preserve">56 </w:t>
      </w:r>
      <w:r w:rsidRPr="00E85D18">
        <w:rPr>
          <w:rFonts w:ascii="Times New Roman" w:hAnsi="Times New Roman" w:cs="Times New Roman"/>
          <w:noProof/>
          <w:sz w:val="24"/>
          <w:szCs w:val="24"/>
        </w:rPr>
        <w:tab/>
        <w:t xml:space="preserve">Carter BD, Abnet CC, Feskanich D et al. </w:t>
      </w:r>
      <w:r w:rsidRPr="00E85D18">
        <w:rPr>
          <w:rFonts w:ascii="Times New Roman" w:hAnsi="Times New Roman" w:cs="Times New Roman"/>
          <w:noProof/>
          <w:sz w:val="24"/>
          <w:szCs w:val="24"/>
          <w:lang w:val="en-US"/>
        </w:rPr>
        <w:t xml:space="preserve">Smoking and nortality — beyond established causes. </w:t>
      </w:r>
      <w:r w:rsidRPr="00E85D18">
        <w:rPr>
          <w:rFonts w:ascii="Times New Roman" w:hAnsi="Times New Roman" w:cs="Times New Roman"/>
          <w:i/>
          <w:iCs/>
          <w:noProof/>
          <w:sz w:val="24"/>
          <w:szCs w:val="24"/>
        </w:rPr>
        <w:t>N Engl J Med</w:t>
      </w:r>
      <w:r w:rsidRPr="00E85D18">
        <w:rPr>
          <w:rFonts w:ascii="Times New Roman" w:hAnsi="Times New Roman" w:cs="Times New Roman"/>
          <w:noProof/>
          <w:sz w:val="24"/>
          <w:szCs w:val="24"/>
        </w:rPr>
        <w:t xml:space="preserve"> 2015;372:631–640.</w:t>
      </w:r>
    </w:p>
    <w:p w14:paraId="6A1F3B23"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rPr>
        <w:t xml:space="preserve">57 </w:t>
      </w:r>
      <w:r w:rsidRPr="00E85D18">
        <w:rPr>
          <w:rFonts w:ascii="Times New Roman" w:hAnsi="Times New Roman" w:cs="Times New Roman"/>
          <w:noProof/>
          <w:sz w:val="24"/>
          <w:szCs w:val="24"/>
        </w:rPr>
        <w:tab/>
        <w:t xml:space="preserve">Rimm EB, Chan J, Stampfer MJ, Colditz GA, Willett WC. </w:t>
      </w:r>
      <w:r w:rsidRPr="00E85D18">
        <w:rPr>
          <w:rFonts w:ascii="Times New Roman" w:hAnsi="Times New Roman" w:cs="Times New Roman"/>
          <w:noProof/>
          <w:sz w:val="24"/>
          <w:szCs w:val="24"/>
          <w:lang w:val="en-US"/>
        </w:rPr>
        <w:t xml:space="preserve">Prospective study of cigarette smoking, alcohol use, and the risk of diabetes in men. </w:t>
      </w:r>
      <w:r w:rsidRPr="00E85D18">
        <w:rPr>
          <w:rFonts w:ascii="Times New Roman" w:hAnsi="Times New Roman" w:cs="Times New Roman"/>
          <w:i/>
          <w:iCs/>
          <w:noProof/>
          <w:sz w:val="24"/>
          <w:szCs w:val="24"/>
          <w:lang w:val="en-US"/>
        </w:rPr>
        <w:t>Bmj</w:t>
      </w:r>
      <w:r w:rsidRPr="00E85D18">
        <w:rPr>
          <w:rFonts w:ascii="Times New Roman" w:hAnsi="Times New Roman" w:cs="Times New Roman"/>
          <w:noProof/>
          <w:sz w:val="24"/>
          <w:szCs w:val="24"/>
          <w:lang w:val="en-US"/>
        </w:rPr>
        <w:t xml:space="preserve"> 1995;310:555–559.</w:t>
      </w:r>
    </w:p>
    <w:p w14:paraId="4B2C95A4"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58 </w:t>
      </w:r>
      <w:r w:rsidRPr="00E85D18">
        <w:rPr>
          <w:rFonts w:ascii="Times New Roman" w:hAnsi="Times New Roman" w:cs="Times New Roman"/>
          <w:noProof/>
          <w:sz w:val="24"/>
          <w:szCs w:val="24"/>
          <w:lang w:val="en-US"/>
        </w:rPr>
        <w:tab/>
        <w:t>Kleinbaum D, Klien M. Survival analysis: a self-learning text. New York: Springer, 2005.</w:t>
      </w:r>
    </w:p>
    <w:p w14:paraId="08758BF3"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59 </w:t>
      </w:r>
      <w:r w:rsidRPr="00E85D18">
        <w:rPr>
          <w:rFonts w:ascii="Times New Roman" w:hAnsi="Times New Roman" w:cs="Times New Roman"/>
          <w:noProof/>
          <w:sz w:val="24"/>
          <w:szCs w:val="24"/>
          <w:lang w:val="en-US"/>
        </w:rPr>
        <w:tab/>
        <w:t xml:space="preserve">Altman DG. Confidence intervals for the number needed to treat. </w:t>
      </w:r>
      <w:r w:rsidRPr="00E85D18">
        <w:rPr>
          <w:rFonts w:ascii="Times New Roman" w:hAnsi="Times New Roman" w:cs="Times New Roman"/>
          <w:i/>
          <w:iCs/>
          <w:noProof/>
          <w:sz w:val="24"/>
          <w:szCs w:val="24"/>
          <w:lang w:val="en-US"/>
        </w:rPr>
        <w:t>BMJ</w:t>
      </w:r>
      <w:r w:rsidRPr="00E85D18">
        <w:rPr>
          <w:rFonts w:ascii="Times New Roman" w:hAnsi="Times New Roman" w:cs="Times New Roman"/>
          <w:noProof/>
          <w:sz w:val="24"/>
          <w:szCs w:val="24"/>
          <w:lang w:val="en-US"/>
        </w:rPr>
        <w:t xml:space="preserve"> 1998;317:1309–1312.</w:t>
      </w:r>
    </w:p>
    <w:p w14:paraId="208694D0"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60 </w:t>
      </w:r>
      <w:r w:rsidRPr="00E85D18">
        <w:rPr>
          <w:rFonts w:ascii="Times New Roman" w:hAnsi="Times New Roman" w:cs="Times New Roman"/>
          <w:noProof/>
          <w:sz w:val="24"/>
          <w:szCs w:val="24"/>
          <w:lang w:val="en-US"/>
        </w:rPr>
        <w:tab/>
        <w:t xml:space="preserve">Altman DG, Andersen PK. Calculating the number needed to treat for trials where the outcome is time to an event. </w:t>
      </w:r>
      <w:r w:rsidRPr="00E85D18">
        <w:rPr>
          <w:rFonts w:ascii="Times New Roman" w:hAnsi="Times New Roman" w:cs="Times New Roman"/>
          <w:i/>
          <w:iCs/>
          <w:noProof/>
          <w:sz w:val="24"/>
          <w:szCs w:val="24"/>
          <w:lang w:val="en-US"/>
        </w:rPr>
        <w:t>BMJ</w:t>
      </w:r>
      <w:r w:rsidRPr="00E85D18">
        <w:rPr>
          <w:rFonts w:ascii="Times New Roman" w:hAnsi="Times New Roman" w:cs="Times New Roman"/>
          <w:noProof/>
          <w:sz w:val="24"/>
          <w:szCs w:val="24"/>
          <w:lang w:val="en-US"/>
        </w:rPr>
        <w:t xml:space="preserve"> 1999;319:1492–1495.</w:t>
      </w:r>
    </w:p>
    <w:p w14:paraId="6607B77E"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61 </w:t>
      </w:r>
      <w:r w:rsidRPr="00E85D18">
        <w:rPr>
          <w:rFonts w:ascii="Times New Roman" w:hAnsi="Times New Roman" w:cs="Times New Roman"/>
          <w:noProof/>
          <w:sz w:val="24"/>
          <w:szCs w:val="24"/>
          <w:lang w:val="en-US"/>
        </w:rPr>
        <w:tab/>
        <w:t>Kalbfleisch JD, Prentice RL. The statistical analysis of failure time data. Hoboken: Wiley-Interscience, 2002.</w:t>
      </w:r>
    </w:p>
    <w:p w14:paraId="511744FF"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62 </w:t>
      </w:r>
      <w:r w:rsidRPr="00E85D18">
        <w:rPr>
          <w:rFonts w:ascii="Times New Roman" w:hAnsi="Times New Roman" w:cs="Times New Roman"/>
          <w:noProof/>
          <w:sz w:val="24"/>
          <w:szCs w:val="24"/>
          <w:lang w:val="en-US"/>
        </w:rPr>
        <w:tab/>
        <w:t>Hosmer DW, Lemeshow S, May S. Applied survival analysis: regression modeling of time-to-event data. Hoboken: Wiley-Interscience, 2008.</w:t>
      </w:r>
    </w:p>
    <w:p w14:paraId="04BEDDE1"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63 </w:t>
      </w:r>
      <w:r w:rsidRPr="00E85D18">
        <w:rPr>
          <w:rFonts w:ascii="Times New Roman" w:hAnsi="Times New Roman" w:cs="Times New Roman"/>
          <w:noProof/>
          <w:sz w:val="24"/>
          <w:szCs w:val="24"/>
          <w:lang w:val="en-US"/>
        </w:rPr>
        <w:tab/>
        <w:t>U.S Department of Health and Human Services. Multiple endpoints in clinical trials: guidance for industry. Silver Spring, 2017.</w:t>
      </w:r>
    </w:p>
    <w:p w14:paraId="2952C227"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85D18">
        <w:rPr>
          <w:rFonts w:ascii="Times New Roman" w:hAnsi="Times New Roman" w:cs="Times New Roman"/>
          <w:noProof/>
          <w:sz w:val="24"/>
          <w:szCs w:val="24"/>
          <w:lang w:val="en-US"/>
        </w:rPr>
        <w:t xml:space="preserve">64 </w:t>
      </w:r>
      <w:r w:rsidRPr="00E85D18">
        <w:rPr>
          <w:rFonts w:ascii="Times New Roman" w:hAnsi="Times New Roman" w:cs="Times New Roman"/>
          <w:noProof/>
          <w:sz w:val="24"/>
          <w:szCs w:val="24"/>
          <w:lang w:val="en-US"/>
        </w:rPr>
        <w:tab/>
        <w:t xml:space="preserve">International Conference on Harmonisation of Technical Requirements for Registration of Pharmaceuticals for Human Use. ICH harmonised tripartite guideline E9: statistical principles for clinical trials. </w:t>
      </w:r>
      <w:r w:rsidRPr="00E85D18">
        <w:rPr>
          <w:rFonts w:ascii="Times New Roman" w:hAnsi="Times New Roman" w:cs="Times New Roman"/>
          <w:noProof/>
          <w:sz w:val="24"/>
          <w:szCs w:val="24"/>
        </w:rPr>
        <w:t>1998.</w:t>
      </w:r>
    </w:p>
    <w:p w14:paraId="66EF1B98"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rPr>
        <w:t xml:space="preserve">65 </w:t>
      </w:r>
      <w:r w:rsidRPr="00E85D18">
        <w:rPr>
          <w:rFonts w:ascii="Times New Roman" w:hAnsi="Times New Roman" w:cs="Times New Roman"/>
          <w:noProof/>
          <w:sz w:val="24"/>
          <w:szCs w:val="24"/>
        </w:rPr>
        <w:tab/>
        <w:t xml:space="preserve">Läkemedelsverket. Vägledning till Läkemedelsverkets föreskrifter (LVFS 2011:19) om kliniska läkemedelsprövningar på människor. </w:t>
      </w:r>
      <w:r w:rsidRPr="00E85D18">
        <w:rPr>
          <w:rFonts w:ascii="Times New Roman" w:hAnsi="Times New Roman" w:cs="Times New Roman"/>
          <w:noProof/>
          <w:sz w:val="24"/>
          <w:szCs w:val="24"/>
          <w:lang w:val="en-US"/>
        </w:rPr>
        <w:t>2013.</w:t>
      </w:r>
    </w:p>
    <w:p w14:paraId="7E0296B8"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85D18">
        <w:rPr>
          <w:rFonts w:ascii="Times New Roman" w:hAnsi="Times New Roman" w:cs="Times New Roman"/>
          <w:noProof/>
          <w:sz w:val="24"/>
          <w:szCs w:val="24"/>
          <w:lang w:val="en-US"/>
        </w:rPr>
        <w:t xml:space="preserve">66 </w:t>
      </w:r>
      <w:r w:rsidRPr="00E85D18">
        <w:rPr>
          <w:rFonts w:ascii="Times New Roman" w:hAnsi="Times New Roman" w:cs="Times New Roman"/>
          <w:noProof/>
          <w:sz w:val="24"/>
          <w:szCs w:val="24"/>
          <w:lang w:val="en-US"/>
        </w:rPr>
        <w:tab/>
        <w:t xml:space="preserve">World Medical Association. Declaration of Helsinki - ethical principles for medical research involving human subjects. </w:t>
      </w:r>
      <w:r w:rsidRPr="00E85D18">
        <w:rPr>
          <w:rFonts w:ascii="Times New Roman" w:hAnsi="Times New Roman" w:cs="Times New Roman"/>
          <w:noProof/>
          <w:sz w:val="24"/>
          <w:szCs w:val="24"/>
        </w:rPr>
        <w:t>Ferney-Voltaire, 2013.</w:t>
      </w:r>
    </w:p>
    <w:p w14:paraId="445CFE64"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85D18">
        <w:rPr>
          <w:rFonts w:ascii="Times New Roman" w:hAnsi="Times New Roman" w:cs="Times New Roman"/>
          <w:noProof/>
          <w:sz w:val="24"/>
          <w:szCs w:val="24"/>
        </w:rPr>
        <w:t xml:space="preserve">67 </w:t>
      </w:r>
      <w:r w:rsidRPr="00E85D18">
        <w:rPr>
          <w:rFonts w:ascii="Times New Roman" w:hAnsi="Times New Roman" w:cs="Times New Roman"/>
          <w:noProof/>
          <w:sz w:val="24"/>
          <w:szCs w:val="24"/>
        </w:rPr>
        <w:tab/>
        <w:t xml:space="preserve">Lag (2003:460) om etikprövning av forskning som avser människor. </w:t>
      </w:r>
    </w:p>
    <w:p w14:paraId="3E980B62"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68 </w:t>
      </w:r>
      <w:r w:rsidRPr="00E85D18">
        <w:rPr>
          <w:rFonts w:ascii="Times New Roman" w:hAnsi="Times New Roman" w:cs="Times New Roman"/>
          <w:noProof/>
          <w:sz w:val="24"/>
          <w:szCs w:val="24"/>
          <w:lang w:val="en-US"/>
        </w:rPr>
        <w:tab/>
        <w:t xml:space="preserve">Läkemedelslag (2015:315). </w:t>
      </w:r>
    </w:p>
    <w:p w14:paraId="69F98C42"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69 </w:t>
      </w:r>
      <w:r w:rsidRPr="00E85D18">
        <w:rPr>
          <w:rFonts w:ascii="Times New Roman" w:hAnsi="Times New Roman" w:cs="Times New Roman"/>
          <w:noProof/>
          <w:sz w:val="24"/>
          <w:szCs w:val="24"/>
          <w:lang w:val="en-US"/>
        </w:rPr>
        <w:tab/>
        <w:t>International Conference on Harmonisation of Technical Requirements for Registration of Pharmaceuticals for Human Use. ICH harmonised tripartite guideline E3: structure and content of clinical study reports. 1995.</w:t>
      </w:r>
    </w:p>
    <w:p w14:paraId="2586C221"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70 </w:t>
      </w:r>
      <w:r w:rsidRPr="00E85D18">
        <w:rPr>
          <w:rFonts w:ascii="Times New Roman" w:hAnsi="Times New Roman" w:cs="Times New Roman"/>
          <w:noProof/>
          <w:sz w:val="24"/>
          <w:szCs w:val="24"/>
          <w:lang w:val="en-US"/>
        </w:rPr>
        <w:tab/>
        <w:t>Regulation (EU) 2016/679 on the protection of natural persons with regard to the processing of personal data and on the free movement of such data (General Data Protection Regulation – GDPR). 2016.</w:t>
      </w:r>
    </w:p>
    <w:p w14:paraId="3DD23305"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71 </w:t>
      </w:r>
      <w:r w:rsidRPr="00E85D18">
        <w:rPr>
          <w:rFonts w:ascii="Times New Roman" w:hAnsi="Times New Roman" w:cs="Times New Roman"/>
          <w:noProof/>
          <w:sz w:val="24"/>
          <w:szCs w:val="24"/>
          <w:lang w:val="en-US"/>
        </w:rPr>
        <w:tab/>
        <w:t>International Committee of Medical Journal Editors. Recommendations for the conduct, reporting, editing, and publication of scholarly work in medical journals. 2016.</w:t>
      </w:r>
    </w:p>
    <w:p w14:paraId="43FC2826"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72 </w:t>
      </w:r>
      <w:r w:rsidRPr="00E85D18">
        <w:rPr>
          <w:rFonts w:ascii="Times New Roman" w:hAnsi="Times New Roman" w:cs="Times New Roman"/>
          <w:noProof/>
          <w:sz w:val="24"/>
          <w:szCs w:val="24"/>
          <w:lang w:val="en-US"/>
        </w:rPr>
        <w:tab/>
        <w:t xml:space="preserve">Williamson S, Landeiro F, McConnell T et al. Costs of fragility hip fractures globally: a systematic review and meta-regression analysis. </w:t>
      </w:r>
      <w:r w:rsidRPr="00E85D18">
        <w:rPr>
          <w:rFonts w:ascii="Times New Roman" w:hAnsi="Times New Roman" w:cs="Times New Roman"/>
          <w:i/>
          <w:iCs/>
          <w:noProof/>
          <w:sz w:val="24"/>
          <w:szCs w:val="24"/>
          <w:lang w:val="en-US"/>
        </w:rPr>
        <w:t>Osteoporos Int</w:t>
      </w:r>
      <w:r w:rsidRPr="00E85D18">
        <w:rPr>
          <w:rFonts w:ascii="Times New Roman" w:hAnsi="Times New Roman" w:cs="Times New Roman"/>
          <w:noProof/>
          <w:sz w:val="24"/>
          <w:szCs w:val="24"/>
          <w:lang w:val="en-US"/>
        </w:rPr>
        <w:t xml:space="preserve"> Osteoporosis International, 2017;28:2791–2800.</w:t>
      </w:r>
    </w:p>
    <w:p w14:paraId="3B9D11C5"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szCs w:val="24"/>
          <w:lang w:val="en-US"/>
        </w:rPr>
      </w:pPr>
      <w:r w:rsidRPr="00E85D18">
        <w:rPr>
          <w:rFonts w:ascii="Times New Roman" w:hAnsi="Times New Roman" w:cs="Times New Roman"/>
          <w:noProof/>
          <w:sz w:val="24"/>
          <w:szCs w:val="24"/>
          <w:lang w:val="en-US"/>
        </w:rPr>
        <w:t xml:space="preserve">73 </w:t>
      </w:r>
      <w:r w:rsidRPr="00E85D18">
        <w:rPr>
          <w:rFonts w:ascii="Times New Roman" w:hAnsi="Times New Roman" w:cs="Times New Roman"/>
          <w:noProof/>
          <w:sz w:val="24"/>
          <w:szCs w:val="24"/>
          <w:lang w:val="en-US"/>
        </w:rPr>
        <w:tab/>
        <w:t xml:space="preserve">Schoenfeld D. Sample-size formula for the proportional-hazards regression model. </w:t>
      </w:r>
      <w:r w:rsidRPr="00E85D18">
        <w:rPr>
          <w:rFonts w:ascii="Times New Roman" w:hAnsi="Times New Roman" w:cs="Times New Roman"/>
          <w:i/>
          <w:iCs/>
          <w:noProof/>
          <w:sz w:val="24"/>
          <w:szCs w:val="24"/>
          <w:lang w:val="en-US"/>
        </w:rPr>
        <w:t>Biometrics</w:t>
      </w:r>
      <w:r w:rsidRPr="00E85D18">
        <w:rPr>
          <w:rFonts w:ascii="Times New Roman" w:hAnsi="Times New Roman" w:cs="Times New Roman"/>
          <w:noProof/>
          <w:sz w:val="24"/>
          <w:szCs w:val="24"/>
          <w:lang w:val="en-US"/>
        </w:rPr>
        <w:t xml:space="preserve"> 1983;39:499–503.</w:t>
      </w:r>
    </w:p>
    <w:p w14:paraId="13BF95D9" w14:textId="77777777" w:rsidR="00E85D18" w:rsidRPr="00E85D18" w:rsidRDefault="00E85D18" w:rsidP="00E85D18">
      <w:pPr>
        <w:widowControl w:val="0"/>
        <w:autoSpaceDE w:val="0"/>
        <w:autoSpaceDN w:val="0"/>
        <w:adjustRightInd w:val="0"/>
        <w:spacing w:after="0" w:line="240" w:lineRule="auto"/>
        <w:ind w:left="640" w:hanging="640"/>
        <w:rPr>
          <w:rFonts w:ascii="Times New Roman" w:hAnsi="Times New Roman" w:cs="Times New Roman"/>
          <w:noProof/>
          <w:sz w:val="24"/>
        </w:rPr>
      </w:pPr>
      <w:r w:rsidRPr="00E85D18">
        <w:rPr>
          <w:rFonts w:ascii="Times New Roman" w:hAnsi="Times New Roman" w:cs="Times New Roman"/>
          <w:noProof/>
          <w:sz w:val="24"/>
          <w:szCs w:val="24"/>
          <w:lang w:val="en-US"/>
        </w:rPr>
        <w:t xml:space="preserve">74 </w:t>
      </w:r>
      <w:r w:rsidRPr="00E85D18">
        <w:rPr>
          <w:rFonts w:ascii="Times New Roman" w:hAnsi="Times New Roman" w:cs="Times New Roman"/>
          <w:noProof/>
          <w:sz w:val="24"/>
          <w:szCs w:val="24"/>
          <w:lang w:val="en-US"/>
        </w:rPr>
        <w:tab/>
        <w:t xml:space="preserve">Freedman LS. Tables of the number of patients required in clinical trials using the logrank test. </w:t>
      </w:r>
      <w:r w:rsidRPr="00E85D18">
        <w:rPr>
          <w:rFonts w:ascii="Times New Roman" w:hAnsi="Times New Roman" w:cs="Times New Roman"/>
          <w:i/>
          <w:iCs/>
          <w:noProof/>
          <w:sz w:val="24"/>
          <w:szCs w:val="24"/>
        </w:rPr>
        <w:t>Stat Med</w:t>
      </w:r>
      <w:r w:rsidRPr="00E85D18">
        <w:rPr>
          <w:rFonts w:ascii="Times New Roman" w:hAnsi="Times New Roman" w:cs="Times New Roman"/>
          <w:noProof/>
          <w:sz w:val="24"/>
          <w:szCs w:val="24"/>
        </w:rPr>
        <w:t xml:space="preserve"> 1982;1:121–129.</w:t>
      </w:r>
    </w:p>
    <w:p w14:paraId="43F2A794" w14:textId="440222E7" w:rsidR="00CD6AF1" w:rsidRPr="007B140B" w:rsidRDefault="00756440" w:rsidP="00D36611">
      <w:pPr>
        <w:pStyle w:val="Formatmall4"/>
        <w:rPr>
          <w:rFonts w:cs="Times New Roman"/>
          <w:lang w:val="en-US"/>
        </w:rPr>
      </w:pPr>
      <w:r w:rsidRPr="007B140B">
        <w:rPr>
          <w:rFonts w:cs="Times New Roman"/>
          <w:color w:val="FF0000"/>
          <w:sz w:val="24"/>
          <w:szCs w:val="24"/>
        </w:rPr>
        <w:lastRenderedPageBreak/>
        <w:fldChar w:fldCharType="end"/>
      </w:r>
      <w:bookmarkStart w:id="509" w:name="_Toc66083688"/>
      <w:bookmarkStart w:id="510" w:name="_Toc66259401"/>
      <w:bookmarkStart w:id="511" w:name="_Toc66349164"/>
      <w:bookmarkStart w:id="512" w:name="_Toc66383578"/>
      <w:bookmarkStart w:id="513" w:name="_Toc66385270"/>
      <w:bookmarkStart w:id="514" w:name="_Toc67897664"/>
      <w:bookmarkStart w:id="515" w:name="_Toc68001598"/>
      <w:bookmarkStart w:id="516" w:name="_Toc69901280"/>
      <w:bookmarkStart w:id="517" w:name="_Toc71188187"/>
      <w:bookmarkStart w:id="518" w:name="_Toc66083689"/>
      <w:bookmarkStart w:id="519" w:name="_Toc66259402"/>
      <w:bookmarkStart w:id="520" w:name="_Toc66349165"/>
      <w:bookmarkStart w:id="521" w:name="_Toc66383579"/>
      <w:bookmarkStart w:id="522" w:name="_Toc66385271"/>
      <w:bookmarkStart w:id="523" w:name="_Toc67897665"/>
      <w:bookmarkStart w:id="524" w:name="_Toc68001599"/>
      <w:bookmarkStart w:id="525" w:name="_Toc69901281"/>
      <w:bookmarkStart w:id="526" w:name="_Toc71188188"/>
      <w:bookmarkStart w:id="527" w:name="_Toc99001456"/>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r w:rsidR="00E13ABE" w:rsidRPr="007B140B">
        <w:rPr>
          <w:rFonts w:cs="Times New Roman"/>
          <w:lang w:val="en-US"/>
        </w:rPr>
        <w:t>Appendix 1: Sample Size C</w:t>
      </w:r>
      <w:r w:rsidR="00946A82" w:rsidRPr="007B140B">
        <w:rPr>
          <w:rFonts w:cs="Times New Roman"/>
          <w:lang w:val="en-US"/>
        </w:rPr>
        <w:t>alculation</w:t>
      </w:r>
      <w:bookmarkEnd w:id="527"/>
    </w:p>
    <w:p w14:paraId="2A6BF960" w14:textId="32EBEA7C" w:rsidR="00946A82" w:rsidRPr="007B140B" w:rsidRDefault="00946A82" w:rsidP="00946A82">
      <w:p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The first step </w:t>
      </w:r>
      <w:r w:rsidR="009D35C2" w:rsidRPr="007B140B">
        <w:rPr>
          <w:rFonts w:ascii="Times New Roman" w:hAnsi="Times New Roman" w:cs="Times New Roman"/>
          <w:sz w:val="24"/>
          <w:szCs w:val="24"/>
          <w:lang w:val="en-US"/>
        </w:rPr>
        <w:t>in</w:t>
      </w:r>
      <w:r w:rsidRPr="007B140B">
        <w:rPr>
          <w:rFonts w:ascii="Times New Roman" w:hAnsi="Times New Roman" w:cs="Times New Roman"/>
          <w:sz w:val="24"/>
          <w:szCs w:val="24"/>
          <w:lang w:val="en-US"/>
        </w:rPr>
        <w:t xml:space="preserve"> the sample size calculation is to calculate the number of fractures that need to be observed </w:t>
      </w:r>
      <w:r w:rsidR="00E12F10" w:rsidRPr="007B140B">
        <w:rPr>
          <w:rFonts w:ascii="Times New Roman" w:hAnsi="Times New Roman" w:cs="Times New Roman"/>
          <w:sz w:val="24"/>
          <w:szCs w:val="24"/>
          <w:lang w:val="en-US"/>
        </w:rPr>
        <w:t>in the trial</w:t>
      </w:r>
      <w:r w:rsidRPr="007B140B">
        <w:rPr>
          <w:rFonts w:ascii="Times New Roman" w:hAnsi="Times New Roman" w:cs="Times New Roman"/>
          <w:sz w:val="24"/>
          <w:szCs w:val="24"/>
          <w:lang w:val="en-US"/>
        </w:rPr>
        <w:t>, because the log-rank test is powered by events rather than participants. According to Schoenfeld,</w:t>
      </w:r>
      <w:r w:rsidR="008D55DC" w:rsidRPr="007B140B">
        <w:rPr>
          <w:rFonts w:ascii="Times New Roman" w:hAnsi="Times New Roman" w:cs="Times New Roman"/>
          <w:sz w:val="24"/>
          <w:szCs w:val="24"/>
          <w:lang w:val="en-US"/>
        </w:rPr>
        <w:fldChar w:fldCharType="begin" w:fldLock="1"/>
      </w:r>
      <w:r w:rsidR="00E85D18">
        <w:rPr>
          <w:rFonts w:ascii="Times New Roman" w:hAnsi="Times New Roman" w:cs="Times New Roman"/>
          <w:sz w:val="24"/>
          <w:szCs w:val="24"/>
          <w:lang w:val="en-US"/>
        </w:rPr>
        <w:instrText>ADDIN CSL_CITATION {"citationItems":[{"id":"ITEM-1","itemData":{"author":[{"dropping-particle":"","family":"Schoenfeld","given":"D","non-dropping-particle":"","parse-names":false,"suffix":""}],"container-title":"Biometrics","id":"ITEM-1","issue":"2","issued":{"date-parts":[["1983"]]},"page":"499-503","title":"Sample-size formula for the proportional-hazards regression model","type":"article-journal","volume":"39"},"uris":["http://www.mendeley.com/documents/?uuid=f9dca4d6-1b2c-4730-bd6a-b3bda45ec1d5"]}],"mendeley":{"formattedCitation":"&lt;sup&gt;&lt;sup&gt;73&lt;/sup&gt;&lt;/sup&gt;","plainTextFormattedCitation":"73","previouslyFormattedCitation":"&lt;sup&gt;&lt;sup&gt;74&lt;/sup&gt;&lt;/sup&gt;"},"properties":{"noteIndex":0},"schema":"https://github.com/citation-style-language/schema/raw/master/csl-citation.json"}</w:instrText>
      </w:r>
      <w:r w:rsidR="008D55DC" w:rsidRPr="007B140B">
        <w:rPr>
          <w:rFonts w:ascii="Times New Roman" w:hAnsi="Times New Roman" w:cs="Times New Roman"/>
          <w:sz w:val="24"/>
          <w:szCs w:val="24"/>
          <w:lang w:val="en-US"/>
        </w:rPr>
        <w:fldChar w:fldCharType="separate"/>
      </w:r>
      <w:r w:rsidR="00E85D18" w:rsidRPr="00E85D18">
        <w:rPr>
          <w:rFonts w:ascii="Times New Roman" w:hAnsi="Times New Roman" w:cs="Times New Roman"/>
          <w:noProof/>
          <w:sz w:val="24"/>
          <w:szCs w:val="24"/>
          <w:vertAlign w:val="superscript"/>
          <w:lang w:val="en-US"/>
        </w:rPr>
        <w:t>73</w:t>
      </w:r>
      <w:r w:rsidR="008D55DC" w:rsidRPr="007B140B">
        <w:rPr>
          <w:rFonts w:ascii="Times New Roman" w:hAnsi="Times New Roman" w:cs="Times New Roman"/>
          <w:sz w:val="24"/>
          <w:szCs w:val="24"/>
          <w:lang w:val="en-US"/>
        </w:rPr>
        <w:fldChar w:fldCharType="end"/>
      </w:r>
      <w:r w:rsidRPr="007B140B">
        <w:rPr>
          <w:rFonts w:ascii="Times New Roman" w:hAnsi="Times New Roman" w:cs="Times New Roman"/>
          <w:sz w:val="24"/>
          <w:szCs w:val="24"/>
          <w:lang w:val="en-US"/>
        </w:rPr>
        <w:t xml:space="preserve"> the necessary number of fractures (assuming 90% power, a 2-sided alpha of 5%, and a hazard ratio of 0.65) is </w:t>
      </w:r>
    </w:p>
    <w:p w14:paraId="0B4AB278" w14:textId="38096EB7" w:rsidR="00946A82" w:rsidRPr="007B140B" w:rsidRDefault="00000000" w:rsidP="00946A82">
      <w:pPr>
        <w:jc w:val="center"/>
        <w:rPr>
          <w:rFonts w:ascii="Times New Roman" w:eastAsiaTheme="minorEastAsia" w:hAnsi="Times New Roman" w:cs="Times New Roman"/>
          <w:sz w:val="24"/>
          <w:szCs w:val="24"/>
          <w:lang w:val="en-US"/>
        </w:rPr>
      </w:pPr>
      <m:oMath>
        <m:f>
          <m:fPr>
            <m:ctrlPr>
              <w:rPr>
                <w:rFonts w:ascii="Cambria Math" w:hAnsi="Cambria Math" w:cs="Times New Roman"/>
                <w:i/>
                <w:sz w:val="24"/>
                <w:szCs w:val="24"/>
                <w:lang w:val="en-US"/>
              </w:rPr>
            </m:ctrlPr>
          </m:fPr>
          <m:num>
            <m:r>
              <w:rPr>
                <w:rFonts w:ascii="Cambria Math" w:hAnsi="Cambria Math" w:cs="Times New Roman"/>
                <w:sz w:val="24"/>
                <w:szCs w:val="24"/>
                <w:lang w:val="en-US"/>
              </w:rPr>
              <m:t>4</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1-0.05/2</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0.90</m:t>
                        </m:r>
                      </m:sub>
                    </m:sSub>
                  </m:e>
                </m:d>
              </m:e>
              <m:sup>
                <m:r>
                  <w:rPr>
                    <w:rFonts w:ascii="Cambria Math" w:hAnsi="Cambria Math" w:cs="Times New Roman"/>
                    <w:sz w:val="24"/>
                    <w:szCs w:val="24"/>
                    <w:lang w:val="en-US"/>
                  </w:rPr>
                  <m:t>2</m:t>
                </m:r>
              </m:sup>
            </m:sSup>
          </m:num>
          <m:den>
            <m:sSup>
              <m:sSupPr>
                <m:ctrlPr>
                  <w:rPr>
                    <w:rFonts w:ascii="Cambria Math" w:hAnsi="Cambria Math" w:cs="Times New Roman"/>
                    <w:i/>
                    <w:sz w:val="24"/>
                    <w:szCs w:val="24"/>
                    <w:lang w:val="en-US"/>
                  </w:rPr>
                </m:ctrlPr>
              </m:sSupPr>
              <m:e>
                <m:func>
                  <m:funcPr>
                    <m:ctrlPr>
                      <w:rPr>
                        <w:rFonts w:ascii="Cambria Math" w:hAnsi="Cambria Math" w:cs="Times New Roman"/>
                        <w:sz w:val="24"/>
                        <w:szCs w:val="24"/>
                        <w:lang w:val="en-US"/>
                      </w:rPr>
                    </m:ctrlPr>
                  </m:funcPr>
                  <m:fName>
                    <m:r>
                      <m:rPr>
                        <m:sty m:val="p"/>
                      </m:rPr>
                      <w:rPr>
                        <w:rFonts w:ascii="Cambria Math" w:hAnsi="Cambria Math" w:cs="Times New Roman"/>
                        <w:sz w:val="24"/>
                        <w:szCs w:val="24"/>
                        <w:lang w:val="en-US"/>
                      </w:rPr>
                      <m:t>ln</m:t>
                    </m:r>
                  </m:fName>
                  <m:e>
                    <m:d>
                      <m:dPr>
                        <m:ctrlPr>
                          <w:rPr>
                            <w:rFonts w:ascii="Cambria Math" w:hAnsi="Cambria Math" w:cs="Times New Roman"/>
                            <w:i/>
                            <w:sz w:val="24"/>
                            <w:szCs w:val="24"/>
                            <w:lang w:val="en-US"/>
                          </w:rPr>
                        </m:ctrlPr>
                      </m:dPr>
                      <m:e>
                        <m:r>
                          <w:rPr>
                            <w:rFonts w:ascii="Cambria Math" w:hAnsi="Cambria Math" w:cs="Times New Roman"/>
                            <w:sz w:val="24"/>
                            <w:szCs w:val="24"/>
                            <w:lang w:val="en-US"/>
                          </w:rPr>
                          <m:t>0.65</m:t>
                        </m:r>
                      </m:e>
                    </m:d>
                  </m:e>
                </m:func>
              </m:e>
              <m:sup>
                <m:r>
                  <w:rPr>
                    <w:rFonts w:ascii="Cambria Math" w:hAnsi="Cambria Math" w:cs="Times New Roman"/>
                    <w:sz w:val="24"/>
                    <w:szCs w:val="24"/>
                    <w:lang w:val="en-US"/>
                  </w:rPr>
                  <m:t>2</m:t>
                </m:r>
              </m:sup>
            </m:sSup>
          </m:den>
        </m:f>
        <m:r>
          <w:rPr>
            <w:rFonts w:ascii="Cambria Math" w:hAnsi="Cambria Math" w:cs="Times New Roman"/>
            <w:sz w:val="24"/>
            <w:szCs w:val="24"/>
            <w:lang w:val="en-US"/>
          </w:rPr>
          <m:t>=227</m:t>
        </m:r>
      </m:oMath>
      <w:r w:rsidR="00946A82" w:rsidRPr="007B140B">
        <w:rPr>
          <w:rFonts w:ascii="Times New Roman" w:eastAsiaTheme="minorEastAsia" w:hAnsi="Times New Roman" w:cs="Times New Roman"/>
          <w:sz w:val="24"/>
          <w:szCs w:val="24"/>
          <w:lang w:val="en-US"/>
        </w:rPr>
        <w:t>.</w:t>
      </w:r>
    </w:p>
    <w:p w14:paraId="4BAD49DC" w14:textId="7B532683" w:rsidR="00946A82" w:rsidRPr="007B140B" w:rsidRDefault="00946A82" w:rsidP="00946A82">
      <w:pPr>
        <w:rPr>
          <w:rFonts w:ascii="Times New Roman" w:hAnsi="Times New Roman" w:cs="Times New Roman"/>
          <w:sz w:val="24"/>
          <w:szCs w:val="24"/>
          <w:lang w:val="en-US"/>
        </w:rPr>
      </w:pPr>
      <w:r w:rsidRPr="007B140B">
        <w:rPr>
          <w:rFonts w:ascii="Times New Roman" w:eastAsiaTheme="minorEastAsia" w:hAnsi="Times New Roman" w:cs="Times New Roman"/>
          <w:sz w:val="24"/>
          <w:szCs w:val="24"/>
          <w:lang w:val="en-US"/>
        </w:rPr>
        <w:t xml:space="preserve">Here,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z</m:t>
            </m:r>
          </m:e>
          <m:sub>
            <m:r>
              <w:rPr>
                <w:rFonts w:ascii="Cambria Math" w:eastAsiaTheme="minorEastAsia" w:hAnsi="Cambria Math" w:cs="Times New Roman"/>
                <w:sz w:val="24"/>
                <w:szCs w:val="24"/>
                <w:lang w:val="en-US"/>
              </w:rPr>
              <m:t>p</m:t>
            </m:r>
          </m:sub>
        </m:sSub>
      </m:oMath>
      <w:r w:rsidRPr="007B140B">
        <w:rPr>
          <w:rFonts w:ascii="Times New Roman" w:eastAsiaTheme="minorEastAsia" w:hAnsi="Times New Roman" w:cs="Times New Roman"/>
          <w:sz w:val="24"/>
          <w:szCs w:val="24"/>
          <w:lang w:val="en-US"/>
        </w:rPr>
        <w:t xml:space="preserve"> is the </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p</m:t>
            </m:r>
          </m:e>
          <m:sup>
            <m:r>
              <w:rPr>
                <w:rFonts w:ascii="Cambria Math" w:eastAsiaTheme="minorEastAsia" w:hAnsi="Cambria Math" w:cs="Times New Roman"/>
                <w:sz w:val="24"/>
                <w:szCs w:val="24"/>
                <w:lang w:val="en-US"/>
              </w:rPr>
              <m:t>th</m:t>
            </m:r>
          </m:sup>
        </m:sSup>
      </m:oMath>
      <w:r w:rsidRPr="007B140B">
        <w:rPr>
          <w:rFonts w:ascii="Times New Roman" w:eastAsiaTheme="minorEastAsia" w:hAnsi="Times New Roman" w:cs="Times New Roman"/>
          <w:sz w:val="24"/>
          <w:szCs w:val="24"/>
          <w:lang w:val="en-US"/>
        </w:rPr>
        <w:t xml:space="preserve"> </w:t>
      </w:r>
      <w:r w:rsidR="00524165" w:rsidRPr="007B140B">
        <w:rPr>
          <w:rFonts w:ascii="Times New Roman" w:eastAsiaTheme="minorEastAsia" w:hAnsi="Times New Roman" w:cs="Times New Roman"/>
          <w:sz w:val="24"/>
          <w:szCs w:val="24"/>
          <w:lang w:val="en-US"/>
        </w:rPr>
        <w:t xml:space="preserve">quantile </w:t>
      </w:r>
      <w:r w:rsidRPr="007B140B">
        <w:rPr>
          <w:rFonts w:ascii="Times New Roman" w:eastAsiaTheme="minorEastAsia" w:hAnsi="Times New Roman" w:cs="Times New Roman"/>
          <w:sz w:val="24"/>
          <w:szCs w:val="24"/>
          <w:lang w:val="en-US"/>
        </w:rPr>
        <w:t xml:space="preserve">of the standard normal distribution and </w:t>
      </w:r>
      <m:oMath>
        <m:r>
          <m:rPr>
            <m:sty m:val="p"/>
          </m:rPr>
          <w:rPr>
            <w:rFonts w:ascii="Cambria Math" w:eastAsiaTheme="minorEastAsia" w:hAnsi="Cambria Math" w:cs="Times New Roman"/>
            <w:sz w:val="24"/>
            <w:szCs w:val="24"/>
            <w:lang w:val="en-US"/>
          </w:rPr>
          <m:t>ln⁡</m:t>
        </m:r>
        <m:r>
          <w:rPr>
            <w:rFonts w:ascii="Cambria Math" w:eastAsiaTheme="minorEastAsia" w:hAnsi="Cambria Math" w:cs="Times New Roman"/>
            <w:sz w:val="24"/>
            <w:szCs w:val="24"/>
            <w:lang w:val="en-US"/>
          </w:rPr>
          <m:t>(∙)</m:t>
        </m:r>
      </m:oMath>
      <w:r w:rsidRPr="007B140B">
        <w:rPr>
          <w:rFonts w:ascii="Times New Roman" w:eastAsiaTheme="minorEastAsia" w:hAnsi="Times New Roman" w:cs="Times New Roman"/>
          <w:sz w:val="24"/>
          <w:szCs w:val="24"/>
          <w:lang w:val="en-US"/>
        </w:rPr>
        <w:t xml:space="preserve"> is the natural logarithm.</w:t>
      </w:r>
    </w:p>
    <w:p w14:paraId="51F75377" w14:textId="280DAA46" w:rsidR="00946A82" w:rsidRPr="007B140B" w:rsidRDefault="00946A82" w:rsidP="00946A82">
      <w:pPr>
        <w:rPr>
          <w:rFonts w:ascii="Times New Roman" w:hAnsi="Times New Roman" w:cs="Times New Roman"/>
          <w:sz w:val="24"/>
          <w:szCs w:val="24"/>
          <w:lang w:val="en-US"/>
        </w:rPr>
      </w:pPr>
      <w:r w:rsidRPr="007B140B">
        <w:rPr>
          <w:rFonts w:ascii="Times New Roman" w:hAnsi="Times New Roman" w:cs="Times New Roman"/>
          <w:sz w:val="24"/>
          <w:szCs w:val="24"/>
          <w:lang w:val="en-US"/>
        </w:rPr>
        <w:t>The second step is to estimate the required number of participants, ignoring any early dropouts due to withdrawal. According to Schoenfeld,</w:t>
      </w:r>
      <w:r w:rsidR="008D55DC" w:rsidRPr="007B140B">
        <w:rPr>
          <w:rFonts w:ascii="Times New Roman" w:hAnsi="Times New Roman" w:cs="Times New Roman"/>
          <w:sz w:val="24"/>
          <w:szCs w:val="24"/>
          <w:lang w:val="en-US"/>
        </w:rPr>
        <w:fldChar w:fldCharType="begin" w:fldLock="1"/>
      </w:r>
      <w:r w:rsidR="00E85D18">
        <w:rPr>
          <w:rFonts w:ascii="Times New Roman" w:hAnsi="Times New Roman" w:cs="Times New Roman"/>
          <w:sz w:val="24"/>
          <w:szCs w:val="24"/>
          <w:lang w:val="en-US"/>
        </w:rPr>
        <w:instrText>ADDIN CSL_CITATION {"citationItems":[{"id":"ITEM-1","itemData":{"author":[{"dropping-particle":"","family":"Schoenfeld","given":"D","non-dropping-particle":"","parse-names":false,"suffix":""}],"container-title":"Biometrics","id":"ITEM-1","issue":"2","issued":{"date-parts":[["1983"]]},"page":"499-503","title":"Sample-size formula for the proportional-hazards regression model","type":"article-journal","volume":"39"},"uris":["http://www.mendeley.com/documents/?uuid=f9dca4d6-1b2c-4730-bd6a-b3bda45ec1d5"]}],"mendeley":{"formattedCitation":"&lt;sup&gt;&lt;sup&gt;73&lt;/sup&gt;&lt;/sup&gt;","plainTextFormattedCitation":"73","previouslyFormattedCitation":"&lt;sup&gt;&lt;sup&gt;74&lt;/sup&gt;&lt;/sup&gt;"},"properties":{"noteIndex":0},"schema":"https://github.com/citation-style-language/schema/raw/master/csl-citation.json"}</w:instrText>
      </w:r>
      <w:r w:rsidR="008D55DC" w:rsidRPr="007B140B">
        <w:rPr>
          <w:rFonts w:ascii="Times New Roman" w:hAnsi="Times New Roman" w:cs="Times New Roman"/>
          <w:sz w:val="24"/>
          <w:szCs w:val="24"/>
          <w:lang w:val="en-US"/>
        </w:rPr>
        <w:fldChar w:fldCharType="separate"/>
      </w:r>
      <w:r w:rsidR="00E85D18" w:rsidRPr="00E85D18">
        <w:rPr>
          <w:rFonts w:ascii="Times New Roman" w:hAnsi="Times New Roman" w:cs="Times New Roman"/>
          <w:noProof/>
          <w:sz w:val="24"/>
          <w:szCs w:val="24"/>
          <w:vertAlign w:val="superscript"/>
          <w:lang w:val="en-US"/>
        </w:rPr>
        <w:t>73</w:t>
      </w:r>
      <w:r w:rsidR="008D55DC" w:rsidRPr="007B140B">
        <w:rPr>
          <w:rFonts w:ascii="Times New Roman" w:hAnsi="Times New Roman" w:cs="Times New Roman"/>
          <w:sz w:val="24"/>
          <w:szCs w:val="24"/>
          <w:lang w:val="en-US"/>
        </w:rPr>
        <w:fldChar w:fldCharType="end"/>
      </w:r>
      <w:r w:rsidRPr="007B140B">
        <w:rPr>
          <w:rFonts w:ascii="Times New Roman" w:hAnsi="Times New Roman" w:cs="Times New Roman"/>
          <w:sz w:val="24"/>
          <w:szCs w:val="24"/>
          <w:lang w:val="en-US"/>
        </w:rPr>
        <w:t xml:space="preserve"> a 10% fracture risk in the placebo group and a hazard ratio of 0.65 corresponds to an estimated risk of</w:t>
      </w:r>
    </w:p>
    <w:p w14:paraId="1849CE34" w14:textId="77777777" w:rsidR="00946A82" w:rsidRPr="007B140B" w:rsidRDefault="00946A82" w:rsidP="00946A82">
      <w:pPr>
        <w:rPr>
          <w:rFonts w:ascii="Times New Roman" w:eastAsiaTheme="minorEastAsia" w:hAnsi="Times New Roman" w:cs="Times New Roman"/>
          <w:sz w:val="24"/>
          <w:szCs w:val="24"/>
          <w:lang w:val="en-US"/>
        </w:rPr>
      </w:pPr>
      <m:oMathPara>
        <m:oMath>
          <m:r>
            <w:rPr>
              <w:rFonts w:ascii="Cambria Math" w:hAnsi="Cambria Math" w:cs="Times New Roman"/>
              <w:sz w:val="24"/>
              <w:szCs w:val="24"/>
              <w:lang w:val="en-US"/>
            </w:rPr>
            <m:t>1-</m:t>
          </m:r>
          <m:sSup>
            <m:sSupPr>
              <m:ctrlPr>
                <w:rPr>
                  <w:rFonts w:ascii="Cambria Math" w:eastAsiaTheme="minorEastAsia"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lang w:val="en-US"/>
                    </w:rPr>
                    <m:t>1-0.10</m:t>
                  </m:r>
                </m:e>
              </m:d>
              <m:ctrlPr>
                <w:rPr>
                  <w:rFonts w:ascii="Cambria Math" w:hAnsi="Cambria Math" w:cs="Times New Roman"/>
                  <w:i/>
                  <w:sz w:val="24"/>
                  <w:szCs w:val="24"/>
                  <w:lang w:val="en-US"/>
                </w:rPr>
              </m:ctrlPr>
            </m:e>
            <m:sup>
              <m:r>
                <w:rPr>
                  <w:rFonts w:ascii="Cambria Math" w:hAnsi="Cambria Math" w:cs="Times New Roman"/>
                  <w:sz w:val="24"/>
                  <w:szCs w:val="24"/>
                  <w:lang w:val="en-US"/>
                </w:rPr>
                <m:t>0.65</m:t>
              </m:r>
            </m:sup>
          </m:sSup>
          <m:r>
            <w:rPr>
              <w:rFonts w:ascii="Cambria Math" w:eastAsiaTheme="minorEastAsia" w:hAnsi="Cambria Math" w:cs="Times New Roman"/>
              <w:sz w:val="24"/>
              <w:szCs w:val="24"/>
              <w:lang w:val="en-US"/>
            </w:rPr>
            <m:t>=0.06619</m:t>
          </m:r>
        </m:oMath>
      </m:oMathPara>
    </w:p>
    <w:p w14:paraId="62786FCA" w14:textId="77777777" w:rsidR="00946A82" w:rsidRPr="007B140B" w:rsidRDefault="00946A82" w:rsidP="00946A82">
      <w:pPr>
        <w:rPr>
          <w:rFonts w:ascii="Times New Roman" w:eastAsiaTheme="minorEastAsia" w:hAnsi="Times New Roman" w:cs="Times New Roman"/>
          <w:sz w:val="24"/>
          <w:szCs w:val="24"/>
          <w:lang w:val="en-US"/>
        </w:rPr>
      </w:pPr>
      <w:r w:rsidRPr="007B140B">
        <w:rPr>
          <w:rFonts w:ascii="Times New Roman" w:eastAsiaTheme="minorEastAsia" w:hAnsi="Times New Roman" w:cs="Times New Roman"/>
          <w:sz w:val="24"/>
          <w:szCs w:val="24"/>
          <w:lang w:val="en-US"/>
        </w:rPr>
        <w:t>in the zoledronic acid group. With 227 fractures, the required number of participants becomes</w:t>
      </w:r>
    </w:p>
    <w:p w14:paraId="41657C7D" w14:textId="77777777" w:rsidR="00946A82" w:rsidRPr="007B140B" w:rsidRDefault="00000000" w:rsidP="00946A82">
      <w:pPr>
        <w:jc w:val="center"/>
        <w:rPr>
          <w:rFonts w:ascii="Times New Roman" w:hAnsi="Times New Roman" w:cs="Times New Roman"/>
          <w:sz w:val="24"/>
          <w:szCs w:val="24"/>
          <w:lang w:val="en-US"/>
        </w:rPr>
      </w:pP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227</m:t>
            </m:r>
          </m:num>
          <m:den>
            <m:r>
              <w:rPr>
                <w:rFonts w:ascii="Cambria Math" w:eastAsiaTheme="minorEastAsia" w:hAnsi="Cambria Math" w:cs="Times New Roman"/>
                <w:sz w:val="24"/>
                <w:szCs w:val="24"/>
                <w:lang w:val="en-US"/>
              </w:rPr>
              <m:t>(0.10+0.06619)/2</m:t>
            </m:r>
          </m:den>
        </m:f>
        <m:r>
          <w:rPr>
            <w:rFonts w:ascii="Cambria Math" w:eastAsiaTheme="minorEastAsia" w:hAnsi="Cambria Math" w:cs="Times New Roman"/>
            <w:sz w:val="24"/>
            <w:szCs w:val="24"/>
            <w:lang w:val="en-US"/>
          </w:rPr>
          <m:t>=2732</m:t>
        </m:r>
      </m:oMath>
      <w:r w:rsidR="00946A82" w:rsidRPr="007B140B">
        <w:rPr>
          <w:rFonts w:ascii="Times New Roman" w:eastAsiaTheme="minorEastAsia" w:hAnsi="Times New Roman" w:cs="Times New Roman"/>
          <w:sz w:val="24"/>
          <w:szCs w:val="24"/>
          <w:lang w:val="en-US"/>
        </w:rPr>
        <w:t>.</w:t>
      </w:r>
    </w:p>
    <w:p w14:paraId="6D6594A9" w14:textId="62CA2686" w:rsidR="00946A82" w:rsidRPr="007B140B" w:rsidRDefault="00946A82" w:rsidP="00946A82">
      <w:p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The third step is to adjust the sample size of 2732 for dropouts. </w:t>
      </w:r>
      <w:r w:rsidR="00253B5B" w:rsidRPr="007B140B">
        <w:rPr>
          <w:rFonts w:ascii="Times New Roman" w:hAnsi="Times New Roman" w:cs="Times New Roman"/>
          <w:sz w:val="24"/>
          <w:szCs w:val="24"/>
          <w:lang w:val="en-US"/>
        </w:rPr>
        <w:t>As suggested by</w:t>
      </w:r>
      <w:r w:rsidRPr="007B140B">
        <w:rPr>
          <w:rFonts w:ascii="Times New Roman" w:hAnsi="Times New Roman" w:cs="Times New Roman"/>
          <w:sz w:val="24"/>
          <w:szCs w:val="24"/>
          <w:lang w:val="en-US"/>
        </w:rPr>
        <w:t xml:space="preserve"> Freedman,</w:t>
      </w:r>
      <w:r w:rsidR="008D55DC" w:rsidRPr="007B140B">
        <w:rPr>
          <w:rFonts w:ascii="Times New Roman" w:hAnsi="Times New Roman" w:cs="Times New Roman"/>
          <w:sz w:val="24"/>
          <w:szCs w:val="24"/>
          <w:lang w:val="en-US"/>
        </w:rPr>
        <w:fldChar w:fldCharType="begin" w:fldLock="1"/>
      </w:r>
      <w:r w:rsidR="00E85D18">
        <w:rPr>
          <w:rFonts w:ascii="Times New Roman" w:hAnsi="Times New Roman" w:cs="Times New Roman"/>
          <w:sz w:val="24"/>
          <w:szCs w:val="24"/>
          <w:lang w:val="en-US"/>
        </w:rPr>
        <w:instrText>ADDIN CSL_CITATION {"citationItems":[{"id":"ITEM-1","itemData":{"DOI":"10.1002/sim.4780050112","ISSN":"10970258","author":[{"dropping-particle":"","family":"Freedman","given":"L. S.","non-dropping-particle":"","parse-names":false,"suffix":""}],"container-title":"Statistics in Medicine","id":"ITEM-1","issue":"2","issued":{"date-parts":[["1982"]]},"page":"121-129","title":"Tables of the number of patients required in clinical trials using the logrank test","type":"article-journal","volume":"1"},"uris":["http://www.mendeley.com/documents/?uuid=c52d2548-0a16-43e0-8379-711dcf0667fa"]}],"mendeley":{"formattedCitation":"&lt;sup&gt;&lt;sup&gt;74&lt;/sup&gt;&lt;/sup&gt;","plainTextFormattedCitation":"74","previouslyFormattedCitation":"&lt;sup&gt;&lt;sup&gt;75&lt;/sup&gt;&lt;/sup&gt;"},"properties":{"noteIndex":0},"schema":"https://github.com/citation-style-language/schema/raw/master/csl-citation.json"}</w:instrText>
      </w:r>
      <w:r w:rsidR="008D55DC" w:rsidRPr="007B140B">
        <w:rPr>
          <w:rFonts w:ascii="Times New Roman" w:hAnsi="Times New Roman" w:cs="Times New Roman"/>
          <w:sz w:val="24"/>
          <w:szCs w:val="24"/>
          <w:lang w:val="en-US"/>
        </w:rPr>
        <w:fldChar w:fldCharType="separate"/>
      </w:r>
      <w:r w:rsidR="00E85D18" w:rsidRPr="00E85D18">
        <w:rPr>
          <w:rFonts w:ascii="Times New Roman" w:hAnsi="Times New Roman" w:cs="Times New Roman"/>
          <w:noProof/>
          <w:sz w:val="24"/>
          <w:szCs w:val="24"/>
          <w:vertAlign w:val="superscript"/>
          <w:lang w:val="en-US"/>
        </w:rPr>
        <w:t>74</w:t>
      </w:r>
      <w:r w:rsidR="008D55DC" w:rsidRPr="007B140B">
        <w:rPr>
          <w:rFonts w:ascii="Times New Roman" w:hAnsi="Times New Roman" w:cs="Times New Roman"/>
          <w:sz w:val="24"/>
          <w:szCs w:val="24"/>
          <w:lang w:val="en-US"/>
        </w:rPr>
        <w:fldChar w:fldCharType="end"/>
      </w:r>
      <w:r w:rsidRPr="007B140B">
        <w:rPr>
          <w:rFonts w:ascii="Times New Roman" w:hAnsi="Times New Roman" w:cs="Times New Roman"/>
          <w:sz w:val="24"/>
          <w:szCs w:val="24"/>
          <w:lang w:val="en-US"/>
        </w:rPr>
        <w:t xml:space="preserve"> this can be done simply by dividing </w:t>
      </w:r>
      <w:r w:rsidR="00763D7C" w:rsidRPr="007B140B">
        <w:rPr>
          <w:rFonts w:ascii="Times New Roman" w:hAnsi="Times New Roman" w:cs="Times New Roman"/>
          <w:sz w:val="24"/>
          <w:szCs w:val="24"/>
          <w:lang w:val="en-US"/>
        </w:rPr>
        <w:t xml:space="preserve">the sample size </w:t>
      </w:r>
      <w:r w:rsidRPr="007B140B">
        <w:rPr>
          <w:rFonts w:ascii="Times New Roman" w:hAnsi="Times New Roman" w:cs="Times New Roman"/>
          <w:sz w:val="24"/>
          <w:szCs w:val="24"/>
          <w:lang w:val="en-US"/>
        </w:rPr>
        <w:t xml:space="preserve">by the proportion of non-dropouts: </w:t>
      </w:r>
    </w:p>
    <w:p w14:paraId="6D04FBA5" w14:textId="77777777" w:rsidR="00946A82" w:rsidRPr="007B140B" w:rsidRDefault="00000000" w:rsidP="00946A82">
      <w:pPr>
        <w:jc w:val="center"/>
        <w:rPr>
          <w:rFonts w:ascii="Times New Roman" w:hAnsi="Times New Roman" w:cs="Times New Roman"/>
          <w:sz w:val="24"/>
          <w:szCs w:val="24"/>
          <w:lang w:val="en-US"/>
        </w:rPr>
      </w:pPr>
      <m:oMath>
        <m:f>
          <m:fPr>
            <m:ctrlPr>
              <w:rPr>
                <w:rFonts w:ascii="Cambria Math" w:hAnsi="Cambria Math" w:cs="Times New Roman"/>
                <w:i/>
                <w:sz w:val="24"/>
                <w:szCs w:val="24"/>
                <w:lang w:val="en-US"/>
              </w:rPr>
            </m:ctrlPr>
          </m:fPr>
          <m:num>
            <m:r>
              <w:rPr>
                <w:rFonts w:ascii="Cambria Math" w:hAnsi="Cambria Math" w:cs="Times New Roman"/>
                <w:sz w:val="24"/>
                <w:szCs w:val="24"/>
                <w:lang w:val="en-US"/>
              </w:rPr>
              <m:t>2732</m:t>
            </m:r>
          </m:num>
          <m:den>
            <m:r>
              <w:rPr>
                <w:rFonts w:ascii="Cambria Math" w:hAnsi="Cambria Math" w:cs="Times New Roman"/>
                <w:sz w:val="24"/>
                <w:szCs w:val="24"/>
                <w:lang w:val="en-US"/>
              </w:rPr>
              <m:t>1-0.05</m:t>
            </m:r>
          </m:den>
        </m:f>
        <m:r>
          <w:rPr>
            <w:rFonts w:ascii="Cambria Math" w:hAnsi="Cambria Math" w:cs="Times New Roman"/>
            <w:sz w:val="24"/>
            <w:szCs w:val="24"/>
            <w:lang w:val="en-US"/>
          </w:rPr>
          <m:t>=2876</m:t>
        </m:r>
      </m:oMath>
      <w:r w:rsidR="00946A82" w:rsidRPr="007B140B">
        <w:rPr>
          <w:rFonts w:ascii="Times New Roman" w:eastAsiaTheme="minorEastAsia" w:hAnsi="Times New Roman" w:cs="Times New Roman"/>
          <w:sz w:val="24"/>
          <w:szCs w:val="24"/>
          <w:lang w:val="en-US"/>
        </w:rPr>
        <w:t>.</w:t>
      </w:r>
    </w:p>
    <w:p w14:paraId="7336EAA4" w14:textId="0C032C9F" w:rsidR="00946A82" w:rsidRPr="007B140B" w:rsidRDefault="00946A82" w:rsidP="00946A82">
      <w:pPr>
        <w:rPr>
          <w:rFonts w:ascii="Times New Roman" w:hAnsi="Times New Roman" w:cs="Times New Roman"/>
          <w:sz w:val="24"/>
          <w:szCs w:val="24"/>
          <w:lang w:val="en-US"/>
        </w:rPr>
      </w:pPr>
      <w:r w:rsidRPr="007B140B">
        <w:rPr>
          <w:rFonts w:ascii="Times New Roman" w:hAnsi="Times New Roman" w:cs="Times New Roman"/>
          <w:sz w:val="24"/>
          <w:szCs w:val="24"/>
          <w:lang w:val="en-US"/>
        </w:rPr>
        <w:t xml:space="preserve">For </w:t>
      </w:r>
      <w:r w:rsidR="00B307D1" w:rsidRPr="007B140B">
        <w:rPr>
          <w:rFonts w:ascii="Times New Roman" w:hAnsi="Times New Roman" w:cs="Times New Roman"/>
          <w:sz w:val="24"/>
          <w:szCs w:val="24"/>
          <w:lang w:val="en-US"/>
        </w:rPr>
        <w:t>simplicity</w:t>
      </w:r>
      <w:r w:rsidRPr="007B140B">
        <w:rPr>
          <w:rFonts w:ascii="Times New Roman" w:hAnsi="Times New Roman" w:cs="Times New Roman"/>
          <w:sz w:val="24"/>
          <w:szCs w:val="24"/>
          <w:lang w:val="en-US"/>
        </w:rPr>
        <w:t>, we round this number up to 2900.</w:t>
      </w:r>
    </w:p>
    <w:p w14:paraId="1CD47F9B" w14:textId="77777777" w:rsidR="00946A82" w:rsidRPr="007B140B" w:rsidRDefault="00946A82" w:rsidP="00946A82">
      <w:pPr>
        <w:rPr>
          <w:rFonts w:ascii="Times New Roman" w:hAnsi="Times New Roman" w:cs="Times New Roman"/>
          <w:sz w:val="24"/>
          <w:szCs w:val="24"/>
          <w:lang w:val="en-US"/>
        </w:rPr>
      </w:pPr>
    </w:p>
    <w:p w14:paraId="1039122C" w14:textId="45C1FF1C" w:rsidR="00FB6C09" w:rsidRPr="007B140B" w:rsidRDefault="00FB6C09">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br w:type="page"/>
      </w:r>
    </w:p>
    <w:p w14:paraId="1DC0FFFE" w14:textId="614B0DAC" w:rsidR="00790F73" w:rsidRPr="007B140B" w:rsidRDefault="00E13ABE" w:rsidP="00D36611">
      <w:pPr>
        <w:pStyle w:val="Formatmall4"/>
        <w:rPr>
          <w:rFonts w:cs="Times New Roman"/>
          <w:lang w:val="en-US"/>
        </w:rPr>
      </w:pPr>
      <w:bookmarkStart w:id="528" w:name="_Toc99001457"/>
      <w:r w:rsidRPr="007B140B">
        <w:rPr>
          <w:rFonts w:cs="Times New Roman"/>
          <w:lang w:val="en-US"/>
        </w:rPr>
        <w:lastRenderedPageBreak/>
        <w:t>Appendix 2: Sample S</w:t>
      </w:r>
      <w:r w:rsidR="00790F73" w:rsidRPr="007B140B">
        <w:rPr>
          <w:rFonts w:cs="Times New Roman"/>
          <w:lang w:val="en-US"/>
        </w:rPr>
        <w:t>ize</w:t>
      </w:r>
      <w:r w:rsidR="00321049" w:rsidRPr="007B140B">
        <w:rPr>
          <w:rFonts w:cs="Times New Roman"/>
          <w:lang w:val="en-US"/>
        </w:rPr>
        <w:t>s</w:t>
      </w:r>
      <w:r w:rsidRPr="007B140B">
        <w:rPr>
          <w:rFonts w:cs="Times New Roman"/>
          <w:lang w:val="en-US"/>
        </w:rPr>
        <w:t xml:space="preserve"> Under Varying A</w:t>
      </w:r>
      <w:r w:rsidR="00790F73" w:rsidRPr="007B140B">
        <w:rPr>
          <w:rFonts w:cs="Times New Roman"/>
          <w:lang w:val="en-US"/>
        </w:rPr>
        <w:t>ssumptions</w:t>
      </w:r>
      <w:bookmarkEnd w:id="528"/>
      <w:r w:rsidR="00790F73" w:rsidRPr="007B140B">
        <w:rPr>
          <w:rFonts w:cs="Times New Roman"/>
          <w:lang w:val="en-US"/>
        </w:rPr>
        <w:t xml:space="preserve"> </w:t>
      </w:r>
    </w:p>
    <w:tbl>
      <w:tblPr>
        <w:tblStyle w:val="Tabellrutnt"/>
        <w:tblW w:w="5000" w:type="pct"/>
        <w:tblLook w:val="04A0" w:firstRow="1" w:lastRow="0" w:firstColumn="1" w:lastColumn="0" w:noHBand="0" w:noVBand="1"/>
      </w:tblPr>
      <w:tblGrid>
        <w:gridCol w:w="1551"/>
        <w:gridCol w:w="851"/>
        <w:gridCol w:w="1992"/>
        <w:gridCol w:w="1987"/>
        <w:gridCol w:w="2691"/>
      </w:tblGrid>
      <w:tr w:rsidR="00790F73" w:rsidRPr="00390BA5" w14:paraId="61224D58" w14:textId="77777777" w:rsidTr="002C0DAB">
        <w:tc>
          <w:tcPr>
            <w:tcW w:w="5000" w:type="pct"/>
            <w:gridSpan w:val="5"/>
            <w:tcBorders>
              <w:top w:val="nil"/>
              <w:left w:val="nil"/>
              <w:right w:val="nil"/>
            </w:tcBorders>
            <w:vAlign w:val="center"/>
          </w:tcPr>
          <w:p w14:paraId="12F521E7" w14:textId="0BA2AA02" w:rsidR="00790F73" w:rsidRPr="007B140B" w:rsidRDefault="00617C60"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Required sample size</w:t>
            </w:r>
            <w:r w:rsidR="00321049" w:rsidRPr="007B140B">
              <w:rPr>
                <w:rFonts w:ascii="Times New Roman" w:hAnsi="Times New Roman" w:cs="Times New Roman"/>
                <w:sz w:val="24"/>
                <w:szCs w:val="24"/>
                <w:lang w:val="en-US"/>
              </w:rPr>
              <w:t xml:space="preserve"> under varying assumptions (5% significance level)</w:t>
            </w:r>
          </w:p>
        </w:tc>
      </w:tr>
      <w:tr w:rsidR="00321049" w:rsidRPr="007B140B" w14:paraId="7F442873" w14:textId="77777777" w:rsidTr="00321049">
        <w:tc>
          <w:tcPr>
            <w:tcW w:w="855" w:type="pct"/>
            <w:vAlign w:val="center"/>
          </w:tcPr>
          <w:p w14:paraId="356A923D" w14:textId="77777777" w:rsidR="00790F73" w:rsidRPr="007B140B" w:rsidRDefault="00790F73" w:rsidP="00790F73">
            <w:pPr>
              <w:spacing w:after="0"/>
              <w:rPr>
                <w:rFonts w:ascii="Times New Roman" w:hAnsi="Times New Roman" w:cs="Times New Roman"/>
                <w:b/>
                <w:sz w:val="24"/>
                <w:szCs w:val="24"/>
                <w:lang w:val="en-US"/>
              </w:rPr>
            </w:pPr>
            <w:r w:rsidRPr="007B140B">
              <w:rPr>
                <w:rFonts w:ascii="Times New Roman" w:hAnsi="Times New Roman" w:cs="Times New Roman"/>
                <w:b/>
                <w:sz w:val="24"/>
                <w:szCs w:val="24"/>
                <w:lang w:val="en-US"/>
              </w:rPr>
              <w:t>Power (%)</w:t>
            </w:r>
          </w:p>
        </w:tc>
        <w:tc>
          <w:tcPr>
            <w:tcW w:w="469" w:type="pct"/>
            <w:vAlign w:val="center"/>
          </w:tcPr>
          <w:p w14:paraId="5479114A" w14:textId="77777777" w:rsidR="00790F73" w:rsidRPr="007B140B" w:rsidRDefault="00790F73" w:rsidP="00790F73">
            <w:pPr>
              <w:spacing w:after="0"/>
              <w:rPr>
                <w:rFonts w:ascii="Times New Roman" w:hAnsi="Times New Roman" w:cs="Times New Roman"/>
                <w:b/>
                <w:sz w:val="24"/>
                <w:szCs w:val="24"/>
                <w:lang w:val="en-US"/>
              </w:rPr>
            </w:pPr>
            <w:r w:rsidRPr="007B140B">
              <w:rPr>
                <w:rFonts w:ascii="Times New Roman" w:hAnsi="Times New Roman" w:cs="Times New Roman"/>
                <w:b/>
                <w:sz w:val="24"/>
                <w:szCs w:val="24"/>
                <w:lang w:val="en-US"/>
              </w:rPr>
              <w:t>HR</w:t>
            </w:r>
          </w:p>
        </w:tc>
        <w:tc>
          <w:tcPr>
            <w:tcW w:w="1098" w:type="pct"/>
            <w:vAlign w:val="center"/>
          </w:tcPr>
          <w:p w14:paraId="439929A3" w14:textId="77777777" w:rsidR="00790F73" w:rsidRPr="007B140B" w:rsidRDefault="00790F73" w:rsidP="00790F73">
            <w:pPr>
              <w:spacing w:after="0"/>
              <w:rPr>
                <w:rFonts w:ascii="Times New Roman" w:hAnsi="Times New Roman" w:cs="Times New Roman"/>
                <w:b/>
                <w:sz w:val="24"/>
                <w:szCs w:val="24"/>
                <w:lang w:val="en-US"/>
              </w:rPr>
            </w:pPr>
            <w:r w:rsidRPr="007B140B">
              <w:rPr>
                <w:rFonts w:ascii="Times New Roman" w:hAnsi="Times New Roman" w:cs="Times New Roman"/>
                <w:b/>
                <w:sz w:val="24"/>
                <w:szCs w:val="24"/>
                <w:lang w:val="en-US"/>
              </w:rPr>
              <w:t>Risk placebo (%)</w:t>
            </w:r>
          </w:p>
        </w:tc>
        <w:tc>
          <w:tcPr>
            <w:tcW w:w="1095" w:type="pct"/>
            <w:vAlign w:val="center"/>
          </w:tcPr>
          <w:p w14:paraId="65DF1F50" w14:textId="70B704F7" w:rsidR="00790F73" w:rsidRPr="007B140B" w:rsidRDefault="00334423" w:rsidP="00790F73">
            <w:pPr>
              <w:spacing w:after="0"/>
              <w:rPr>
                <w:rFonts w:ascii="Times New Roman" w:hAnsi="Times New Roman" w:cs="Times New Roman"/>
                <w:b/>
                <w:sz w:val="24"/>
                <w:szCs w:val="24"/>
                <w:lang w:val="en-US"/>
              </w:rPr>
            </w:pPr>
            <w:r w:rsidRPr="007B140B">
              <w:rPr>
                <w:rFonts w:ascii="Times New Roman" w:hAnsi="Times New Roman" w:cs="Times New Roman"/>
                <w:b/>
                <w:sz w:val="24"/>
                <w:szCs w:val="24"/>
                <w:lang w:val="en-US"/>
              </w:rPr>
              <w:t>Dropout</w:t>
            </w:r>
            <w:r w:rsidR="00790F73" w:rsidRPr="007B140B">
              <w:rPr>
                <w:rFonts w:ascii="Times New Roman" w:hAnsi="Times New Roman" w:cs="Times New Roman"/>
                <w:b/>
                <w:sz w:val="24"/>
                <w:szCs w:val="24"/>
                <w:lang w:val="en-US"/>
              </w:rPr>
              <w:t xml:space="preserve"> (%)</w:t>
            </w:r>
          </w:p>
        </w:tc>
        <w:tc>
          <w:tcPr>
            <w:tcW w:w="1483" w:type="pct"/>
            <w:vAlign w:val="center"/>
          </w:tcPr>
          <w:p w14:paraId="3BC13CBE" w14:textId="77777777" w:rsidR="00790F73" w:rsidRPr="007B140B" w:rsidRDefault="00790F73" w:rsidP="00790F73">
            <w:pPr>
              <w:spacing w:after="0"/>
              <w:rPr>
                <w:rFonts w:ascii="Times New Roman" w:hAnsi="Times New Roman" w:cs="Times New Roman"/>
                <w:b/>
                <w:sz w:val="24"/>
                <w:szCs w:val="24"/>
                <w:lang w:val="en-US"/>
              </w:rPr>
            </w:pPr>
            <w:r w:rsidRPr="007B140B">
              <w:rPr>
                <w:rFonts w:ascii="Times New Roman" w:hAnsi="Times New Roman" w:cs="Times New Roman"/>
                <w:b/>
                <w:sz w:val="24"/>
                <w:szCs w:val="24"/>
                <w:lang w:val="en-US"/>
              </w:rPr>
              <w:t>Required Sample size</w:t>
            </w:r>
          </w:p>
        </w:tc>
      </w:tr>
      <w:tr w:rsidR="00790F73" w:rsidRPr="007B140B" w14:paraId="32526E48" w14:textId="77777777" w:rsidTr="00321049">
        <w:tc>
          <w:tcPr>
            <w:tcW w:w="855" w:type="pct"/>
            <w:vMerge w:val="restart"/>
            <w:vAlign w:val="center"/>
          </w:tcPr>
          <w:p w14:paraId="74D0C567" w14:textId="220AC44D" w:rsidR="00790F73" w:rsidRPr="007B140B" w:rsidRDefault="0004079F"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8</w:t>
            </w:r>
            <w:r w:rsidR="00790F73" w:rsidRPr="007B140B">
              <w:rPr>
                <w:rFonts w:ascii="Times New Roman" w:hAnsi="Times New Roman" w:cs="Times New Roman"/>
                <w:sz w:val="24"/>
                <w:szCs w:val="24"/>
                <w:lang w:val="en-US"/>
              </w:rPr>
              <w:t>0</w:t>
            </w:r>
          </w:p>
        </w:tc>
        <w:tc>
          <w:tcPr>
            <w:tcW w:w="469" w:type="pct"/>
            <w:vMerge w:val="restart"/>
            <w:vAlign w:val="center"/>
          </w:tcPr>
          <w:p w14:paraId="0831E38D"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0.65</w:t>
            </w:r>
          </w:p>
        </w:tc>
        <w:tc>
          <w:tcPr>
            <w:tcW w:w="1098" w:type="pct"/>
            <w:vMerge w:val="restart"/>
            <w:vAlign w:val="center"/>
          </w:tcPr>
          <w:p w14:paraId="7CF357AF"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15</w:t>
            </w:r>
          </w:p>
        </w:tc>
        <w:tc>
          <w:tcPr>
            <w:tcW w:w="1095" w:type="pct"/>
            <w:vAlign w:val="center"/>
          </w:tcPr>
          <w:p w14:paraId="1E77CF02" w14:textId="77777777" w:rsidR="00790F73" w:rsidRPr="007B140B" w:rsidRDefault="00790F73" w:rsidP="00790F73">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5</w:t>
            </w:r>
          </w:p>
        </w:tc>
        <w:tc>
          <w:tcPr>
            <w:tcW w:w="1483" w:type="pct"/>
            <w:vAlign w:val="center"/>
          </w:tcPr>
          <w:p w14:paraId="754D5212"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1432</w:t>
            </w:r>
          </w:p>
        </w:tc>
      </w:tr>
      <w:tr w:rsidR="00790F73" w:rsidRPr="007B140B" w14:paraId="18193ECE" w14:textId="77777777" w:rsidTr="00321049">
        <w:tc>
          <w:tcPr>
            <w:tcW w:w="855" w:type="pct"/>
            <w:vMerge/>
            <w:vAlign w:val="center"/>
          </w:tcPr>
          <w:p w14:paraId="1F5D8FCF" w14:textId="77777777" w:rsidR="00790F73" w:rsidRPr="007B140B" w:rsidRDefault="00790F73" w:rsidP="00790F73">
            <w:pPr>
              <w:spacing w:after="0"/>
              <w:rPr>
                <w:rFonts w:ascii="Times New Roman" w:hAnsi="Times New Roman" w:cs="Times New Roman"/>
                <w:sz w:val="24"/>
                <w:szCs w:val="24"/>
                <w:lang w:val="en-US"/>
              </w:rPr>
            </w:pPr>
          </w:p>
        </w:tc>
        <w:tc>
          <w:tcPr>
            <w:tcW w:w="469" w:type="pct"/>
            <w:vMerge/>
            <w:vAlign w:val="center"/>
          </w:tcPr>
          <w:p w14:paraId="6362AEE5" w14:textId="77777777" w:rsidR="00790F73" w:rsidRPr="007B140B" w:rsidRDefault="00790F73" w:rsidP="00790F73">
            <w:pPr>
              <w:spacing w:after="0"/>
              <w:rPr>
                <w:rFonts w:ascii="Times New Roman" w:hAnsi="Times New Roman" w:cs="Times New Roman"/>
                <w:sz w:val="24"/>
                <w:szCs w:val="24"/>
                <w:lang w:val="en-US"/>
              </w:rPr>
            </w:pPr>
          </w:p>
        </w:tc>
        <w:tc>
          <w:tcPr>
            <w:tcW w:w="1098" w:type="pct"/>
            <w:vMerge/>
            <w:vAlign w:val="center"/>
          </w:tcPr>
          <w:p w14:paraId="5BDC77F5" w14:textId="77777777" w:rsidR="00790F73" w:rsidRPr="007B140B" w:rsidRDefault="00790F73" w:rsidP="00790F73">
            <w:pPr>
              <w:spacing w:after="0"/>
              <w:rPr>
                <w:rFonts w:ascii="Times New Roman" w:hAnsi="Times New Roman" w:cs="Times New Roman"/>
                <w:sz w:val="24"/>
                <w:szCs w:val="24"/>
                <w:lang w:val="en-US"/>
              </w:rPr>
            </w:pPr>
          </w:p>
        </w:tc>
        <w:tc>
          <w:tcPr>
            <w:tcW w:w="1095" w:type="pct"/>
            <w:vAlign w:val="center"/>
          </w:tcPr>
          <w:p w14:paraId="33F2DA01" w14:textId="77777777" w:rsidR="00790F73" w:rsidRPr="007B140B" w:rsidRDefault="00790F73" w:rsidP="00790F73">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10</w:t>
            </w:r>
          </w:p>
        </w:tc>
        <w:tc>
          <w:tcPr>
            <w:tcW w:w="1483" w:type="pct"/>
            <w:vAlign w:val="center"/>
          </w:tcPr>
          <w:p w14:paraId="06A236B4"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1512</w:t>
            </w:r>
          </w:p>
        </w:tc>
      </w:tr>
      <w:tr w:rsidR="00790F73" w:rsidRPr="007B140B" w14:paraId="7868DF0E" w14:textId="77777777" w:rsidTr="00321049">
        <w:tc>
          <w:tcPr>
            <w:tcW w:w="855" w:type="pct"/>
            <w:vMerge/>
            <w:vAlign w:val="center"/>
          </w:tcPr>
          <w:p w14:paraId="1B8B2D25" w14:textId="77777777" w:rsidR="00790F73" w:rsidRPr="007B140B" w:rsidRDefault="00790F73" w:rsidP="00790F73">
            <w:pPr>
              <w:spacing w:after="0"/>
              <w:rPr>
                <w:rFonts w:ascii="Times New Roman" w:hAnsi="Times New Roman" w:cs="Times New Roman"/>
                <w:sz w:val="24"/>
                <w:szCs w:val="24"/>
                <w:lang w:val="en-US"/>
              </w:rPr>
            </w:pPr>
          </w:p>
        </w:tc>
        <w:tc>
          <w:tcPr>
            <w:tcW w:w="469" w:type="pct"/>
            <w:vMerge/>
            <w:vAlign w:val="center"/>
          </w:tcPr>
          <w:p w14:paraId="454FA2C8" w14:textId="77777777" w:rsidR="00790F73" w:rsidRPr="007B140B" w:rsidRDefault="00790F73" w:rsidP="00790F73">
            <w:pPr>
              <w:spacing w:after="0"/>
              <w:rPr>
                <w:rFonts w:ascii="Times New Roman" w:hAnsi="Times New Roman" w:cs="Times New Roman"/>
                <w:sz w:val="24"/>
                <w:szCs w:val="24"/>
                <w:lang w:val="en-US"/>
              </w:rPr>
            </w:pPr>
          </w:p>
        </w:tc>
        <w:tc>
          <w:tcPr>
            <w:tcW w:w="1098" w:type="pct"/>
            <w:vMerge/>
            <w:vAlign w:val="center"/>
          </w:tcPr>
          <w:p w14:paraId="1B24B14B" w14:textId="77777777" w:rsidR="00790F73" w:rsidRPr="007B140B" w:rsidRDefault="00790F73" w:rsidP="00790F73">
            <w:pPr>
              <w:spacing w:after="0"/>
              <w:rPr>
                <w:rFonts w:ascii="Times New Roman" w:hAnsi="Times New Roman" w:cs="Times New Roman"/>
                <w:sz w:val="24"/>
                <w:szCs w:val="24"/>
                <w:lang w:val="en-US"/>
              </w:rPr>
            </w:pPr>
          </w:p>
        </w:tc>
        <w:tc>
          <w:tcPr>
            <w:tcW w:w="1095" w:type="pct"/>
            <w:vAlign w:val="center"/>
          </w:tcPr>
          <w:p w14:paraId="69B24D88" w14:textId="77777777" w:rsidR="00790F73" w:rsidRPr="007B140B" w:rsidRDefault="00790F73" w:rsidP="00790F73">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15</w:t>
            </w:r>
          </w:p>
        </w:tc>
        <w:tc>
          <w:tcPr>
            <w:tcW w:w="1483" w:type="pct"/>
            <w:vAlign w:val="center"/>
          </w:tcPr>
          <w:p w14:paraId="78553897"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1600</w:t>
            </w:r>
          </w:p>
        </w:tc>
      </w:tr>
      <w:tr w:rsidR="00790F73" w:rsidRPr="007B140B" w14:paraId="42BAEC7C" w14:textId="77777777" w:rsidTr="00321049">
        <w:tc>
          <w:tcPr>
            <w:tcW w:w="855" w:type="pct"/>
            <w:vMerge/>
            <w:vAlign w:val="center"/>
          </w:tcPr>
          <w:p w14:paraId="6A4212FF" w14:textId="77777777" w:rsidR="00790F73" w:rsidRPr="007B140B" w:rsidRDefault="00790F73" w:rsidP="00790F73">
            <w:pPr>
              <w:spacing w:after="0"/>
              <w:rPr>
                <w:rFonts w:ascii="Times New Roman" w:hAnsi="Times New Roman" w:cs="Times New Roman"/>
                <w:sz w:val="24"/>
                <w:szCs w:val="24"/>
                <w:lang w:val="en-US"/>
              </w:rPr>
            </w:pPr>
          </w:p>
        </w:tc>
        <w:tc>
          <w:tcPr>
            <w:tcW w:w="469" w:type="pct"/>
            <w:vMerge/>
            <w:vAlign w:val="center"/>
          </w:tcPr>
          <w:p w14:paraId="03DFA4AC" w14:textId="77777777" w:rsidR="00790F73" w:rsidRPr="007B140B" w:rsidRDefault="00790F73" w:rsidP="00790F73">
            <w:pPr>
              <w:spacing w:after="0"/>
              <w:rPr>
                <w:rFonts w:ascii="Times New Roman" w:hAnsi="Times New Roman" w:cs="Times New Roman"/>
                <w:sz w:val="24"/>
                <w:szCs w:val="24"/>
                <w:lang w:val="en-US"/>
              </w:rPr>
            </w:pPr>
          </w:p>
        </w:tc>
        <w:tc>
          <w:tcPr>
            <w:tcW w:w="1098" w:type="pct"/>
            <w:vMerge w:val="restart"/>
            <w:vAlign w:val="center"/>
          </w:tcPr>
          <w:p w14:paraId="35BCFA68"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10</w:t>
            </w:r>
          </w:p>
        </w:tc>
        <w:tc>
          <w:tcPr>
            <w:tcW w:w="1095" w:type="pct"/>
            <w:vAlign w:val="center"/>
          </w:tcPr>
          <w:p w14:paraId="2DDF29CB" w14:textId="77777777" w:rsidR="00790F73" w:rsidRPr="007B140B" w:rsidRDefault="00790F73" w:rsidP="00790F73">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5</w:t>
            </w:r>
          </w:p>
        </w:tc>
        <w:tc>
          <w:tcPr>
            <w:tcW w:w="1483" w:type="pct"/>
            <w:vAlign w:val="center"/>
          </w:tcPr>
          <w:p w14:paraId="65532B8F"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2154</w:t>
            </w:r>
          </w:p>
        </w:tc>
      </w:tr>
      <w:tr w:rsidR="00790F73" w:rsidRPr="007B140B" w14:paraId="74B2BDDC" w14:textId="77777777" w:rsidTr="00321049">
        <w:tc>
          <w:tcPr>
            <w:tcW w:w="855" w:type="pct"/>
            <w:vMerge/>
            <w:vAlign w:val="center"/>
          </w:tcPr>
          <w:p w14:paraId="180F1B3B" w14:textId="77777777" w:rsidR="00790F73" w:rsidRPr="007B140B" w:rsidRDefault="00790F73" w:rsidP="00790F73">
            <w:pPr>
              <w:spacing w:after="0"/>
              <w:rPr>
                <w:rFonts w:ascii="Times New Roman" w:hAnsi="Times New Roman" w:cs="Times New Roman"/>
                <w:sz w:val="24"/>
                <w:szCs w:val="24"/>
                <w:lang w:val="en-US"/>
              </w:rPr>
            </w:pPr>
          </w:p>
        </w:tc>
        <w:tc>
          <w:tcPr>
            <w:tcW w:w="469" w:type="pct"/>
            <w:vMerge/>
            <w:vAlign w:val="center"/>
          </w:tcPr>
          <w:p w14:paraId="1694532B" w14:textId="77777777" w:rsidR="00790F73" w:rsidRPr="007B140B" w:rsidRDefault="00790F73" w:rsidP="00790F73">
            <w:pPr>
              <w:spacing w:after="0"/>
              <w:rPr>
                <w:rFonts w:ascii="Times New Roman" w:hAnsi="Times New Roman" w:cs="Times New Roman"/>
                <w:sz w:val="24"/>
                <w:szCs w:val="24"/>
                <w:lang w:val="en-US"/>
              </w:rPr>
            </w:pPr>
          </w:p>
        </w:tc>
        <w:tc>
          <w:tcPr>
            <w:tcW w:w="1098" w:type="pct"/>
            <w:vMerge/>
            <w:vAlign w:val="center"/>
          </w:tcPr>
          <w:p w14:paraId="53475CF4" w14:textId="77777777" w:rsidR="00790F73" w:rsidRPr="007B140B" w:rsidRDefault="00790F73" w:rsidP="00790F73">
            <w:pPr>
              <w:spacing w:after="0"/>
              <w:rPr>
                <w:rFonts w:ascii="Times New Roman" w:hAnsi="Times New Roman" w:cs="Times New Roman"/>
                <w:sz w:val="24"/>
                <w:szCs w:val="24"/>
                <w:lang w:val="en-US"/>
              </w:rPr>
            </w:pPr>
          </w:p>
        </w:tc>
        <w:tc>
          <w:tcPr>
            <w:tcW w:w="1095" w:type="pct"/>
            <w:vAlign w:val="center"/>
          </w:tcPr>
          <w:p w14:paraId="73C5EFA7" w14:textId="77777777" w:rsidR="00790F73" w:rsidRPr="007B140B" w:rsidRDefault="00790F73" w:rsidP="00790F73">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10</w:t>
            </w:r>
          </w:p>
        </w:tc>
        <w:tc>
          <w:tcPr>
            <w:tcW w:w="1483" w:type="pct"/>
            <w:vAlign w:val="center"/>
          </w:tcPr>
          <w:p w14:paraId="0B87D2E8"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2274</w:t>
            </w:r>
          </w:p>
        </w:tc>
      </w:tr>
      <w:tr w:rsidR="00790F73" w:rsidRPr="007B140B" w14:paraId="1D8A3AE6" w14:textId="77777777" w:rsidTr="00321049">
        <w:tc>
          <w:tcPr>
            <w:tcW w:w="855" w:type="pct"/>
            <w:vMerge/>
            <w:vAlign w:val="center"/>
          </w:tcPr>
          <w:p w14:paraId="082A87E1" w14:textId="77777777" w:rsidR="00790F73" w:rsidRPr="007B140B" w:rsidRDefault="00790F73" w:rsidP="00790F73">
            <w:pPr>
              <w:spacing w:after="0"/>
              <w:rPr>
                <w:rFonts w:ascii="Times New Roman" w:hAnsi="Times New Roman" w:cs="Times New Roman"/>
                <w:sz w:val="24"/>
                <w:szCs w:val="24"/>
                <w:lang w:val="en-US"/>
              </w:rPr>
            </w:pPr>
          </w:p>
        </w:tc>
        <w:tc>
          <w:tcPr>
            <w:tcW w:w="469" w:type="pct"/>
            <w:vMerge/>
            <w:vAlign w:val="center"/>
          </w:tcPr>
          <w:p w14:paraId="62AB6607" w14:textId="77777777" w:rsidR="00790F73" w:rsidRPr="007B140B" w:rsidRDefault="00790F73" w:rsidP="00790F73">
            <w:pPr>
              <w:spacing w:after="0"/>
              <w:rPr>
                <w:rFonts w:ascii="Times New Roman" w:hAnsi="Times New Roman" w:cs="Times New Roman"/>
                <w:sz w:val="24"/>
                <w:szCs w:val="24"/>
                <w:lang w:val="en-US"/>
              </w:rPr>
            </w:pPr>
          </w:p>
        </w:tc>
        <w:tc>
          <w:tcPr>
            <w:tcW w:w="1098" w:type="pct"/>
            <w:vMerge/>
            <w:vAlign w:val="center"/>
          </w:tcPr>
          <w:p w14:paraId="64760996" w14:textId="77777777" w:rsidR="00790F73" w:rsidRPr="007B140B" w:rsidRDefault="00790F73" w:rsidP="00790F73">
            <w:pPr>
              <w:spacing w:after="0"/>
              <w:rPr>
                <w:rFonts w:ascii="Times New Roman" w:hAnsi="Times New Roman" w:cs="Times New Roman"/>
                <w:sz w:val="24"/>
                <w:szCs w:val="24"/>
                <w:lang w:val="en-US"/>
              </w:rPr>
            </w:pPr>
          </w:p>
        </w:tc>
        <w:tc>
          <w:tcPr>
            <w:tcW w:w="1095" w:type="pct"/>
            <w:vAlign w:val="center"/>
          </w:tcPr>
          <w:p w14:paraId="1F5AA0AD"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15</w:t>
            </w:r>
          </w:p>
        </w:tc>
        <w:tc>
          <w:tcPr>
            <w:tcW w:w="1483" w:type="pct"/>
            <w:vAlign w:val="center"/>
          </w:tcPr>
          <w:p w14:paraId="72D2D6E0"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2408</w:t>
            </w:r>
          </w:p>
        </w:tc>
      </w:tr>
      <w:tr w:rsidR="00790F73" w:rsidRPr="007B140B" w14:paraId="4CE825F9" w14:textId="77777777" w:rsidTr="00321049">
        <w:tc>
          <w:tcPr>
            <w:tcW w:w="855" w:type="pct"/>
            <w:vMerge/>
            <w:vAlign w:val="center"/>
          </w:tcPr>
          <w:p w14:paraId="5B025634" w14:textId="77777777" w:rsidR="00790F73" w:rsidRPr="007B140B" w:rsidRDefault="00790F73" w:rsidP="00790F73">
            <w:pPr>
              <w:spacing w:after="0"/>
              <w:rPr>
                <w:rFonts w:ascii="Times New Roman" w:hAnsi="Times New Roman" w:cs="Times New Roman"/>
                <w:sz w:val="24"/>
                <w:szCs w:val="24"/>
                <w:lang w:val="en-US"/>
              </w:rPr>
            </w:pPr>
          </w:p>
        </w:tc>
        <w:tc>
          <w:tcPr>
            <w:tcW w:w="469" w:type="pct"/>
            <w:vMerge w:val="restart"/>
            <w:vAlign w:val="center"/>
          </w:tcPr>
          <w:p w14:paraId="03B20221"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0.70</w:t>
            </w:r>
          </w:p>
        </w:tc>
        <w:tc>
          <w:tcPr>
            <w:tcW w:w="1098" w:type="pct"/>
            <w:vMerge w:val="restart"/>
            <w:vAlign w:val="center"/>
          </w:tcPr>
          <w:p w14:paraId="5F085B6B"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15</w:t>
            </w:r>
          </w:p>
        </w:tc>
        <w:tc>
          <w:tcPr>
            <w:tcW w:w="1095" w:type="pct"/>
            <w:vAlign w:val="center"/>
          </w:tcPr>
          <w:p w14:paraId="5EA7F0E2" w14:textId="77777777" w:rsidR="00790F73" w:rsidRPr="007B140B" w:rsidRDefault="00790F73" w:rsidP="00790F73">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5</w:t>
            </w:r>
          </w:p>
        </w:tc>
        <w:tc>
          <w:tcPr>
            <w:tcW w:w="1483" w:type="pct"/>
            <w:vAlign w:val="center"/>
          </w:tcPr>
          <w:p w14:paraId="6BD10636"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2022</w:t>
            </w:r>
          </w:p>
        </w:tc>
      </w:tr>
      <w:tr w:rsidR="00790F73" w:rsidRPr="007B140B" w14:paraId="28C54732" w14:textId="77777777" w:rsidTr="00321049">
        <w:tc>
          <w:tcPr>
            <w:tcW w:w="855" w:type="pct"/>
            <w:vMerge/>
            <w:vAlign w:val="center"/>
          </w:tcPr>
          <w:p w14:paraId="0105B214" w14:textId="77777777" w:rsidR="00790F73" w:rsidRPr="007B140B" w:rsidRDefault="00790F73" w:rsidP="00790F73">
            <w:pPr>
              <w:spacing w:after="0"/>
              <w:rPr>
                <w:rFonts w:ascii="Times New Roman" w:hAnsi="Times New Roman" w:cs="Times New Roman"/>
                <w:sz w:val="24"/>
                <w:szCs w:val="24"/>
                <w:lang w:val="en-US"/>
              </w:rPr>
            </w:pPr>
          </w:p>
        </w:tc>
        <w:tc>
          <w:tcPr>
            <w:tcW w:w="469" w:type="pct"/>
            <w:vMerge/>
            <w:vAlign w:val="center"/>
          </w:tcPr>
          <w:p w14:paraId="528D5CF7" w14:textId="77777777" w:rsidR="00790F73" w:rsidRPr="007B140B" w:rsidRDefault="00790F73" w:rsidP="00790F73">
            <w:pPr>
              <w:spacing w:after="0"/>
              <w:rPr>
                <w:rFonts w:ascii="Times New Roman" w:hAnsi="Times New Roman" w:cs="Times New Roman"/>
                <w:sz w:val="24"/>
                <w:szCs w:val="24"/>
                <w:lang w:val="en-US"/>
              </w:rPr>
            </w:pPr>
          </w:p>
        </w:tc>
        <w:tc>
          <w:tcPr>
            <w:tcW w:w="1098" w:type="pct"/>
            <w:vMerge/>
            <w:vAlign w:val="center"/>
          </w:tcPr>
          <w:p w14:paraId="14345650" w14:textId="77777777" w:rsidR="00790F73" w:rsidRPr="007B140B" w:rsidRDefault="00790F73" w:rsidP="00790F73">
            <w:pPr>
              <w:spacing w:after="0"/>
              <w:rPr>
                <w:rFonts w:ascii="Times New Roman" w:hAnsi="Times New Roman" w:cs="Times New Roman"/>
                <w:sz w:val="24"/>
                <w:szCs w:val="24"/>
                <w:lang w:val="en-US"/>
              </w:rPr>
            </w:pPr>
          </w:p>
        </w:tc>
        <w:tc>
          <w:tcPr>
            <w:tcW w:w="1095" w:type="pct"/>
            <w:vAlign w:val="center"/>
          </w:tcPr>
          <w:p w14:paraId="36DFED31" w14:textId="77777777" w:rsidR="00790F73" w:rsidRPr="007B140B" w:rsidRDefault="00790F73" w:rsidP="00790F73">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10</w:t>
            </w:r>
          </w:p>
        </w:tc>
        <w:tc>
          <w:tcPr>
            <w:tcW w:w="1483" w:type="pct"/>
            <w:vAlign w:val="center"/>
          </w:tcPr>
          <w:p w14:paraId="479B3822"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2134</w:t>
            </w:r>
          </w:p>
        </w:tc>
      </w:tr>
      <w:tr w:rsidR="00790F73" w:rsidRPr="007B140B" w14:paraId="4F9610DA" w14:textId="77777777" w:rsidTr="00321049">
        <w:tc>
          <w:tcPr>
            <w:tcW w:w="855" w:type="pct"/>
            <w:vMerge/>
            <w:vAlign w:val="center"/>
          </w:tcPr>
          <w:p w14:paraId="334910A6" w14:textId="77777777" w:rsidR="00790F73" w:rsidRPr="007B140B" w:rsidRDefault="00790F73" w:rsidP="00790F73">
            <w:pPr>
              <w:spacing w:after="0"/>
              <w:rPr>
                <w:rFonts w:ascii="Times New Roman" w:hAnsi="Times New Roman" w:cs="Times New Roman"/>
                <w:sz w:val="24"/>
                <w:szCs w:val="24"/>
                <w:lang w:val="en-US"/>
              </w:rPr>
            </w:pPr>
          </w:p>
        </w:tc>
        <w:tc>
          <w:tcPr>
            <w:tcW w:w="469" w:type="pct"/>
            <w:vMerge/>
            <w:vAlign w:val="center"/>
          </w:tcPr>
          <w:p w14:paraId="15106EB9" w14:textId="77777777" w:rsidR="00790F73" w:rsidRPr="007B140B" w:rsidRDefault="00790F73" w:rsidP="00790F73">
            <w:pPr>
              <w:spacing w:after="0"/>
              <w:rPr>
                <w:rFonts w:ascii="Times New Roman" w:hAnsi="Times New Roman" w:cs="Times New Roman"/>
                <w:sz w:val="24"/>
                <w:szCs w:val="24"/>
                <w:lang w:val="en-US"/>
              </w:rPr>
            </w:pPr>
          </w:p>
        </w:tc>
        <w:tc>
          <w:tcPr>
            <w:tcW w:w="1098" w:type="pct"/>
            <w:vMerge/>
            <w:vAlign w:val="center"/>
          </w:tcPr>
          <w:p w14:paraId="32746E73" w14:textId="77777777" w:rsidR="00790F73" w:rsidRPr="007B140B" w:rsidRDefault="00790F73" w:rsidP="00790F73">
            <w:pPr>
              <w:spacing w:after="0"/>
              <w:rPr>
                <w:rFonts w:ascii="Times New Roman" w:hAnsi="Times New Roman" w:cs="Times New Roman"/>
                <w:sz w:val="24"/>
                <w:szCs w:val="24"/>
                <w:lang w:val="en-US"/>
              </w:rPr>
            </w:pPr>
          </w:p>
        </w:tc>
        <w:tc>
          <w:tcPr>
            <w:tcW w:w="1095" w:type="pct"/>
            <w:vAlign w:val="center"/>
          </w:tcPr>
          <w:p w14:paraId="37BDF0F1"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15</w:t>
            </w:r>
          </w:p>
        </w:tc>
        <w:tc>
          <w:tcPr>
            <w:tcW w:w="1483" w:type="pct"/>
            <w:vAlign w:val="center"/>
          </w:tcPr>
          <w:p w14:paraId="0CD12C1D"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2260</w:t>
            </w:r>
          </w:p>
        </w:tc>
      </w:tr>
      <w:tr w:rsidR="00790F73" w:rsidRPr="007B140B" w14:paraId="7DA8A68B" w14:textId="77777777" w:rsidTr="00321049">
        <w:tc>
          <w:tcPr>
            <w:tcW w:w="855" w:type="pct"/>
            <w:vMerge/>
            <w:vAlign w:val="center"/>
          </w:tcPr>
          <w:p w14:paraId="4B115D80" w14:textId="77777777" w:rsidR="00790F73" w:rsidRPr="007B140B" w:rsidRDefault="00790F73" w:rsidP="00790F73">
            <w:pPr>
              <w:spacing w:after="0"/>
              <w:rPr>
                <w:rFonts w:ascii="Times New Roman" w:hAnsi="Times New Roman" w:cs="Times New Roman"/>
                <w:sz w:val="24"/>
                <w:szCs w:val="24"/>
                <w:lang w:val="en-US"/>
              </w:rPr>
            </w:pPr>
          </w:p>
        </w:tc>
        <w:tc>
          <w:tcPr>
            <w:tcW w:w="469" w:type="pct"/>
            <w:vMerge/>
            <w:vAlign w:val="center"/>
          </w:tcPr>
          <w:p w14:paraId="743CDD53" w14:textId="77777777" w:rsidR="00790F73" w:rsidRPr="007B140B" w:rsidRDefault="00790F73" w:rsidP="00790F73">
            <w:pPr>
              <w:spacing w:after="0"/>
              <w:rPr>
                <w:rFonts w:ascii="Times New Roman" w:hAnsi="Times New Roman" w:cs="Times New Roman"/>
                <w:sz w:val="24"/>
                <w:szCs w:val="24"/>
                <w:lang w:val="en-US"/>
              </w:rPr>
            </w:pPr>
          </w:p>
        </w:tc>
        <w:tc>
          <w:tcPr>
            <w:tcW w:w="1098" w:type="pct"/>
            <w:vMerge w:val="restart"/>
            <w:vAlign w:val="center"/>
          </w:tcPr>
          <w:p w14:paraId="5E03B395"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10</w:t>
            </w:r>
          </w:p>
        </w:tc>
        <w:tc>
          <w:tcPr>
            <w:tcW w:w="1095" w:type="pct"/>
            <w:vAlign w:val="center"/>
          </w:tcPr>
          <w:p w14:paraId="4F0D53D6" w14:textId="77777777" w:rsidR="00790F73" w:rsidRPr="007B140B" w:rsidRDefault="00790F73" w:rsidP="00790F73">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5</w:t>
            </w:r>
          </w:p>
        </w:tc>
        <w:tc>
          <w:tcPr>
            <w:tcW w:w="1483" w:type="pct"/>
            <w:vAlign w:val="center"/>
          </w:tcPr>
          <w:p w14:paraId="4D562A7C"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3040</w:t>
            </w:r>
          </w:p>
        </w:tc>
      </w:tr>
      <w:tr w:rsidR="00790F73" w:rsidRPr="007B140B" w14:paraId="73EC1044" w14:textId="77777777" w:rsidTr="00321049">
        <w:tc>
          <w:tcPr>
            <w:tcW w:w="855" w:type="pct"/>
            <w:vMerge/>
            <w:vAlign w:val="center"/>
          </w:tcPr>
          <w:p w14:paraId="4A0A17FC" w14:textId="77777777" w:rsidR="00790F73" w:rsidRPr="007B140B" w:rsidRDefault="00790F73" w:rsidP="00790F73">
            <w:pPr>
              <w:spacing w:after="0"/>
              <w:rPr>
                <w:rFonts w:ascii="Times New Roman" w:hAnsi="Times New Roman" w:cs="Times New Roman"/>
                <w:sz w:val="24"/>
                <w:szCs w:val="24"/>
                <w:lang w:val="en-US"/>
              </w:rPr>
            </w:pPr>
          </w:p>
        </w:tc>
        <w:tc>
          <w:tcPr>
            <w:tcW w:w="469" w:type="pct"/>
            <w:vMerge/>
            <w:vAlign w:val="center"/>
          </w:tcPr>
          <w:p w14:paraId="0046F132" w14:textId="77777777" w:rsidR="00790F73" w:rsidRPr="007B140B" w:rsidRDefault="00790F73" w:rsidP="00790F73">
            <w:pPr>
              <w:spacing w:after="0"/>
              <w:rPr>
                <w:rFonts w:ascii="Times New Roman" w:hAnsi="Times New Roman" w:cs="Times New Roman"/>
                <w:sz w:val="24"/>
                <w:szCs w:val="24"/>
                <w:lang w:val="en-US"/>
              </w:rPr>
            </w:pPr>
          </w:p>
        </w:tc>
        <w:tc>
          <w:tcPr>
            <w:tcW w:w="1098" w:type="pct"/>
            <w:vMerge/>
            <w:vAlign w:val="center"/>
          </w:tcPr>
          <w:p w14:paraId="3C9FCC0D" w14:textId="77777777" w:rsidR="00790F73" w:rsidRPr="007B140B" w:rsidRDefault="00790F73" w:rsidP="00790F73">
            <w:pPr>
              <w:spacing w:after="0"/>
              <w:rPr>
                <w:rFonts w:ascii="Times New Roman" w:hAnsi="Times New Roman" w:cs="Times New Roman"/>
                <w:sz w:val="24"/>
                <w:szCs w:val="24"/>
                <w:lang w:val="en-US"/>
              </w:rPr>
            </w:pPr>
          </w:p>
        </w:tc>
        <w:tc>
          <w:tcPr>
            <w:tcW w:w="1095" w:type="pct"/>
            <w:vAlign w:val="center"/>
          </w:tcPr>
          <w:p w14:paraId="5963F41A" w14:textId="77777777" w:rsidR="00790F73" w:rsidRPr="007B140B" w:rsidRDefault="00790F73" w:rsidP="00790F73">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10</w:t>
            </w:r>
          </w:p>
        </w:tc>
        <w:tc>
          <w:tcPr>
            <w:tcW w:w="1483" w:type="pct"/>
            <w:vAlign w:val="center"/>
          </w:tcPr>
          <w:p w14:paraId="6A986874"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3210</w:t>
            </w:r>
          </w:p>
        </w:tc>
      </w:tr>
      <w:tr w:rsidR="00790F73" w:rsidRPr="007B140B" w14:paraId="3D0F23D4" w14:textId="77777777" w:rsidTr="00321049">
        <w:trPr>
          <w:trHeight w:val="198"/>
        </w:trPr>
        <w:tc>
          <w:tcPr>
            <w:tcW w:w="855" w:type="pct"/>
            <w:vMerge/>
            <w:vAlign w:val="center"/>
          </w:tcPr>
          <w:p w14:paraId="4238F0A5" w14:textId="77777777" w:rsidR="00790F73" w:rsidRPr="007B140B" w:rsidRDefault="00790F73" w:rsidP="00790F73">
            <w:pPr>
              <w:spacing w:after="0"/>
              <w:rPr>
                <w:rFonts w:ascii="Times New Roman" w:hAnsi="Times New Roman" w:cs="Times New Roman"/>
                <w:sz w:val="24"/>
                <w:szCs w:val="24"/>
                <w:lang w:val="en-US"/>
              </w:rPr>
            </w:pPr>
          </w:p>
        </w:tc>
        <w:tc>
          <w:tcPr>
            <w:tcW w:w="469" w:type="pct"/>
            <w:vMerge/>
            <w:vAlign w:val="center"/>
          </w:tcPr>
          <w:p w14:paraId="1D74D22B" w14:textId="77777777" w:rsidR="00790F73" w:rsidRPr="007B140B" w:rsidRDefault="00790F73" w:rsidP="00790F73">
            <w:pPr>
              <w:spacing w:after="0"/>
              <w:rPr>
                <w:rFonts w:ascii="Times New Roman" w:hAnsi="Times New Roman" w:cs="Times New Roman"/>
                <w:sz w:val="24"/>
                <w:szCs w:val="24"/>
                <w:lang w:val="en-US"/>
              </w:rPr>
            </w:pPr>
          </w:p>
        </w:tc>
        <w:tc>
          <w:tcPr>
            <w:tcW w:w="1098" w:type="pct"/>
            <w:vMerge/>
            <w:vAlign w:val="center"/>
          </w:tcPr>
          <w:p w14:paraId="25AF8880" w14:textId="77777777" w:rsidR="00790F73" w:rsidRPr="007B140B" w:rsidRDefault="00790F73" w:rsidP="00790F73">
            <w:pPr>
              <w:spacing w:after="0"/>
              <w:rPr>
                <w:rFonts w:ascii="Times New Roman" w:hAnsi="Times New Roman" w:cs="Times New Roman"/>
                <w:sz w:val="24"/>
                <w:szCs w:val="24"/>
                <w:lang w:val="en-US"/>
              </w:rPr>
            </w:pPr>
          </w:p>
        </w:tc>
        <w:tc>
          <w:tcPr>
            <w:tcW w:w="1095" w:type="pct"/>
            <w:vAlign w:val="center"/>
          </w:tcPr>
          <w:p w14:paraId="5A1457E9"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15</w:t>
            </w:r>
          </w:p>
        </w:tc>
        <w:tc>
          <w:tcPr>
            <w:tcW w:w="1483" w:type="pct"/>
            <w:vAlign w:val="center"/>
          </w:tcPr>
          <w:p w14:paraId="597D7570"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3398</w:t>
            </w:r>
          </w:p>
        </w:tc>
      </w:tr>
      <w:tr w:rsidR="00790F73" w:rsidRPr="007B140B" w14:paraId="64A1310C" w14:textId="77777777" w:rsidTr="00321049">
        <w:tc>
          <w:tcPr>
            <w:tcW w:w="855" w:type="pct"/>
            <w:vMerge w:val="restart"/>
            <w:vAlign w:val="center"/>
          </w:tcPr>
          <w:p w14:paraId="08DE4334" w14:textId="7D2354B2" w:rsidR="00790F73" w:rsidRPr="007B140B" w:rsidRDefault="0004079F"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9</w:t>
            </w:r>
            <w:r w:rsidR="00790F73" w:rsidRPr="007B140B">
              <w:rPr>
                <w:rFonts w:ascii="Times New Roman" w:hAnsi="Times New Roman" w:cs="Times New Roman"/>
                <w:sz w:val="24"/>
                <w:szCs w:val="24"/>
                <w:lang w:val="en-US"/>
              </w:rPr>
              <w:t>0</w:t>
            </w:r>
          </w:p>
        </w:tc>
        <w:tc>
          <w:tcPr>
            <w:tcW w:w="469" w:type="pct"/>
            <w:vMerge w:val="restart"/>
            <w:vAlign w:val="center"/>
          </w:tcPr>
          <w:p w14:paraId="51C4C46F"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0.65</w:t>
            </w:r>
          </w:p>
        </w:tc>
        <w:tc>
          <w:tcPr>
            <w:tcW w:w="1098" w:type="pct"/>
            <w:vMerge w:val="restart"/>
            <w:vAlign w:val="center"/>
          </w:tcPr>
          <w:p w14:paraId="04B0A60D"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15</w:t>
            </w:r>
          </w:p>
        </w:tc>
        <w:tc>
          <w:tcPr>
            <w:tcW w:w="1095" w:type="pct"/>
            <w:vAlign w:val="center"/>
          </w:tcPr>
          <w:p w14:paraId="07DEFE64" w14:textId="77777777" w:rsidR="00790F73" w:rsidRPr="007B140B" w:rsidRDefault="00790F73" w:rsidP="00790F73">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5</w:t>
            </w:r>
          </w:p>
        </w:tc>
        <w:tc>
          <w:tcPr>
            <w:tcW w:w="1483" w:type="pct"/>
            <w:vAlign w:val="center"/>
          </w:tcPr>
          <w:p w14:paraId="10D2089D"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1912</w:t>
            </w:r>
          </w:p>
        </w:tc>
      </w:tr>
      <w:tr w:rsidR="00790F73" w:rsidRPr="007B140B" w14:paraId="03627502" w14:textId="77777777" w:rsidTr="00321049">
        <w:tc>
          <w:tcPr>
            <w:tcW w:w="855" w:type="pct"/>
            <w:vMerge/>
            <w:vAlign w:val="center"/>
          </w:tcPr>
          <w:p w14:paraId="16E3742D" w14:textId="77777777" w:rsidR="00790F73" w:rsidRPr="007B140B" w:rsidRDefault="00790F73" w:rsidP="00790F73">
            <w:pPr>
              <w:spacing w:after="0"/>
              <w:rPr>
                <w:rFonts w:ascii="Times New Roman" w:hAnsi="Times New Roman" w:cs="Times New Roman"/>
                <w:sz w:val="24"/>
                <w:szCs w:val="24"/>
                <w:lang w:val="en-US"/>
              </w:rPr>
            </w:pPr>
          </w:p>
        </w:tc>
        <w:tc>
          <w:tcPr>
            <w:tcW w:w="469" w:type="pct"/>
            <w:vMerge/>
            <w:vAlign w:val="center"/>
          </w:tcPr>
          <w:p w14:paraId="2EEC9B85" w14:textId="77777777" w:rsidR="00790F73" w:rsidRPr="007B140B" w:rsidRDefault="00790F73" w:rsidP="00790F73">
            <w:pPr>
              <w:spacing w:after="0"/>
              <w:rPr>
                <w:rFonts w:ascii="Times New Roman" w:hAnsi="Times New Roman" w:cs="Times New Roman"/>
                <w:sz w:val="24"/>
                <w:szCs w:val="24"/>
                <w:lang w:val="en-US"/>
              </w:rPr>
            </w:pPr>
          </w:p>
        </w:tc>
        <w:tc>
          <w:tcPr>
            <w:tcW w:w="1098" w:type="pct"/>
            <w:vMerge/>
            <w:vAlign w:val="center"/>
          </w:tcPr>
          <w:p w14:paraId="4617077F" w14:textId="77777777" w:rsidR="00790F73" w:rsidRPr="007B140B" w:rsidRDefault="00790F73" w:rsidP="00790F73">
            <w:pPr>
              <w:spacing w:after="0"/>
              <w:rPr>
                <w:rFonts w:ascii="Times New Roman" w:hAnsi="Times New Roman" w:cs="Times New Roman"/>
                <w:sz w:val="24"/>
                <w:szCs w:val="24"/>
                <w:lang w:val="en-US"/>
              </w:rPr>
            </w:pPr>
          </w:p>
        </w:tc>
        <w:tc>
          <w:tcPr>
            <w:tcW w:w="1095" w:type="pct"/>
            <w:vAlign w:val="center"/>
          </w:tcPr>
          <w:p w14:paraId="7C87663B" w14:textId="77777777" w:rsidR="00790F73" w:rsidRPr="007B140B" w:rsidRDefault="00790F73" w:rsidP="00790F73">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10</w:t>
            </w:r>
          </w:p>
        </w:tc>
        <w:tc>
          <w:tcPr>
            <w:tcW w:w="1483" w:type="pct"/>
            <w:vAlign w:val="center"/>
          </w:tcPr>
          <w:p w14:paraId="7169D021"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2018</w:t>
            </w:r>
          </w:p>
        </w:tc>
      </w:tr>
      <w:tr w:rsidR="00790F73" w:rsidRPr="007B140B" w14:paraId="58AFC133" w14:textId="77777777" w:rsidTr="00321049">
        <w:tc>
          <w:tcPr>
            <w:tcW w:w="855" w:type="pct"/>
            <w:vMerge/>
            <w:vAlign w:val="center"/>
          </w:tcPr>
          <w:p w14:paraId="732F7A4E" w14:textId="77777777" w:rsidR="00790F73" w:rsidRPr="007B140B" w:rsidRDefault="00790F73" w:rsidP="00790F73">
            <w:pPr>
              <w:spacing w:after="0"/>
              <w:rPr>
                <w:rFonts w:ascii="Times New Roman" w:hAnsi="Times New Roman" w:cs="Times New Roman"/>
                <w:sz w:val="24"/>
                <w:szCs w:val="24"/>
                <w:lang w:val="en-US"/>
              </w:rPr>
            </w:pPr>
          </w:p>
        </w:tc>
        <w:tc>
          <w:tcPr>
            <w:tcW w:w="469" w:type="pct"/>
            <w:vMerge/>
            <w:vAlign w:val="center"/>
          </w:tcPr>
          <w:p w14:paraId="7F740575" w14:textId="77777777" w:rsidR="00790F73" w:rsidRPr="007B140B" w:rsidRDefault="00790F73" w:rsidP="00790F73">
            <w:pPr>
              <w:spacing w:after="0"/>
              <w:rPr>
                <w:rFonts w:ascii="Times New Roman" w:hAnsi="Times New Roman" w:cs="Times New Roman"/>
                <w:sz w:val="24"/>
                <w:szCs w:val="24"/>
                <w:lang w:val="en-US"/>
              </w:rPr>
            </w:pPr>
          </w:p>
        </w:tc>
        <w:tc>
          <w:tcPr>
            <w:tcW w:w="1098" w:type="pct"/>
            <w:vMerge/>
            <w:vAlign w:val="center"/>
          </w:tcPr>
          <w:p w14:paraId="210254EA" w14:textId="77777777" w:rsidR="00790F73" w:rsidRPr="007B140B" w:rsidRDefault="00790F73" w:rsidP="00790F73">
            <w:pPr>
              <w:spacing w:after="0"/>
              <w:rPr>
                <w:rFonts w:ascii="Times New Roman" w:hAnsi="Times New Roman" w:cs="Times New Roman"/>
                <w:sz w:val="24"/>
                <w:szCs w:val="24"/>
                <w:lang w:val="en-US"/>
              </w:rPr>
            </w:pPr>
          </w:p>
        </w:tc>
        <w:tc>
          <w:tcPr>
            <w:tcW w:w="1095" w:type="pct"/>
            <w:vAlign w:val="center"/>
          </w:tcPr>
          <w:p w14:paraId="71804EC6"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15</w:t>
            </w:r>
          </w:p>
        </w:tc>
        <w:tc>
          <w:tcPr>
            <w:tcW w:w="1483" w:type="pct"/>
            <w:vAlign w:val="center"/>
          </w:tcPr>
          <w:p w14:paraId="625B03DB"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2138</w:t>
            </w:r>
          </w:p>
        </w:tc>
      </w:tr>
      <w:tr w:rsidR="00790F73" w:rsidRPr="007B140B" w14:paraId="38A1E1BC" w14:textId="77777777" w:rsidTr="00321049">
        <w:tc>
          <w:tcPr>
            <w:tcW w:w="855" w:type="pct"/>
            <w:vMerge/>
            <w:vAlign w:val="center"/>
          </w:tcPr>
          <w:p w14:paraId="699396CB" w14:textId="77777777" w:rsidR="00790F73" w:rsidRPr="007B140B" w:rsidRDefault="00790F73" w:rsidP="00790F73">
            <w:pPr>
              <w:spacing w:after="0"/>
              <w:rPr>
                <w:rFonts w:ascii="Times New Roman" w:hAnsi="Times New Roman" w:cs="Times New Roman"/>
                <w:sz w:val="24"/>
                <w:szCs w:val="24"/>
                <w:lang w:val="en-US"/>
              </w:rPr>
            </w:pPr>
          </w:p>
        </w:tc>
        <w:tc>
          <w:tcPr>
            <w:tcW w:w="469" w:type="pct"/>
            <w:vMerge/>
            <w:vAlign w:val="center"/>
          </w:tcPr>
          <w:p w14:paraId="5E0CDEB5" w14:textId="77777777" w:rsidR="00790F73" w:rsidRPr="007B140B" w:rsidRDefault="00790F73" w:rsidP="00790F73">
            <w:pPr>
              <w:spacing w:after="0"/>
              <w:rPr>
                <w:rFonts w:ascii="Times New Roman" w:hAnsi="Times New Roman" w:cs="Times New Roman"/>
                <w:sz w:val="24"/>
                <w:szCs w:val="24"/>
                <w:lang w:val="en-US"/>
              </w:rPr>
            </w:pPr>
          </w:p>
        </w:tc>
        <w:tc>
          <w:tcPr>
            <w:tcW w:w="1098" w:type="pct"/>
            <w:vMerge w:val="restart"/>
            <w:vAlign w:val="center"/>
          </w:tcPr>
          <w:p w14:paraId="2EC8B459"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10</w:t>
            </w:r>
          </w:p>
        </w:tc>
        <w:tc>
          <w:tcPr>
            <w:tcW w:w="1095" w:type="pct"/>
            <w:vAlign w:val="center"/>
          </w:tcPr>
          <w:p w14:paraId="64BB9811" w14:textId="77777777" w:rsidR="00790F73" w:rsidRPr="007B140B" w:rsidRDefault="00790F73" w:rsidP="00790F73">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5</w:t>
            </w:r>
          </w:p>
        </w:tc>
        <w:tc>
          <w:tcPr>
            <w:tcW w:w="1483" w:type="pct"/>
            <w:vAlign w:val="center"/>
          </w:tcPr>
          <w:p w14:paraId="0BC5A6EF"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2876</w:t>
            </w:r>
          </w:p>
        </w:tc>
      </w:tr>
      <w:tr w:rsidR="00790F73" w:rsidRPr="007B140B" w14:paraId="5735A187" w14:textId="77777777" w:rsidTr="00321049">
        <w:tc>
          <w:tcPr>
            <w:tcW w:w="855" w:type="pct"/>
            <w:vMerge/>
            <w:vAlign w:val="center"/>
          </w:tcPr>
          <w:p w14:paraId="355DCB01" w14:textId="77777777" w:rsidR="00790F73" w:rsidRPr="007B140B" w:rsidRDefault="00790F73" w:rsidP="00790F73">
            <w:pPr>
              <w:spacing w:after="0"/>
              <w:rPr>
                <w:rFonts w:ascii="Times New Roman" w:hAnsi="Times New Roman" w:cs="Times New Roman"/>
                <w:sz w:val="24"/>
                <w:szCs w:val="24"/>
                <w:lang w:val="en-US"/>
              </w:rPr>
            </w:pPr>
          </w:p>
        </w:tc>
        <w:tc>
          <w:tcPr>
            <w:tcW w:w="469" w:type="pct"/>
            <w:vMerge/>
            <w:vAlign w:val="center"/>
          </w:tcPr>
          <w:p w14:paraId="6A41B9CE" w14:textId="77777777" w:rsidR="00790F73" w:rsidRPr="007B140B" w:rsidRDefault="00790F73" w:rsidP="00790F73">
            <w:pPr>
              <w:spacing w:after="0"/>
              <w:rPr>
                <w:rFonts w:ascii="Times New Roman" w:hAnsi="Times New Roman" w:cs="Times New Roman"/>
                <w:sz w:val="24"/>
                <w:szCs w:val="24"/>
                <w:lang w:val="en-US"/>
              </w:rPr>
            </w:pPr>
          </w:p>
        </w:tc>
        <w:tc>
          <w:tcPr>
            <w:tcW w:w="1098" w:type="pct"/>
            <w:vMerge/>
            <w:vAlign w:val="center"/>
          </w:tcPr>
          <w:p w14:paraId="768208DF" w14:textId="77777777" w:rsidR="00790F73" w:rsidRPr="007B140B" w:rsidRDefault="00790F73" w:rsidP="00790F73">
            <w:pPr>
              <w:spacing w:after="0"/>
              <w:rPr>
                <w:rFonts w:ascii="Times New Roman" w:hAnsi="Times New Roman" w:cs="Times New Roman"/>
                <w:sz w:val="24"/>
                <w:szCs w:val="24"/>
                <w:lang w:val="en-US"/>
              </w:rPr>
            </w:pPr>
          </w:p>
        </w:tc>
        <w:tc>
          <w:tcPr>
            <w:tcW w:w="1095" w:type="pct"/>
            <w:vAlign w:val="center"/>
          </w:tcPr>
          <w:p w14:paraId="759B4892" w14:textId="77777777" w:rsidR="00790F73" w:rsidRPr="007B140B" w:rsidRDefault="00790F73" w:rsidP="00790F73">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10</w:t>
            </w:r>
          </w:p>
        </w:tc>
        <w:tc>
          <w:tcPr>
            <w:tcW w:w="1483" w:type="pct"/>
            <w:vAlign w:val="center"/>
          </w:tcPr>
          <w:p w14:paraId="613C0917"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3036</w:t>
            </w:r>
          </w:p>
        </w:tc>
      </w:tr>
      <w:tr w:rsidR="00790F73" w:rsidRPr="007B140B" w14:paraId="4CAC77CD" w14:textId="77777777" w:rsidTr="00321049">
        <w:tc>
          <w:tcPr>
            <w:tcW w:w="855" w:type="pct"/>
            <w:vMerge/>
            <w:vAlign w:val="center"/>
          </w:tcPr>
          <w:p w14:paraId="3F82A0A5" w14:textId="77777777" w:rsidR="00790F73" w:rsidRPr="007B140B" w:rsidRDefault="00790F73" w:rsidP="00790F73">
            <w:pPr>
              <w:spacing w:after="0"/>
              <w:rPr>
                <w:rFonts w:ascii="Times New Roman" w:hAnsi="Times New Roman" w:cs="Times New Roman"/>
                <w:sz w:val="24"/>
                <w:szCs w:val="24"/>
                <w:lang w:val="en-US"/>
              </w:rPr>
            </w:pPr>
          </w:p>
        </w:tc>
        <w:tc>
          <w:tcPr>
            <w:tcW w:w="469" w:type="pct"/>
            <w:vMerge/>
            <w:vAlign w:val="center"/>
          </w:tcPr>
          <w:p w14:paraId="1159A34D" w14:textId="77777777" w:rsidR="00790F73" w:rsidRPr="007B140B" w:rsidRDefault="00790F73" w:rsidP="00790F73">
            <w:pPr>
              <w:spacing w:after="0"/>
              <w:rPr>
                <w:rFonts w:ascii="Times New Roman" w:hAnsi="Times New Roman" w:cs="Times New Roman"/>
                <w:sz w:val="24"/>
                <w:szCs w:val="24"/>
                <w:lang w:val="en-US"/>
              </w:rPr>
            </w:pPr>
          </w:p>
        </w:tc>
        <w:tc>
          <w:tcPr>
            <w:tcW w:w="1098" w:type="pct"/>
            <w:vMerge/>
            <w:vAlign w:val="center"/>
          </w:tcPr>
          <w:p w14:paraId="36DA6DC8" w14:textId="77777777" w:rsidR="00790F73" w:rsidRPr="007B140B" w:rsidRDefault="00790F73" w:rsidP="00790F73">
            <w:pPr>
              <w:spacing w:after="0"/>
              <w:rPr>
                <w:rFonts w:ascii="Times New Roman" w:hAnsi="Times New Roman" w:cs="Times New Roman"/>
                <w:sz w:val="24"/>
                <w:szCs w:val="24"/>
                <w:lang w:val="en-US"/>
              </w:rPr>
            </w:pPr>
          </w:p>
        </w:tc>
        <w:tc>
          <w:tcPr>
            <w:tcW w:w="1095" w:type="pct"/>
            <w:vAlign w:val="center"/>
          </w:tcPr>
          <w:p w14:paraId="74B25CF5"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15</w:t>
            </w:r>
          </w:p>
        </w:tc>
        <w:tc>
          <w:tcPr>
            <w:tcW w:w="1483" w:type="pct"/>
            <w:vAlign w:val="center"/>
          </w:tcPr>
          <w:p w14:paraId="79A511E5"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3216</w:t>
            </w:r>
          </w:p>
        </w:tc>
      </w:tr>
      <w:tr w:rsidR="00790F73" w:rsidRPr="007B140B" w14:paraId="6F1AA56C" w14:textId="77777777" w:rsidTr="00321049">
        <w:tc>
          <w:tcPr>
            <w:tcW w:w="855" w:type="pct"/>
            <w:vMerge/>
            <w:vAlign w:val="center"/>
          </w:tcPr>
          <w:p w14:paraId="0F7CC5D2" w14:textId="77777777" w:rsidR="00790F73" w:rsidRPr="007B140B" w:rsidRDefault="00790F73" w:rsidP="00790F73">
            <w:pPr>
              <w:spacing w:after="0"/>
              <w:rPr>
                <w:rFonts w:ascii="Times New Roman" w:hAnsi="Times New Roman" w:cs="Times New Roman"/>
                <w:sz w:val="24"/>
                <w:szCs w:val="24"/>
                <w:lang w:val="en-US"/>
              </w:rPr>
            </w:pPr>
          </w:p>
        </w:tc>
        <w:tc>
          <w:tcPr>
            <w:tcW w:w="469" w:type="pct"/>
            <w:vMerge w:val="restart"/>
            <w:vAlign w:val="center"/>
          </w:tcPr>
          <w:p w14:paraId="40BDD4AB"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0.70</w:t>
            </w:r>
          </w:p>
        </w:tc>
        <w:tc>
          <w:tcPr>
            <w:tcW w:w="1098" w:type="pct"/>
            <w:vMerge w:val="restart"/>
            <w:vAlign w:val="center"/>
          </w:tcPr>
          <w:p w14:paraId="4D94739F"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15</w:t>
            </w:r>
          </w:p>
        </w:tc>
        <w:tc>
          <w:tcPr>
            <w:tcW w:w="1095" w:type="pct"/>
            <w:vAlign w:val="center"/>
          </w:tcPr>
          <w:p w14:paraId="532469E3" w14:textId="77777777" w:rsidR="00790F73" w:rsidRPr="007B140B" w:rsidRDefault="00790F73" w:rsidP="00790F73">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5</w:t>
            </w:r>
          </w:p>
        </w:tc>
        <w:tc>
          <w:tcPr>
            <w:tcW w:w="1483" w:type="pct"/>
            <w:vAlign w:val="center"/>
          </w:tcPr>
          <w:p w14:paraId="36FEFC1D"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2708</w:t>
            </w:r>
          </w:p>
        </w:tc>
      </w:tr>
      <w:tr w:rsidR="00790F73" w:rsidRPr="007B140B" w14:paraId="17ECD3C3" w14:textId="77777777" w:rsidTr="00321049">
        <w:tc>
          <w:tcPr>
            <w:tcW w:w="855" w:type="pct"/>
            <w:vMerge/>
            <w:vAlign w:val="center"/>
          </w:tcPr>
          <w:p w14:paraId="6C49059C" w14:textId="77777777" w:rsidR="00790F73" w:rsidRPr="007B140B" w:rsidRDefault="00790F73" w:rsidP="00790F73">
            <w:pPr>
              <w:spacing w:after="0"/>
              <w:rPr>
                <w:rFonts w:ascii="Times New Roman" w:hAnsi="Times New Roman" w:cs="Times New Roman"/>
                <w:sz w:val="24"/>
                <w:szCs w:val="24"/>
                <w:lang w:val="en-US"/>
              </w:rPr>
            </w:pPr>
          </w:p>
        </w:tc>
        <w:tc>
          <w:tcPr>
            <w:tcW w:w="469" w:type="pct"/>
            <w:vMerge/>
            <w:vAlign w:val="center"/>
          </w:tcPr>
          <w:p w14:paraId="486928BC" w14:textId="77777777" w:rsidR="00790F73" w:rsidRPr="007B140B" w:rsidRDefault="00790F73" w:rsidP="00790F73">
            <w:pPr>
              <w:spacing w:after="0"/>
              <w:rPr>
                <w:rFonts w:ascii="Times New Roman" w:hAnsi="Times New Roman" w:cs="Times New Roman"/>
                <w:sz w:val="24"/>
                <w:szCs w:val="24"/>
                <w:lang w:val="en-US"/>
              </w:rPr>
            </w:pPr>
          </w:p>
        </w:tc>
        <w:tc>
          <w:tcPr>
            <w:tcW w:w="1098" w:type="pct"/>
            <w:vMerge/>
            <w:vAlign w:val="center"/>
          </w:tcPr>
          <w:p w14:paraId="054C7FE7" w14:textId="77777777" w:rsidR="00790F73" w:rsidRPr="007B140B" w:rsidRDefault="00790F73" w:rsidP="00790F73">
            <w:pPr>
              <w:spacing w:after="0"/>
              <w:rPr>
                <w:rFonts w:ascii="Times New Roman" w:hAnsi="Times New Roman" w:cs="Times New Roman"/>
                <w:sz w:val="24"/>
                <w:szCs w:val="24"/>
                <w:lang w:val="en-US"/>
              </w:rPr>
            </w:pPr>
          </w:p>
        </w:tc>
        <w:tc>
          <w:tcPr>
            <w:tcW w:w="1095" w:type="pct"/>
            <w:vAlign w:val="center"/>
          </w:tcPr>
          <w:p w14:paraId="62D37EF5" w14:textId="77777777" w:rsidR="00790F73" w:rsidRPr="007B140B" w:rsidRDefault="00790F73" w:rsidP="00790F73">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10</w:t>
            </w:r>
          </w:p>
        </w:tc>
        <w:tc>
          <w:tcPr>
            <w:tcW w:w="1483" w:type="pct"/>
            <w:vAlign w:val="center"/>
          </w:tcPr>
          <w:p w14:paraId="66BA6620"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2858</w:t>
            </w:r>
          </w:p>
        </w:tc>
      </w:tr>
      <w:tr w:rsidR="00790F73" w:rsidRPr="007B140B" w14:paraId="1C83C171" w14:textId="77777777" w:rsidTr="00321049">
        <w:tc>
          <w:tcPr>
            <w:tcW w:w="855" w:type="pct"/>
            <w:vMerge/>
            <w:vAlign w:val="center"/>
          </w:tcPr>
          <w:p w14:paraId="73849629" w14:textId="77777777" w:rsidR="00790F73" w:rsidRPr="007B140B" w:rsidRDefault="00790F73" w:rsidP="00790F73">
            <w:pPr>
              <w:spacing w:after="0"/>
              <w:rPr>
                <w:rFonts w:ascii="Times New Roman" w:hAnsi="Times New Roman" w:cs="Times New Roman"/>
                <w:sz w:val="24"/>
                <w:szCs w:val="24"/>
                <w:lang w:val="en-US"/>
              </w:rPr>
            </w:pPr>
          </w:p>
        </w:tc>
        <w:tc>
          <w:tcPr>
            <w:tcW w:w="469" w:type="pct"/>
            <w:vMerge/>
            <w:vAlign w:val="center"/>
          </w:tcPr>
          <w:p w14:paraId="4081972F" w14:textId="77777777" w:rsidR="00790F73" w:rsidRPr="007B140B" w:rsidRDefault="00790F73" w:rsidP="00790F73">
            <w:pPr>
              <w:spacing w:after="0"/>
              <w:rPr>
                <w:rFonts w:ascii="Times New Roman" w:hAnsi="Times New Roman" w:cs="Times New Roman"/>
                <w:sz w:val="24"/>
                <w:szCs w:val="24"/>
                <w:lang w:val="en-US"/>
              </w:rPr>
            </w:pPr>
          </w:p>
        </w:tc>
        <w:tc>
          <w:tcPr>
            <w:tcW w:w="1098" w:type="pct"/>
            <w:vMerge/>
            <w:vAlign w:val="center"/>
          </w:tcPr>
          <w:p w14:paraId="4691BC51" w14:textId="77777777" w:rsidR="00790F73" w:rsidRPr="007B140B" w:rsidRDefault="00790F73" w:rsidP="00790F73">
            <w:pPr>
              <w:spacing w:after="0"/>
              <w:rPr>
                <w:rFonts w:ascii="Times New Roman" w:hAnsi="Times New Roman" w:cs="Times New Roman"/>
                <w:sz w:val="24"/>
                <w:szCs w:val="24"/>
                <w:lang w:val="en-US"/>
              </w:rPr>
            </w:pPr>
          </w:p>
        </w:tc>
        <w:tc>
          <w:tcPr>
            <w:tcW w:w="1095" w:type="pct"/>
            <w:vAlign w:val="center"/>
          </w:tcPr>
          <w:p w14:paraId="5FF24BE3"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15</w:t>
            </w:r>
          </w:p>
        </w:tc>
        <w:tc>
          <w:tcPr>
            <w:tcW w:w="1483" w:type="pct"/>
            <w:vAlign w:val="center"/>
          </w:tcPr>
          <w:p w14:paraId="6D5622D9"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3026</w:t>
            </w:r>
          </w:p>
        </w:tc>
      </w:tr>
      <w:tr w:rsidR="00790F73" w:rsidRPr="007B140B" w14:paraId="40061B90" w14:textId="77777777" w:rsidTr="00321049">
        <w:tc>
          <w:tcPr>
            <w:tcW w:w="855" w:type="pct"/>
            <w:vMerge/>
            <w:vAlign w:val="center"/>
          </w:tcPr>
          <w:p w14:paraId="05A0C107" w14:textId="77777777" w:rsidR="00790F73" w:rsidRPr="007B140B" w:rsidRDefault="00790F73" w:rsidP="00790F73">
            <w:pPr>
              <w:spacing w:after="0"/>
              <w:rPr>
                <w:rFonts w:ascii="Times New Roman" w:hAnsi="Times New Roman" w:cs="Times New Roman"/>
                <w:sz w:val="24"/>
                <w:szCs w:val="24"/>
                <w:lang w:val="en-US"/>
              </w:rPr>
            </w:pPr>
          </w:p>
        </w:tc>
        <w:tc>
          <w:tcPr>
            <w:tcW w:w="469" w:type="pct"/>
            <w:vMerge/>
            <w:vAlign w:val="center"/>
          </w:tcPr>
          <w:p w14:paraId="0319ED22" w14:textId="77777777" w:rsidR="00790F73" w:rsidRPr="007B140B" w:rsidRDefault="00790F73" w:rsidP="00790F73">
            <w:pPr>
              <w:spacing w:after="0"/>
              <w:rPr>
                <w:rFonts w:ascii="Times New Roman" w:hAnsi="Times New Roman" w:cs="Times New Roman"/>
                <w:sz w:val="24"/>
                <w:szCs w:val="24"/>
                <w:lang w:val="en-US"/>
              </w:rPr>
            </w:pPr>
          </w:p>
        </w:tc>
        <w:tc>
          <w:tcPr>
            <w:tcW w:w="1098" w:type="pct"/>
            <w:vMerge w:val="restart"/>
            <w:vAlign w:val="center"/>
          </w:tcPr>
          <w:p w14:paraId="14AADEB0"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10</w:t>
            </w:r>
          </w:p>
        </w:tc>
        <w:tc>
          <w:tcPr>
            <w:tcW w:w="1095" w:type="pct"/>
            <w:vAlign w:val="center"/>
          </w:tcPr>
          <w:p w14:paraId="7A2DB54B" w14:textId="77777777" w:rsidR="00790F73" w:rsidRPr="007B140B" w:rsidRDefault="00790F73" w:rsidP="00790F73">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5</w:t>
            </w:r>
          </w:p>
        </w:tc>
        <w:tc>
          <w:tcPr>
            <w:tcW w:w="1483" w:type="pct"/>
            <w:vAlign w:val="center"/>
          </w:tcPr>
          <w:p w14:paraId="4690E74C"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4074</w:t>
            </w:r>
          </w:p>
        </w:tc>
      </w:tr>
      <w:tr w:rsidR="00790F73" w:rsidRPr="007B140B" w14:paraId="6318510F" w14:textId="77777777" w:rsidTr="00321049">
        <w:tc>
          <w:tcPr>
            <w:tcW w:w="855" w:type="pct"/>
            <w:vMerge/>
            <w:vAlign w:val="center"/>
          </w:tcPr>
          <w:p w14:paraId="455C2BB1" w14:textId="77777777" w:rsidR="00790F73" w:rsidRPr="007B140B" w:rsidRDefault="00790F73" w:rsidP="00790F73">
            <w:pPr>
              <w:spacing w:after="0"/>
              <w:rPr>
                <w:rFonts w:ascii="Times New Roman" w:hAnsi="Times New Roman" w:cs="Times New Roman"/>
                <w:sz w:val="24"/>
                <w:szCs w:val="24"/>
                <w:lang w:val="en-US"/>
              </w:rPr>
            </w:pPr>
          </w:p>
        </w:tc>
        <w:tc>
          <w:tcPr>
            <w:tcW w:w="469" w:type="pct"/>
            <w:vMerge/>
            <w:vAlign w:val="center"/>
          </w:tcPr>
          <w:p w14:paraId="7C0510F8" w14:textId="77777777" w:rsidR="00790F73" w:rsidRPr="007B140B" w:rsidRDefault="00790F73" w:rsidP="00790F73">
            <w:pPr>
              <w:spacing w:after="0"/>
              <w:rPr>
                <w:rFonts w:ascii="Times New Roman" w:hAnsi="Times New Roman" w:cs="Times New Roman"/>
                <w:sz w:val="24"/>
                <w:szCs w:val="24"/>
                <w:lang w:val="en-US"/>
              </w:rPr>
            </w:pPr>
          </w:p>
        </w:tc>
        <w:tc>
          <w:tcPr>
            <w:tcW w:w="1098" w:type="pct"/>
            <w:vMerge/>
            <w:vAlign w:val="center"/>
          </w:tcPr>
          <w:p w14:paraId="6968FAF8" w14:textId="77777777" w:rsidR="00790F73" w:rsidRPr="007B140B" w:rsidRDefault="00790F73" w:rsidP="00790F73">
            <w:pPr>
              <w:spacing w:after="0"/>
              <w:rPr>
                <w:rFonts w:ascii="Times New Roman" w:hAnsi="Times New Roman" w:cs="Times New Roman"/>
                <w:sz w:val="24"/>
                <w:szCs w:val="24"/>
                <w:lang w:val="en-US"/>
              </w:rPr>
            </w:pPr>
          </w:p>
        </w:tc>
        <w:tc>
          <w:tcPr>
            <w:tcW w:w="1095" w:type="pct"/>
            <w:vAlign w:val="center"/>
          </w:tcPr>
          <w:p w14:paraId="7B70E61D" w14:textId="77777777" w:rsidR="00790F73" w:rsidRPr="007B140B" w:rsidRDefault="00790F73" w:rsidP="00790F73">
            <w:pPr>
              <w:spacing w:after="0" w:line="240" w:lineRule="auto"/>
              <w:rPr>
                <w:rFonts w:ascii="Times New Roman" w:hAnsi="Times New Roman" w:cs="Times New Roman"/>
                <w:sz w:val="24"/>
                <w:szCs w:val="24"/>
                <w:lang w:val="en-US"/>
              </w:rPr>
            </w:pPr>
            <w:r w:rsidRPr="007B140B">
              <w:rPr>
                <w:rFonts w:ascii="Times New Roman" w:hAnsi="Times New Roman" w:cs="Times New Roman"/>
                <w:sz w:val="24"/>
                <w:szCs w:val="24"/>
                <w:lang w:val="en-US"/>
              </w:rPr>
              <w:t>10</w:t>
            </w:r>
          </w:p>
        </w:tc>
        <w:tc>
          <w:tcPr>
            <w:tcW w:w="1483" w:type="pct"/>
            <w:vAlign w:val="center"/>
          </w:tcPr>
          <w:p w14:paraId="3538E790"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4300</w:t>
            </w:r>
          </w:p>
        </w:tc>
      </w:tr>
      <w:tr w:rsidR="00321049" w:rsidRPr="007B140B" w14:paraId="1A255C60" w14:textId="77777777" w:rsidTr="00321049">
        <w:tc>
          <w:tcPr>
            <w:tcW w:w="855" w:type="pct"/>
            <w:vMerge/>
            <w:tcBorders>
              <w:bottom w:val="single" w:sz="4" w:space="0" w:color="auto"/>
            </w:tcBorders>
            <w:vAlign w:val="center"/>
          </w:tcPr>
          <w:p w14:paraId="36EA8CCF" w14:textId="77777777" w:rsidR="00790F73" w:rsidRPr="007B140B" w:rsidRDefault="00790F73" w:rsidP="00790F73">
            <w:pPr>
              <w:spacing w:after="0"/>
              <w:rPr>
                <w:rFonts w:ascii="Times New Roman" w:hAnsi="Times New Roman" w:cs="Times New Roman"/>
                <w:sz w:val="24"/>
                <w:szCs w:val="24"/>
                <w:lang w:val="en-US"/>
              </w:rPr>
            </w:pPr>
          </w:p>
        </w:tc>
        <w:tc>
          <w:tcPr>
            <w:tcW w:w="469" w:type="pct"/>
            <w:vMerge/>
            <w:tcBorders>
              <w:bottom w:val="single" w:sz="4" w:space="0" w:color="auto"/>
            </w:tcBorders>
            <w:vAlign w:val="center"/>
          </w:tcPr>
          <w:p w14:paraId="5F28AB4D" w14:textId="77777777" w:rsidR="00790F73" w:rsidRPr="007B140B" w:rsidRDefault="00790F73" w:rsidP="00790F73">
            <w:pPr>
              <w:spacing w:after="0"/>
              <w:rPr>
                <w:rFonts w:ascii="Times New Roman" w:hAnsi="Times New Roman" w:cs="Times New Roman"/>
                <w:sz w:val="24"/>
                <w:szCs w:val="24"/>
                <w:lang w:val="en-US"/>
              </w:rPr>
            </w:pPr>
          </w:p>
        </w:tc>
        <w:tc>
          <w:tcPr>
            <w:tcW w:w="1098" w:type="pct"/>
            <w:vMerge/>
            <w:tcBorders>
              <w:bottom w:val="single" w:sz="4" w:space="0" w:color="auto"/>
            </w:tcBorders>
            <w:vAlign w:val="center"/>
          </w:tcPr>
          <w:p w14:paraId="36409B77" w14:textId="77777777" w:rsidR="00790F73" w:rsidRPr="007B140B" w:rsidRDefault="00790F73" w:rsidP="00790F73">
            <w:pPr>
              <w:spacing w:after="0"/>
              <w:rPr>
                <w:rFonts w:ascii="Times New Roman" w:hAnsi="Times New Roman" w:cs="Times New Roman"/>
                <w:sz w:val="24"/>
                <w:szCs w:val="24"/>
                <w:lang w:val="en-US"/>
              </w:rPr>
            </w:pPr>
          </w:p>
        </w:tc>
        <w:tc>
          <w:tcPr>
            <w:tcW w:w="1095" w:type="pct"/>
            <w:tcBorders>
              <w:bottom w:val="single" w:sz="4" w:space="0" w:color="auto"/>
            </w:tcBorders>
            <w:vAlign w:val="center"/>
          </w:tcPr>
          <w:p w14:paraId="6798ECAF"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15</w:t>
            </w:r>
          </w:p>
        </w:tc>
        <w:tc>
          <w:tcPr>
            <w:tcW w:w="1483" w:type="pct"/>
            <w:tcBorders>
              <w:bottom w:val="single" w:sz="4" w:space="0" w:color="auto"/>
            </w:tcBorders>
            <w:vAlign w:val="center"/>
          </w:tcPr>
          <w:p w14:paraId="70BCE836" w14:textId="77777777" w:rsidR="00790F73" w:rsidRPr="007B140B" w:rsidRDefault="00790F73"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4554</w:t>
            </w:r>
          </w:p>
        </w:tc>
      </w:tr>
      <w:tr w:rsidR="00321049" w:rsidRPr="007B140B" w14:paraId="3F1C2F8F" w14:textId="77777777" w:rsidTr="00321049">
        <w:tc>
          <w:tcPr>
            <w:tcW w:w="5000" w:type="pct"/>
            <w:gridSpan w:val="5"/>
            <w:tcBorders>
              <w:top w:val="single" w:sz="4" w:space="0" w:color="auto"/>
              <w:left w:val="nil"/>
              <w:bottom w:val="nil"/>
              <w:right w:val="nil"/>
            </w:tcBorders>
            <w:vAlign w:val="center"/>
          </w:tcPr>
          <w:p w14:paraId="4AC693AD" w14:textId="40461990" w:rsidR="00321049" w:rsidRPr="007B140B" w:rsidRDefault="00321049" w:rsidP="00790F73">
            <w:pPr>
              <w:spacing w:after="0"/>
              <w:rPr>
                <w:rFonts w:ascii="Times New Roman" w:hAnsi="Times New Roman" w:cs="Times New Roman"/>
                <w:sz w:val="24"/>
                <w:szCs w:val="24"/>
                <w:lang w:val="en-US"/>
              </w:rPr>
            </w:pPr>
            <w:r w:rsidRPr="007B140B">
              <w:rPr>
                <w:rFonts w:ascii="Times New Roman" w:hAnsi="Times New Roman" w:cs="Times New Roman"/>
                <w:sz w:val="24"/>
                <w:szCs w:val="24"/>
                <w:lang w:val="en-US"/>
              </w:rPr>
              <w:t>Abbreviation: HR, hazard ratio</w:t>
            </w:r>
          </w:p>
        </w:tc>
      </w:tr>
    </w:tbl>
    <w:p w14:paraId="65D59F22" w14:textId="45525FD3" w:rsidR="00FB6C09" w:rsidRPr="007B140B" w:rsidRDefault="00FB6C09" w:rsidP="00617C60">
      <w:pPr>
        <w:spacing w:after="0" w:line="240" w:lineRule="auto"/>
        <w:rPr>
          <w:rFonts w:ascii="Times New Roman" w:hAnsi="Times New Roman" w:cs="Times New Roman"/>
          <w:sz w:val="24"/>
          <w:szCs w:val="24"/>
          <w:lang w:val="en-US"/>
        </w:rPr>
      </w:pPr>
    </w:p>
    <w:sectPr w:rsidR="00FB6C09" w:rsidRPr="007B140B" w:rsidSect="0085421A">
      <w:headerReference w:type="default"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1E092" w14:textId="77777777" w:rsidR="008362EB" w:rsidRDefault="008362EB" w:rsidP="00FE3363">
      <w:pPr>
        <w:spacing w:after="0" w:line="240" w:lineRule="auto"/>
      </w:pPr>
      <w:r>
        <w:separator/>
      </w:r>
    </w:p>
  </w:endnote>
  <w:endnote w:type="continuationSeparator" w:id="0">
    <w:p w14:paraId="4DDC302D" w14:textId="77777777" w:rsidR="008362EB" w:rsidRDefault="008362EB" w:rsidP="00FE3363">
      <w:pPr>
        <w:spacing w:after="0" w:line="240" w:lineRule="auto"/>
      </w:pPr>
      <w:r>
        <w:continuationSeparator/>
      </w:r>
    </w:p>
  </w:endnote>
  <w:endnote w:type="continuationNotice" w:id="1">
    <w:p w14:paraId="5A05B744" w14:textId="77777777" w:rsidR="008362EB" w:rsidRDefault="008362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4414111"/>
      <w:docPartObj>
        <w:docPartGallery w:val="Page Numbers (Bottom of Page)"/>
        <w:docPartUnique/>
      </w:docPartObj>
    </w:sdtPr>
    <w:sdtContent>
      <w:sdt>
        <w:sdtPr>
          <w:id w:val="-1769616900"/>
          <w:docPartObj>
            <w:docPartGallery w:val="Page Numbers (Top of Page)"/>
            <w:docPartUnique/>
          </w:docPartObj>
        </w:sdtPr>
        <w:sdtContent>
          <w:p w14:paraId="1E8BCCA7" w14:textId="2A705AF3" w:rsidR="00E37610" w:rsidRDefault="00E37610">
            <w:pPr>
              <w:pStyle w:val="Sidfot"/>
              <w:jc w:val="right"/>
            </w:pPr>
            <w:r w:rsidRPr="00C503A5">
              <w:rPr>
                <w:rFonts w:cs="Arial"/>
                <w:bCs/>
                <w:sz w:val="24"/>
                <w:szCs w:val="24"/>
              </w:rPr>
              <w:fldChar w:fldCharType="begin"/>
            </w:r>
            <w:r w:rsidRPr="00C503A5">
              <w:rPr>
                <w:rFonts w:cs="Arial"/>
                <w:bCs/>
              </w:rPr>
              <w:instrText>PAGE</w:instrText>
            </w:r>
            <w:r w:rsidRPr="00C503A5">
              <w:rPr>
                <w:rFonts w:cs="Arial"/>
                <w:bCs/>
                <w:sz w:val="24"/>
                <w:szCs w:val="24"/>
              </w:rPr>
              <w:fldChar w:fldCharType="separate"/>
            </w:r>
            <w:r w:rsidR="00E84BAF">
              <w:rPr>
                <w:rFonts w:cs="Arial"/>
                <w:bCs/>
                <w:noProof/>
              </w:rPr>
              <w:t>15</w:t>
            </w:r>
            <w:r w:rsidRPr="00C503A5">
              <w:rPr>
                <w:rFonts w:cs="Arial"/>
                <w:bCs/>
                <w:sz w:val="24"/>
                <w:szCs w:val="24"/>
              </w:rPr>
              <w:fldChar w:fldCharType="end"/>
            </w:r>
            <w:r w:rsidRPr="00C503A5">
              <w:rPr>
                <w:rFonts w:cs="Arial"/>
              </w:rPr>
              <w:t xml:space="preserve"> </w:t>
            </w:r>
            <w:r>
              <w:rPr>
                <w:rFonts w:cs="Arial"/>
              </w:rPr>
              <w:t>(</w:t>
            </w:r>
            <w:r w:rsidRPr="00C503A5">
              <w:rPr>
                <w:rFonts w:cs="Arial"/>
                <w:bCs/>
                <w:sz w:val="24"/>
                <w:szCs w:val="24"/>
              </w:rPr>
              <w:fldChar w:fldCharType="begin"/>
            </w:r>
            <w:r w:rsidRPr="00C503A5">
              <w:rPr>
                <w:rFonts w:cs="Arial"/>
                <w:bCs/>
              </w:rPr>
              <w:instrText>NUMPAGES</w:instrText>
            </w:r>
            <w:r w:rsidRPr="00C503A5">
              <w:rPr>
                <w:rFonts w:cs="Arial"/>
                <w:bCs/>
                <w:sz w:val="24"/>
                <w:szCs w:val="24"/>
              </w:rPr>
              <w:fldChar w:fldCharType="separate"/>
            </w:r>
            <w:r w:rsidR="00E84BAF">
              <w:rPr>
                <w:rFonts w:cs="Arial"/>
                <w:bCs/>
                <w:noProof/>
              </w:rPr>
              <w:t>51</w:t>
            </w:r>
            <w:r w:rsidRPr="00C503A5">
              <w:rPr>
                <w:rFonts w:cs="Arial"/>
                <w:bCs/>
                <w:sz w:val="24"/>
                <w:szCs w:val="24"/>
              </w:rPr>
              <w:fldChar w:fldCharType="end"/>
            </w:r>
            <w:r>
              <w:rPr>
                <w:rFonts w:cs="Arial"/>
                <w:bCs/>
                <w:sz w:val="24"/>
                <w:szCs w:val="24"/>
              </w:rPr>
              <w:t>)</w:t>
            </w:r>
          </w:p>
        </w:sdtContent>
      </w:sdt>
    </w:sdtContent>
  </w:sdt>
  <w:p w14:paraId="7436E25B" w14:textId="77777777" w:rsidR="00E37610" w:rsidRDefault="00E376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05B0A" w14:textId="77777777" w:rsidR="008362EB" w:rsidRDefault="008362EB" w:rsidP="00FE3363">
      <w:pPr>
        <w:spacing w:after="0" w:line="240" w:lineRule="auto"/>
      </w:pPr>
      <w:r>
        <w:separator/>
      </w:r>
    </w:p>
  </w:footnote>
  <w:footnote w:type="continuationSeparator" w:id="0">
    <w:p w14:paraId="43BC88D2" w14:textId="77777777" w:rsidR="008362EB" w:rsidRDefault="008362EB" w:rsidP="00FE3363">
      <w:pPr>
        <w:spacing w:after="0" w:line="240" w:lineRule="auto"/>
      </w:pPr>
      <w:r>
        <w:continuationSeparator/>
      </w:r>
    </w:p>
  </w:footnote>
  <w:footnote w:type="continuationNotice" w:id="1">
    <w:p w14:paraId="6575D947" w14:textId="77777777" w:rsidR="008362EB" w:rsidRDefault="008362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468B7" w14:textId="19310C27" w:rsidR="00E37610" w:rsidRPr="00297F25" w:rsidRDefault="00E37610" w:rsidP="00FE3363">
    <w:pPr>
      <w:keepNext/>
      <w:keepLines/>
      <w:spacing w:after="0" w:line="240" w:lineRule="auto"/>
      <w:rPr>
        <w:rFonts w:ascii="Times New Roman" w:hAnsi="Times New Roman" w:cs="Times New Roman"/>
        <w:sz w:val="24"/>
        <w:szCs w:val="24"/>
        <w:lang w:val="en-US"/>
      </w:rPr>
    </w:pPr>
    <w:r w:rsidRPr="00297F25">
      <w:rPr>
        <w:rFonts w:ascii="Times New Roman" w:hAnsi="Times New Roman" w:cs="Times New Roman"/>
        <w:sz w:val="24"/>
        <w:szCs w:val="24"/>
        <w:lang w:val="en-US"/>
      </w:rPr>
      <w:t>Study Name:</w:t>
    </w:r>
    <w:r w:rsidRPr="00297F25">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Pr="00297F25">
      <w:rPr>
        <w:rFonts w:ascii="Times New Roman" w:hAnsi="Times New Roman" w:cs="Times New Roman"/>
        <w:sz w:val="24"/>
        <w:szCs w:val="24"/>
        <w:lang w:val="en-US"/>
      </w:rPr>
      <w:t>Fragility Fracture Trial</w:t>
    </w:r>
  </w:p>
  <w:p w14:paraId="01F217C4" w14:textId="249BF004" w:rsidR="00E37610" w:rsidRPr="00297F25" w:rsidRDefault="00E37610" w:rsidP="00FE3363">
    <w:pPr>
      <w:keepNext/>
      <w:keepLines/>
      <w:spacing w:after="0" w:line="240" w:lineRule="auto"/>
      <w:rPr>
        <w:rFonts w:ascii="Times New Roman" w:hAnsi="Times New Roman" w:cs="Times New Roman"/>
        <w:sz w:val="24"/>
        <w:szCs w:val="24"/>
        <w:lang w:val="en-US"/>
      </w:rPr>
    </w:pPr>
    <w:r w:rsidRPr="00297F25">
      <w:rPr>
        <w:rFonts w:ascii="Times New Roman" w:hAnsi="Times New Roman" w:cs="Times New Roman"/>
        <w:sz w:val="24"/>
        <w:szCs w:val="24"/>
        <w:lang w:val="en-US"/>
      </w:rPr>
      <w:t>Version No:</w:t>
    </w:r>
    <w:r w:rsidRPr="00297F25">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008D576C">
      <w:rPr>
        <w:rFonts w:ascii="Times New Roman" w:hAnsi="Times New Roman" w:cs="Times New Roman"/>
        <w:sz w:val="24"/>
        <w:szCs w:val="24"/>
        <w:lang w:val="en-US"/>
      </w:rPr>
      <w:t>9</w:t>
    </w:r>
  </w:p>
  <w:p w14:paraId="54C65E60" w14:textId="5EB0B6CE" w:rsidR="00E37610" w:rsidRPr="00297F25" w:rsidRDefault="00E37610" w:rsidP="00FE3363">
    <w:pPr>
      <w:keepNext/>
      <w:keepLine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Date:</w:t>
    </w:r>
    <w:r>
      <w:rPr>
        <w:rFonts w:ascii="Times New Roman" w:hAnsi="Times New Roman" w:cs="Times New Roman"/>
        <w:sz w:val="24"/>
        <w:szCs w:val="24"/>
        <w:lang w:val="en-US"/>
      </w:rPr>
      <w:tab/>
      <w:t xml:space="preserve"> 202</w:t>
    </w:r>
    <w:r w:rsidR="00F17BB2">
      <w:rPr>
        <w:rFonts w:ascii="Times New Roman" w:hAnsi="Times New Roman" w:cs="Times New Roman"/>
        <w:sz w:val="24"/>
        <w:szCs w:val="24"/>
        <w:lang w:val="en-US"/>
      </w:rPr>
      <w:t>3</w:t>
    </w:r>
    <w:r>
      <w:rPr>
        <w:rFonts w:ascii="Times New Roman" w:hAnsi="Times New Roman" w:cs="Times New Roman"/>
        <w:sz w:val="24"/>
        <w:szCs w:val="24"/>
        <w:lang w:val="en-US"/>
      </w:rPr>
      <w:t>-</w:t>
    </w:r>
    <w:r w:rsidR="008D576C">
      <w:rPr>
        <w:rFonts w:ascii="Times New Roman" w:hAnsi="Times New Roman" w:cs="Times New Roman"/>
        <w:sz w:val="24"/>
        <w:szCs w:val="24"/>
        <w:lang w:val="en-US"/>
      </w:rPr>
      <w:t>02</w:t>
    </w:r>
    <w:r w:rsidR="00415570">
      <w:rPr>
        <w:rFonts w:ascii="Times New Roman" w:hAnsi="Times New Roman" w:cs="Times New Roman"/>
        <w:sz w:val="24"/>
        <w:szCs w:val="24"/>
        <w:lang w:val="en-US"/>
      </w:rPr>
      <w:t>-</w:t>
    </w:r>
    <w:r w:rsidR="008D576C">
      <w:rPr>
        <w:rFonts w:ascii="Times New Roman" w:hAnsi="Times New Roman" w:cs="Times New Roman"/>
        <w:sz w:val="24"/>
        <w:szCs w:val="24"/>
        <w:lang w:val="en-US"/>
      </w:rPr>
      <w:t>17</w:t>
    </w:r>
  </w:p>
  <w:p w14:paraId="7D2D6574" w14:textId="2BC3ED6D" w:rsidR="00E37610" w:rsidRDefault="00E37610" w:rsidP="00FE3363">
    <w:pPr>
      <w:pStyle w:val="Sidhuvud"/>
      <w:keepNext/>
      <w:keepLines/>
      <w:tabs>
        <w:tab w:val="clear" w:pos="4536"/>
        <w:tab w:val="center" w:pos="3544"/>
      </w:tabs>
      <w:rPr>
        <w:rFonts w:ascii="Times New Roman" w:hAnsi="Times New Roman" w:cs="Times New Roman"/>
        <w:sz w:val="24"/>
        <w:szCs w:val="24"/>
        <w:lang w:val="en-US"/>
      </w:rPr>
    </w:pPr>
    <w:r w:rsidRPr="00297F25">
      <w:rPr>
        <w:rFonts w:ascii="Times New Roman" w:hAnsi="Times New Roman" w:cs="Times New Roman"/>
        <w:sz w:val="24"/>
        <w:szCs w:val="24"/>
        <w:lang w:val="en-US"/>
      </w:rPr>
      <w:t>EudraCT No:</w:t>
    </w:r>
    <w:r>
      <w:rPr>
        <w:rFonts w:ascii="Times New Roman" w:hAnsi="Times New Roman" w:cs="Times New Roman"/>
        <w:sz w:val="24"/>
        <w:szCs w:val="24"/>
        <w:lang w:val="en-US"/>
      </w:rPr>
      <w:t xml:space="preserve"> </w:t>
    </w:r>
    <w:r w:rsidRPr="00297F25">
      <w:rPr>
        <w:rFonts w:ascii="Times New Roman" w:hAnsi="Times New Roman" w:cs="Times New Roman"/>
        <w:sz w:val="24"/>
        <w:szCs w:val="24"/>
        <w:lang w:val="en-US"/>
      </w:rPr>
      <w:t>2019-004766-17</w:t>
    </w:r>
  </w:p>
  <w:p w14:paraId="07C6374D" w14:textId="77777777" w:rsidR="00E37610" w:rsidRPr="00297F25" w:rsidRDefault="00E37610" w:rsidP="00FE3363">
    <w:pPr>
      <w:pStyle w:val="Sidhuvud"/>
      <w:keepNext/>
      <w:keepLines/>
      <w:tabs>
        <w:tab w:val="clear" w:pos="4536"/>
        <w:tab w:val="center" w:pos="3544"/>
      </w:tabs>
      <w:rPr>
        <w:rFonts w:ascii="Times New Roman" w:hAnsi="Times New Roman" w:cs="Times New Roman"/>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95289"/>
    <w:multiLevelType w:val="hybridMultilevel"/>
    <w:tmpl w:val="1F5ECD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7AC069A"/>
    <w:multiLevelType w:val="hybridMultilevel"/>
    <w:tmpl w:val="A06CE966"/>
    <w:lvl w:ilvl="0" w:tplc="3D8ED396">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491BDB"/>
    <w:multiLevelType w:val="hybridMultilevel"/>
    <w:tmpl w:val="EC983BBA"/>
    <w:lvl w:ilvl="0" w:tplc="E2042FB8">
      <w:start w:val="2020"/>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2673C7C"/>
    <w:multiLevelType w:val="hybridMultilevel"/>
    <w:tmpl w:val="3872E598"/>
    <w:lvl w:ilvl="0" w:tplc="B1047B94">
      <w:start w:val="7"/>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3846CF7"/>
    <w:multiLevelType w:val="hybridMultilevel"/>
    <w:tmpl w:val="1D3002DC"/>
    <w:lvl w:ilvl="0" w:tplc="0C8E0F38">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EB703DA"/>
    <w:multiLevelType w:val="hybridMultilevel"/>
    <w:tmpl w:val="B37291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240257E"/>
    <w:multiLevelType w:val="hybridMultilevel"/>
    <w:tmpl w:val="DC009168"/>
    <w:lvl w:ilvl="0" w:tplc="F912F4B2">
      <w:numFmt w:val="bullet"/>
      <w:lvlText w:val="-"/>
      <w:lvlJc w:val="left"/>
      <w:pPr>
        <w:ind w:left="420" w:hanging="360"/>
      </w:pPr>
      <w:rPr>
        <w:rFonts w:ascii="Arial" w:eastAsiaTheme="minorHAnsi" w:hAnsi="Arial" w:cs="Aria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7" w15:restartNumberingAfterBreak="0">
    <w:nsid w:val="299F711D"/>
    <w:multiLevelType w:val="hybridMultilevel"/>
    <w:tmpl w:val="B71E9B5C"/>
    <w:lvl w:ilvl="0" w:tplc="041D000F">
      <w:start w:val="1"/>
      <w:numFmt w:val="decimal"/>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8" w15:restartNumberingAfterBreak="0">
    <w:nsid w:val="2DD45D2A"/>
    <w:multiLevelType w:val="hybridMultilevel"/>
    <w:tmpl w:val="E17CDE2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F476C95"/>
    <w:multiLevelType w:val="hybridMultilevel"/>
    <w:tmpl w:val="BB9CFFC8"/>
    <w:lvl w:ilvl="0" w:tplc="041D000F">
      <w:start w:val="1"/>
      <w:numFmt w:val="decimal"/>
      <w:lvlText w:val="%1."/>
      <w:lvlJc w:val="left"/>
      <w:pPr>
        <w:ind w:left="780" w:hanging="360"/>
      </w:pPr>
      <w:rPr>
        <w:rFonts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0" w15:restartNumberingAfterBreak="0">
    <w:nsid w:val="308C2CAE"/>
    <w:multiLevelType w:val="hybridMultilevel"/>
    <w:tmpl w:val="48BE1DC4"/>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62A2884"/>
    <w:multiLevelType w:val="hybridMultilevel"/>
    <w:tmpl w:val="219243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B70667C"/>
    <w:multiLevelType w:val="hybridMultilevel"/>
    <w:tmpl w:val="E4C4C7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75A05FA"/>
    <w:multiLevelType w:val="hybridMultilevel"/>
    <w:tmpl w:val="81F06D32"/>
    <w:lvl w:ilvl="0" w:tplc="041D000F">
      <w:start w:val="1"/>
      <w:numFmt w:val="decimal"/>
      <w:lvlText w:val="%1."/>
      <w:lvlJc w:val="left"/>
      <w:pPr>
        <w:ind w:left="360" w:hanging="360"/>
      </w:pPr>
      <w:rPr>
        <w:rFonts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488F4E5E"/>
    <w:multiLevelType w:val="multilevel"/>
    <w:tmpl w:val="6C184776"/>
    <w:lvl w:ilvl="0">
      <w:start w:val="1"/>
      <w:numFmt w:val="decimal"/>
      <w:pStyle w:val="Formatmall4"/>
      <w:suff w:val="space"/>
      <w:lvlText w:val="%1."/>
      <w:lvlJc w:val="left"/>
      <w:pPr>
        <w:ind w:left="360" w:hanging="360"/>
      </w:pPr>
      <w:rPr>
        <w:rFonts w:hint="default"/>
      </w:rPr>
    </w:lvl>
    <w:lvl w:ilvl="1">
      <w:start w:val="1"/>
      <w:numFmt w:val="decimal"/>
      <w:pStyle w:val="Formatmall3"/>
      <w:suff w:val="space"/>
      <w:lvlText w:val="%1.%2."/>
      <w:lvlJc w:val="left"/>
      <w:pPr>
        <w:ind w:left="0" w:firstLine="0"/>
      </w:pPr>
      <w:rPr>
        <w:rFonts w:hint="default"/>
      </w:rPr>
    </w:lvl>
    <w:lvl w:ilvl="2">
      <w:start w:val="1"/>
      <w:numFmt w:val="decimal"/>
      <w:pStyle w:val="Formatmall1"/>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9DE09E8"/>
    <w:multiLevelType w:val="hybridMultilevel"/>
    <w:tmpl w:val="4CCA550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FD01340"/>
    <w:multiLevelType w:val="hybridMultilevel"/>
    <w:tmpl w:val="3EC43E30"/>
    <w:lvl w:ilvl="0" w:tplc="041D000F">
      <w:start w:val="1"/>
      <w:numFmt w:val="decimal"/>
      <w:lvlText w:val="%1."/>
      <w:lvlJc w:val="left"/>
      <w:pPr>
        <w:ind w:left="720" w:hanging="360"/>
      </w:pPr>
      <w:rPr>
        <w:rFonts w:eastAsia="Times New Roman"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FE137D0"/>
    <w:multiLevelType w:val="hybridMultilevel"/>
    <w:tmpl w:val="E58E281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8" w15:restartNumberingAfterBreak="0">
    <w:nsid w:val="51847D3E"/>
    <w:multiLevelType w:val="hybridMultilevel"/>
    <w:tmpl w:val="BB9CFFC8"/>
    <w:lvl w:ilvl="0" w:tplc="041D000F">
      <w:start w:val="1"/>
      <w:numFmt w:val="decimal"/>
      <w:lvlText w:val="%1."/>
      <w:lvlJc w:val="left"/>
      <w:pPr>
        <w:ind w:left="780" w:hanging="360"/>
      </w:pPr>
      <w:rPr>
        <w:rFonts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9" w15:restartNumberingAfterBreak="0">
    <w:nsid w:val="51C23B10"/>
    <w:multiLevelType w:val="hybridMultilevel"/>
    <w:tmpl w:val="E7949898"/>
    <w:lvl w:ilvl="0" w:tplc="BD32E124">
      <w:start w:val="7"/>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63E49DF"/>
    <w:multiLevelType w:val="hybridMultilevel"/>
    <w:tmpl w:val="5CD6CFC4"/>
    <w:lvl w:ilvl="0" w:tplc="450C54A0">
      <w:start w:val="1"/>
      <w:numFmt w:val="bullet"/>
      <w:lvlText w:val="•"/>
      <w:lvlJc w:val="left"/>
      <w:pPr>
        <w:tabs>
          <w:tab w:val="num" w:pos="720"/>
        </w:tabs>
        <w:ind w:left="720" w:hanging="360"/>
      </w:pPr>
      <w:rPr>
        <w:rFonts w:ascii="Arial" w:hAnsi="Arial" w:hint="default"/>
      </w:rPr>
    </w:lvl>
    <w:lvl w:ilvl="1" w:tplc="DEC604FC" w:tentative="1">
      <w:start w:val="1"/>
      <w:numFmt w:val="bullet"/>
      <w:lvlText w:val="•"/>
      <w:lvlJc w:val="left"/>
      <w:pPr>
        <w:tabs>
          <w:tab w:val="num" w:pos="1440"/>
        </w:tabs>
        <w:ind w:left="1440" w:hanging="360"/>
      </w:pPr>
      <w:rPr>
        <w:rFonts w:ascii="Arial" w:hAnsi="Arial" w:hint="default"/>
      </w:rPr>
    </w:lvl>
    <w:lvl w:ilvl="2" w:tplc="79A659F8" w:tentative="1">
      <w:start w:val="1"/>
      <w:numFmt w:val="bullet"/>
      <w:lvlText w:val="•"/>
      <w:lvlJc w:val="left"/>
      <w:pPr>
        <w:tabs>
          <w:tab w:val="num" w:pos="2160"/>
        </w:tabs>
        <w:ind w:left="2160" w:hanging="360"/>
      </w:pPr>
      <w:rPr>
        <w:rFonts w:ascii="Arial" w:hAnsi="Arial" w:hint="default"/>
      </w:rPr>
    </w:lvl>
    <w:lvl w:ilvl="3" w:tplc="D8FE3DFE" w:tentative="1">
      <w:start w:val="1"/>
      <w:numFmt w:val="bullet"/>
      <w:lvlText w:val="•"/>
      <w:lvlJc w:val="left"/>
      <w:pPr>
        <w:tabs>
          <w:tab w:val="num" w:pos="2880"/>
        </w:tabs>
        <w:ind w:left="2880" w:hanging="360"/>
      </w:pPr>
      <w:rPr>
        <w:rFonts w:ascii="Arial" w:hAnsi="Arial" w:hint="default"/>
      </w:rPr>
    </w:lvl>
    <w:lvl w:ilvl="4" w:tplc="8AB84072" w:tentative="1">
      <w:start w:val="1"/>
      <w:numFmt w:val="bullet"/>
      <w:lvlText w:val="•"/>
      <w:lvlJc w:val="left"/>
      <w:pPr>
        <w:tabs>
          <w:tab w:val="num" w:pos="3600"/>
        </w:tabs>
        <w:ind w:left="3600" w:hanging="360"/>
      </w:pPr>
      <w:rPr>
        <w:rFonts w:ascii="Arial" w:hAnsi="Arial" w:hint="default"/>
      </w:rPr>
    </w:lvl>
    <w:lvl w:ilvl="5" w:tplc="AE7C46D6" w:tentative="1">
      <w:start w:val="1"/>
      <w:numFmt w:val="bullet"/>
      <w:lvlText w:val="•"/>
      <w:lvlJc w:val="left"/>
      <w:pPr>
        <w:tabs>
          <w:tab w:val="num" w:pos="4320"/>
        </w:tabs>
        <w:ind w:left="4320" w:hanging="360"/>
      </w:pPr>
      <w:rPr>
        <w:rFonts w:ascii="Arial" w:hAnsi="Arial" w:hint="default"/>
      </w:rPr>
    </w:lvl>
    <w:lvl w:ilvl="6" w:tplc="01CE7D82" w:tentative="1">
      <w:start w:val="1"/>
      <w:numFmt w:val="bullet"/>
      <w:lvlText w:val="•"/>
      <w:lvlJc w:val="left"/>
      <w:pPr>
        <w:tabs>
          <w:tab w:val="num" w:pos="5040"/>
        </w:tabs>
        <w:ind w:left="5040" w:hanging="360"/>
      </w:pPr>
      <w:rPr>
        <w:rFonts w:ascii="Arial" w:hAnsi="Arial" w:hint="default"/>
      </w:rPr>
    </w:lvl>
    <w:lvl w:ilvl="7" w:tplc="53DEEE08" w:tentative="1">
      <w:start w:val="1"/>
      <w:numFmt w:val="bullet"/>
      <w:lvlText w:val="•"/>
      <w:lvlJc w:val="left"/>
      <w:pPr>
        <w:tabs>
          <w:tab w:val="num" w:pos="5760"/>
        </w:tabs>
        <w:ind w:left="5760" w:hanging="360"/>
      </w:pPr>
      <w:rPr>
        <w:rFonts w:ascii="Arial" w:hAnsi="Arial" w:hint="default"/>
      </w:rPr>
    </w:lvl>
    <w:lvl w:ilvl="8" w:tplc="2AA8E1F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9A273DF"/>
    <w:multiLevelType w:val="hybridMultilevel"/>
    <w:tmpl w:val="4560E8D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A99572F"/>
    <w:multiLevelType w:val="hybridMultilevel"/>
    <w:tmpl w:val="90FC76A8"/>
    <w:lvl w:ilvl="0" w:tplc="041D000F">
      <w:start w:val="1"/>
      <w:numFmt w:val="decimal"/>
      <w:lvlText w:val="%1."/>
      <w:lvlJc w:val="left"/>
      <w:pPr>
        <w:ind w:left="360" w:hanging="360"/>
      </w:pPr>
      <w:rPr>
        <w:rFont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5BD07CA5"/>
    <w:multiLevelType w:val="hybridMultilevel"/>
    <w:tmpl w:val="430A41A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F840DF5"/>
    <w:multiLevelType w:val="hybridMultilevel"/>
    <w:tmpl w:val="4CCA550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0C77CF5"/>
    <w:multiLevelType w:val="hybridMultilevel"/>
    <w:tmpl w:val="9A367FE4"/>
    <w:lvl w:ilvl="0" w:tplc="041D000F">
      <w:start w:val="1"/>
      <w:numFmt w:val="decimal"/>
      <w:lvlText w:val="%1."/>
      <w:lvlJc w:val="left"/>
      <w:pPr>
        <w:ind w:left="360" w:hanging="360"/>
      </w:pPr>
      <w:rPr>
        <w:rFont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61222484"/>
    <w:multiLevelType w:val="hybridMultilevel"/>
    <w:tmpl w:val="1242D7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1E31953"/>
    <w:multiLevelType w:val="hybridMultilevel"/>
    <w:tmpl w:val="35AC7C4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346444A"/>
    <w:multiLevelType w:val="hybridMultilevel"/>
    <w:tmpl w:val="880EF1E6"/>
    <w:lvl w:ilvl="0" w:tplc="041D000F">
      <w:start w:val="1"/>
      <w:numFmt w:val="decimal"/>
      <w:lvlText w:val="%1."/>
      <w:lvlJc w:val="left"/>
      <w:pPr>
        <w:ind w:left="360" w:hanging="360"/>
      </w:pPr>
      <w:rPr>
        <w:rFont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694C58A7"/>
    <w:multiLevelType w:val="hybridMultilevel"/>
    <w:tmpl w:val="A7840A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AC56120"/>
    <w:multiLevelType w:val="hybridMultilevel"/>
    <w:tmpl w:val="8B523EB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F51470F"/>
    <w:multiLevelType w:val="hybridMultilevel"/>
    <w:tmpl w:val="A50AE8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F5C6EB4"/>
    <w:multiLevelType w:val="hybridMultilevel"/>
    <w:tmpl w:val="A2ECC988"/>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3" w15:restartNumberingAfterBreak="0">
    <w:nsid w:val="7169270C"/>
    <w:multiLevelType w:val="hybridMultilevel"/>
    <w:tmpl w:val="5896D9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50A440D"/>
    <w:multiLevelType w:val="hybridMultilevel"/>
    <w:tmpl w:val="FF38B8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81D385A"/>
    <w:multiLevelType w:val="hybridMultilevel"/>
    <w:tmpl w:val="3264A20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ADC23FB"/>
    <w:multiLevelType w:val="hybridMultilevel"/>
    <w:tmpl w:val="1258048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7E3E6EBF"/>
    <w:multiLevelType w:val="hybridMultilevel"/>
    <w:tmpl w:val="8D347E2C"/>
    <w:lvl w:ilvl="0" w:tplc="6E78521C">
      <w:start w:val="10"/>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33616018">
    <w:abstractNumId w:val="14"/>
  </w:num>
  <w:num w:numId="2" w16cid:durableId="1548372901">
    <w:abstractNumId w:val="17"/>
  </w:num>
  <w:num w:numId="3" w16cid:durableId="1075274915">
    <w:abstractNumId w:val="7"/>
  </w:num>
  <w:num w:numId="4" w16cid:durableId="1356539409">
    <w:abstractNumId w:val="22"/>
  </w:num>
  <w:num w:numId="5" w16cid:durableId="175653358">
    <w:abstractNumId w:val="29"/>
  </w:num>
  <w:num w:numId="6" w16cid:durableId="806893766">
    <w:abstractNumId w:val="13"/>
  </w:num>
  <w:num w:numId="7" w16cid:durableId="514462100">
    <w:abstractNumId w:val="25"/>
  </w:num>
  <w:num w:numId="8" w16cid:durableId="458764505">
    <w:abstractNumId w:val="28"/>
  </w:num>
  <w:num w:numId="9" w16cid:durableId="751780718">
    <w:abstractNumId w:val="18"/>
  </w:num>
  <w:num w:numId="10" w16cid:durableId="262958263">
    <w:abstractNumId w:val="37"/>
  </w:num>
  <w:num w:numId="11" w16cid:durableId="2144301967">
    <w:abstractNumId w:val="23"/>
  </w:num>
  <w:num w:numId="12" w16cid:durableId="657341173">
    <w:abstractNumId w:val="30"/>
  </w:num>
  <w:num w:numId="13" w16cid:durableId="1345471098">
    <w:abstractNumId w:val="12"/>
  </w:num>
  <w:num w:numId="14" w16cid:durableId="381028973">
    <w:abstractNumId w:val="0"/>
  </w:num>
  <w:num w:numId="15" w16cid:durableId="36898488">
    <w:abstractNumId w:val="8"/>
  </w:num>
  <w:num w:numId="16" w16cid:durableId="1710258149">
    <w:abstractNumId w:val="15"/>
  </w:num>
  <w:num w:numId="17" w16cid:durableId="1979335790">
    <w:abstractNumId w:val="31"/>
  </w:num>
  <w:num w:numId="18" w16cid:durableId="2033191623">
    <w:abstractNumId w:val="33"/>
  </w:num>
  <w:num w:numId="19" w16cid:durableId="201865615">
    <w:abstractNumId w:val="24"/>
  </w:num>
  <w:num w:numId="20" w16cid:durableId="763692105">
    <w:abstractNumId w:val="1"/>
  </w:num>
  <w:num w:numId="21" w16cid:durableId="1331715407">
    <w:abstractNumId w:val="27"/>
  </w:num>
  <w:num w:numId="22" w16cid:durableId="2117795988">
    <w:abstractNumId w:val="16"/>
  </w:num>
  <w:num w:numId="23" w16cid:durableId="2066827174">
    <w:abstractNumId w:val="4"/>
  </w:num>
  <w:num w:numId="24" w16cid:durableId="1383869543">
    <w:abstractNumId w:val="36"/>
  </w:num>
  <w:num w:numId="25" w16cid:durableId="1357073607">
    <w:abstractNumId w:val="34"/>
  </w:num>
  <w:num w:numId="26" w16cid:durableId="1031565387">
    <w:abstractNumId w:val="6"/>
  </w:num>
  <w:num w:numId="27" w16cid:durableId="732386784">
    <w:abstractNumId w:val="10"/>
  </w:num>
  <w:num w:numId="28" w16cid:durableId="1666349938">
    <w:abstractNumId w:val="9"/>
  </w:num>
  <w:num w:numId="29" w16cid:durableId="713232711">
    <w:abstractNumId w:val="19"/>
  </w:num>
  <w:num w:numId="30" w16cid:durableId="796950443">
    <w:abstractNumId w:val="3"/>
  </w:num>
  <w:num w:numId="31" w16cid:durableId="269703500">
    <w:abstractNumId w:val="32"/>
  </w:num>
  <w:num w:numId="32" w16cid:durableId="1764254018">
    <w:abstractNumId w:val="20"/>
  </w:num>
  <w:num w:numId="33" w16cid:durableId="1224681692">
    <w:abstractNumId w:val="2"/>
  </w:num>
  <w:num w:numId="34" w16cid:durableId="756749253">
    <w:abstractNumId w:val="21"/>
  </w:num>
  <w:num w:numId="35" w16cid:durableId="844595055">
    <w:abstractNumId w:val="35"/>
  </w:num>
  <w:num w:numId="36" w16cid:durableId="735905344">
    <w:abstractNumId w:val="26"/>
  </w:num>
  <w:num w:numId="37" w16cid:durableId="193226745">
    <w:abstractNumId w:val="5"/>
  </w:num>
  <w:num w:numId="38" w16cid:durableId="182099297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embedSystemFonts/>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t0xzxtsievvwkert94xv5pstxwst0zf9tst&quot;&gt;Fys-Converted Copy-Converted&lt;record-ids&gt;&lt;item&gt;4926&lt;/item&gt;&lt;item&gt;5495&lt;/item&gt;&lt;item&gt;5534&lt;/item&gt;&lt;item&gt;5627&lt;/item&gt;&lt;item&gt;5630&lt;/item&gt;&lt;item&gt;5658&lt;/item&gt;&lt;item&gt;5663&lt;/item&gt;&lt;item&gt;5691&lt;/item&gt;&lt;item&gt;5756&lt;/item&gt;&lt;item&gt;5822&lt;/item&gt;&lt;item&gt;5833&lt;/item&gt;&lt;item&gt;5839&lt;/item&gt;&lt;item&gt;5841&lt;/item&gt;&lt;item&gt;5859&lt;/item&gt;&lt;item&gt;5906&lt;/item&gt;&lt;item&gt;5907&lt;/item&gt;&lt;item&gt;5909&lt;/item&gt;&lt;item&gt;5910&lt;/item&gt;&lt;item&gt;5916&lt;/item&gt;&lt;item&gt;5917&lt;/item&gt;&lt;item&gt;5922&lt;/item&gt;&lt;item&gt;5924&lt;/item&gt;&lt;item&gt;5925&lt;/item&gt;&lt;item&gt;5926&lt;/item&gt;&lt;item&gt;5927&lt;/item&gt;&lt;item&gt;5928&lt;/item&gt;&lt;item&gt;5930&lt;/item&gt;&lt;/record-ids&gt;&lt;/item&gt;&lt;/Libraries&gt;"/>
  </w:docVars>
  <w:rsids>
    <w:rsidRoot w:val="00730D9B"/>
    <w:rsid w:val="0000067D"/>
    <w:rsid w:val="000013E0"/>
    <w:rsid w:val="00001F9E"/>
    <w:rsid w:val="000022E1"/>
    <w:rsid w:val="000026AF"/>
    <w:rsid w:val="0000277F"/>
    <w:rsid w:val="00002E58"/>
    <w:rsid w:val="00002F41"/>
    <w:rsid w:val="0000386C"/>
    <w:rsid w:val="00003ACD"/>
    <w:rsid w:val="00003B7E"/>
    <w:rsid w:val="000042DE"/>
    <w:rsid w:val="00004518"/>
    <w:rsid w:val="0000451F"/>
    <w:rsid w:val="00005224"/>
    <w:rsid w:val="0000554A"/>
    <w:rsid w:val="0000576E"/>
    <w:rsid w:val="00005B75"/>
    <w:rsid w:val="00006024"/>
    <w:rsid w:val="00006CAB"/>
    <w:rsid w:val="00006E03"/>
    <w:rsid w:val="00007B59"/>
    <w:rsid w:val="00007BC7"/>
    <w:rsid w:val="0001023E"/>
    <w:rsid w:val="000104C4"/>
    <w:rsid w:val="00011251"/>
    <w:rsid w:val="0001155C"/>
    <w:rsid w:val="0001174B"/>
    <w:rsid w:val="000119A2"/>
    <w:rsid w:val="00011A38"/>
    <w:rsid w:val="0001208E"/>
    <w:rsid w:val="000121CF"/>
    <w:rsid w:val="0001222C"/>
    <w:rsid w:val="00012300"/>
    <w:rsid w:val="00012B09"/>
    <w:rsid w:val="0001319A"/>
    <w:rsid w:val="000131A9"/>
    <w:rsid w:val="000134B9"/>
    <w:rsid w:val="0001394A"/>
    <w:rsid w:val="00013E60"/>
    <w:rsid w:val="00014299"/>
    <w:rsid w:val="000149F5"/>
    <w:rsid w:val="000158F1"/>
    <w:rsid w:val="00015CF8"/>
    <w:rsid w:val="000160B1"/>
    <w:rsid w:val="0001676E"/>
    <w:rsid w:val="00016A1E"/>
    <w:rsid w:val="00016FC8"/>
    <w:rsid w:val="000171F5"/>
    <w:rsid w:val="0002010E"/>
    <w:rsid w:val="000204EE"/>
    <w:rsid w:val="00020F6A"/>
    <w:rsid w:val="000223D4"/>
    <w:rsid w:val="00022A3C"/>
    <w:rsid w:val="00022B69"/>
    <w:rsid w:val="00022F1F"/>
    <w:rsid w:val="00023942"/>
    <w:rsid w:val="00023F89"/>
    <w:rsid w:val="0002444C"/>
    <w:rsid w:val="00024656"/>
    <w:rsid w:val="00024AAE"/>
    <w:rsid w:val="00024CFB"/>
    <w:rsid w:val="00025268"/>
    <w:rsid w:val="00025EEB"/>
    <w:rsid w:val="000262B7"/>
    <w:rsid w:val="00026B1E"/>
    <w:rsid w:val="000279DD"/>
    <w:rsid w:val="00027BA5"/>
    <w:rsid w:val="00027BAC"/>
    <w:rsid w:val="00027E01"/>
    <w:rsid w:val="00027EC2"/>
    <w:rsid w:val="000301C4"/>
    <w:rsid w:val="00030382"/>
    <w:rsid w:val="00030EEC"/>
    <w:rsid w:val="00030FB9"/>
    <w:rsid w:val="000310B0"/>
    <w:rsid w:val="000310F6"/>
    <w:rsid w:val="000312EA"/>
    <w:rsid w:val="000317EF"/>
    <w:rsid w:val="0003180B"/>
    <w:rsid w:val="00032298"/>
    <w:rsid w:val="00032DEA"/>
    <w:rsid w:val="000335E2"/>
    <w:rsid w:val="00033951"/>
    <w:rsid w:val="00033A52"/>
    <w:rsid w:val="00033F6B"/>
    <w:rsid w:val="0003414C"/>
    <w:rsid w:val="00034A72"/>
    <w:rsid w:val="000350D2"/>
    <w:rsid w:val="0003512E"/>
    <w:rsid w:val="000355DC"/>
    <w:rsid w:val="000359EB"/>
    <w:rsid w:val="00035C88"/>
    <w:rsid w:val="00035D0D"/>
    <w:rsid w:val="00036A4D"/>
    <w:rsid w:val="00036B7C"/>
    <w:rsid w:val="0003734D"/>
    <w:rsid w:val="00037587"/>
    <w:rsid w:val="00040388"/>
    <w:rsid w:val="00040615"/>
    <w:rsid w:val="00040618"/>
    <w:rsid w:val="0004079F"/>
    <w:rsid w:val="00040A63"/>
    <w:rsid w:val="0004117E"/>
    <w:rsid w:val="00041C72"/>
    <w:rsid w:val="000421DE"/>
    <w:rsid w:val="00043955"/>
    <w:rsid w:val="00044C80"/>
    <w:rsid w:val="00045098"/>
    <w:rsid w:val="000453D3"/>
    <w:rsid w:val="00046113"/>
    <w:rsid w:val="000461CF"/>
    <w:rsid w:val="0004679A"/>
    <w:rsid w:val="0004695D"/>
    <w:rsid w:val="00047C6B"/>
    <w:rsid w:val="00047CFD"/>
    <w:rsid w:val="000505FC"/>
    <w:rsid w:val="000515A8"/>
    <w:rsid w:val="00052BB4"/>
    <w:rsid w:val="00053071"/>
    <w:rsid w:val="00053353"/>
    <w:rsid w:val="000535B3"/>
    <w:rsid w:val="00053802"/>
    <w:rsid w:val="0005399E"/>
    <w:rsid w:val="00053C4C"/>
    <w:rsid w:val="0005437A"/>
    <w:rsid w:val="00054850"/>
    <w:rsid w:val="00055179"/>
    <w:rsid w:val="000551E9"/>
    <w:rsid w:val="00055663"/>
    <w:rsid w:val="00055D9F"/>
    <w:rsid w:val="000564BF"/>
    <w:rsid w:val="00056A84"/>
    <w:rsid w:val="00056CDE"/>
    <w:rsid w:val="00057BCF"/>
    <w:rsid w:val="00060056"/>
    <w:rsid w:val="00061187"/>
    <w:rsid w:val="000615F8"/>
    <w:rsid w:val="0006165F"/>
    <w:rsid w:val="00061D4B"/>
    <w:rsid w:val="00062111"/>
    <w:rsid w:val="00062172"/>
    <w:rsid w:val="0006244D"/>
    <w:rsid w:val="00062656"/>
    <w:rsid w:val="00062A23"/>
    <w:rsid w:val="00063E30"/>
    <w:rsid w:val="0006401B"/>
    <w:rsid w:val="00064481"/>
    <w:rsid w:val="000645B3"/>
    <w:rsid w:val="000656CD"/>
    <w:rsid w:val="00066047"/>
    <w:rsid w:val="00066B14"/>
    <w:rsid w:val="00066B77"/>
    <w:rsid w:val="00067312"/>
    <w:rsid w:val="00067788"/>
    <w:rsid w:val="0006796D"/>
    <w:rsid w:val="00067B29"/>
    <w:rsid w:val="000707F4"/>
    <w:rsid w:val="00070D31"/>
    <w:rsid w:val="0007131A"/>
    <w:rsid w:val="0007133A"/>
    <w:rsid w:val="0007135B"/>
    <w:rsid w:val="00071422"/>
    <w:rsid w:val="00071738"/>
    <w:rsid w:val="0007215D"/>
    <w:rsid w:val="00072170"/>
    <w:rsid w:val="0007236F"/>
    <w:rsid w:val="0007299E"/>
    <w:rsid w:val="00072CD6"/>
    <w:rsid w:val="00072D17"/>
    <w:rsid w:val="00072D82"/>
    <w:rsid w:val="0007373B"/>
    <w:rsid w:val="00074123"/>
    <w:rsid w:val="000746D6"/>
    <w:rsid w:val="000747E2"/>
    <w:rsid w:val="00074858"/>
    <w:rsid w:val="0007497B"/>
    <w:rsid w:val="00074E61"/>
    <w:rsid w:val="0007533C"/>
    <w:rsid w:val="00075A0F"/>
    <w:rsid w:val="00075FBC"/>
    <w:rsid w:val="00076E48"/>
    <w:rsid w:val="00076F05"/>
    <w:rsid w:val="0007719B"/>
    <w:rsid w:val="000777C1"/>
    <w:rsid w:val="00080099"/>
    <w:rsid w:val="000801F3"/>
    <w:rsid w:val="000803A0"/>
    <w:rsid w:val="00080430"/>
    <w:rsid w:val="0008077B"/>
    <w:rsid w:val="00080824"/>
    <w:rsid w:val="0008116F"/>
    <w:rsid w:val="00082769"/>
    <w:rsid w:val="00082EA1"/>
    <w:rsid w:val="0008346E"/>
    <w:rsid w:val="00083770"/>
    <w:rsid w:val="00083982"/>
    <w:rsid w:val="000839E0"/>
    <w:rsid w:val="000846D6"/>
    <w:rsid w:val="000846FC"/>
    <w:rsid w:val="00084919"/>
    <w:rsid w:val="00084F6A"/>
    <w:rsid w:val="000851CB"/>
    <w:rsid w:val="00085296"/>
    <w:rsid w:val="00085E12"/>
    <w:rsid w:val="000862D7"/>
    <w:rsid w:val="000867B3"/>
    <w:rsid w:val="00086802"/>
    <w:rsid w:val="00086B24"/>
    <w:rsid w:val="00086DB4"/>
    <w:rsid w:val="0008714D"/>
    <w:rsid w:val="000872FA"/>
    <w:rsid w:val="00087A57"/>
    <w:rsid w:val="0009064D"/>
    <w:rsid w:val="0009074E"/>
    <w:rsid w:val="0009110C"/>
    <w:rsid w:val="00091167"/>
    <w:rsid w:val="00091CF6"/>
    <w:rsid w:val="00091FDA"/>
    <w:rsid w:val="0009223C"/>
    <w:rsid w:val="0009240F"/>
    <w:rsid w:val="000925AB"/>
    <w:rsid w:val="000926D9"/>
    <w:rsid w:val="000928FD"/>
    <w:rsid w:val="00092CD2"/>
    <w:rsid w:val="00093611"/>
    <w:rsid w:val="00093789"/>
    <w:rsid w:val="00094AD7"/>
    <w:rsid w:val="00095127"/>
    <w:rsid w:val="000961D4"/>
    <w:rsid w:val="000968BC"/>
    <w:rsid w:val="00096D4A"/>
    <w:rsid w:val="00097A3E"/>
    <w:rsid w:val="00097E91"/>
    <w:rsid w:val="000A03C9"/>
    <w:rsid w:val="000A080E"/>
    <w:rsid w:val="000A16BF"/>
    <w:rsid w:val="000A176B"/>
    <w:rsid w:val="000A192A"/>
    <w:rsid w:val="000A1B62"/>
    <w:rsid w:val="000A1F16"/>
    <w:rsid w:val="000A2260"/>
    <w:rsid w:val="000A267F"/>
    <w:rsid w:val="000A26BF"/>
    <w:rsid w:val="000A32B6"/>
    <w:rsid w:val="000A3498"/>
    <w:rsid w:val="000A35B0"/>
    <w:rsid w:val="000A36C2"/>
    <w:rsid w:val="000A38C0"/>
    <w:rsid w:val="000A3A13"/>
    <w:rsid w:val="000A3E12"/>
    <w:rsid w:val="000A4355"/>
    <w:rsid w:val="000A484A"/>
    <w:rsid w:val="000A4C50"/>
    <w:rsid w:val="000A513F"/>
    <w:rsid w:val="000A574D"/>
    <w:rsid w:val="000A5DB6"/>
    <w:rsid w:val="000A6157"/>
    <w:rsid w:val="000A6263"/>
    <w:rsid w:val="000A626B"/>
    <w:rsid w:val="000A6E2F"/>
    <w:rsid w:val="000A7009"/>
    <w:rsid w:val="000A7056"/>
    <w:rsid w:val="000A736F"/>
    <w:rsid w:val="000A73B4"/>
    <w:rsid w:val="000A760A"/>
    <w:rsid w:val="000A77B9"/>
    <w:rsid w:val="000B041A"/>
    <w:rsid w:val="000B075D"/>
    <w:rsid w:val="000B08FA"/>
    <w:rsid w:val="000B0946"/>
    <w:rsid w:val="000B0997"/>
    <w:rsid w:val="000B0C27"/>
    <w:rsid w:val="000B136B"/>
    <w:rsid w:val="000B255B"/>
    <w:rsid w:val="000B2931"/>
    <w:rsid w:val="000B3333"/>
    <w:rsid w:val="000B418D"/>
    <w:rsid w:val="000B45A1"/>
    <w:rsid w:val="000B466A"/>
    <w:rsid w:val="000B4E60"/>
    <w:rsid w:val="000B5104"/>
    <w:rsid w:val="000B542C"/>
    <w:rsid w:val="000B551E"/>
    <w:rsid w:val="000B55F6"/>
    <w:rsid w:val="000B562B"/>
    <w:rsid w:val="000B59D9"/>
    <w:rsid w:val="000B5BAA"/>
    <w:rsid w:val="000B5BF3"/>
    <w:rsid w:val="000B5DC4"/>
    <w:rsid w:val="000B5EEB"/>
    <w:rsid w:val="000B5FE0"/>
    <w:rsid w:val="000B603A"/>
    <w:rsid w:val="000B6352"/>
    <w:rsid w:val="000B6DD0"/>
    <w:rsid w:val="000B6E92"/>
    <w:rsid w:val="000B77B9"/>
    <w:rsid w:val="000B7A37"/>
    <w:rsid w:val="000C0098"/>
    <w:rsid w:val="000C0C8F"/>
    <w:rsid w:val="000C0FBE"/>
    <w:rsid w:val="000C12E5"/>
    <w:rsid w:val="000C140C"/>
    <w:rsid w:val="000C18ED"/>
    <w:rsid w:val="000C1CAC"/>
    <w:rsid w:val="000C246B"/>
    <w:rsid w:val="000C2495"/>
    <w:rsid w:val="000C2A4E"/>
    <w:rsid w:val="000C2F2C"/>
    <w:rsid w:val="000C382A"/>
    <w:rsid w:val="000C391B"/>
    <w:rsid w:val="000C3D5B"/>
    <w:rsid w:val="000C3F6C"/>
    <w:rsid w:val="000C424D"/>
    <w:rsid w:val="000C48FA"/>
    <w:rsid w:val="000C549B"/>
    <w:rsid w:val="000C5EDC"/>
    <w:rsid w:val="000C5F39"/>
    <w:rsid w:val="000C603E"/>
    <w:rsid w:val="000C6CB1"/>
    <w:rsid w:val="000C701A"/>
    <w:rsid w:val="000C793B"/>
    <w:rsid w:val="000D005B"/>
    <w:rsid w:val="000D04D7"/>
    <w:rsid w:val="000D0544"/>
    <w:rsid w:val="000D06CD"/>
    <w:rsid w:val="000D0B3A"/>
    <w:rsid w:val="000D0B88"/>
    <w:rsid w:val="000D0C91"/>
    <w:rsid w:val="000D0D1C"/>
    <w:rsid w:val="000D1815"/>
    <w:rsid w:val="000D1883"/>
    <w:rsid w:val="000D1E4E"/>
    <w:rsid w:val="000D1EAC"/>
    <w:rsid w:val="000D211D"/>
    <w:rsid w:val="000D2505"/>
    <w:rsid w:val="000D252B"/>
    <w:rsid w:val="000D2C43"/>
    <w:rsid w:val="000D2EBB"/>
    <w:rsid w:val="000D32CE"/>
    <w:rsid w:val="000D347B"/>
    <w:rsid w:val="000D367F"/>
    <w:rsid w:val="000D3688"/>
    <w:rsid w:val="000D3BCF"/>
    <w:rsid w:val="000D4026"/>
    <w:rsid w:val="000D40A9"/>
    <w:rsid w:val="000D40F8"/>
    <w:rsid w:val="000D423B"/>
    <w:rsid w:val="000D44F9"/>
    <w:rsid w:val="000D4B8A"/>
    <w:rsid w:val="000D4F9D"/>
    <w:rsid w:val="000D55A7"/>
    <w:rsid w:val="000D5894"/>
    <w:rsid w:val="000D5BD8"/>
    <w:rsid w:val="000D6554"/>
    <w:rsid w:val="000D6A63"/>
    <w:rsid w:val="000D76A9"/>
    <w:rsid w:val="000D76B7"/>
    <w:rsid w:val="000D7980"/>
    <w:rsid w:val="000D7A0E"/>
    <w:rsid w:val="000D7ADE"/>
    <w:rsid w:val="000D7B5C"/>
    <w:rsid w:val="000E0467"/>
    <w:rsid w:val="000E0822"/>
    <w:rsid w:val="000E0C84"/>
    <w:rsid w:val="000E0D74"/>
    <w:rsid w:val="000E162A"/>
    <w:rsid w:val="000E1FAF"/>
    <w:rsid w:val="000E20B1"/>
    <w:rsid w:val="000E24C7"/>
    <w:rsid w:val="000E2892"/>
    <w:rsid w:val="000E2D9D"/>
    <w:rsid w:val="000E3188"/>
    <w:rsid w:val="000E49FA"/>
    <w:rsid w:val="000E4F71"/>
    <w:rsid w:val="000E585E"/>
    <w:rsid w:val="000E6456"/>
    <w:rsid w:val="000E6534"/>
    <w:rsid w:val="000E65AA"/>
    <w:rsid w:val="000E6BE4"/>
    <w:rsid w:val="000E7378"/>
    <w:rsid w:val="000E767A"/>
    <w:rsid w:val="000E79E0"/>
    <w:rsid w:val="000F014E"/>
    <w:rsid w:val="000F0365"/>
    <w:rsid w:val="000F080F"/>
    <w:rsid w:val="000F0A67"/>
    <w:rsid w:val="000F1589"/>
    <w:rsid w:val="000F1784"/>
    <w:rsid w:val="000F1882"/>
    <w:rsid w:val="000F1924"/>
    <w:rsid w:val="000F1928"/>
    <w:rsid w:val="000F22FD"/>
    <w:rsid w:val="000F2920"/>
    <w:rsid w:val="000F326B"/>
    <w:rsid w:val="000F33C6"/>
    <w:rsid w:val="000F34A7"/>
    <w:rsid w:val="000F3610"/>
    <w:rsid w:val="000F3952"/>
    <w:rsid w:val="000F3F1C"/>
    <w:rsid w:val="000F4481"/>
    <w:rsid w:val="000F4552"/>
    <w:rsid w:val="000F4686"/>
    <w:rsid w:val="000F49BE"/>
    <w:rsid w:val="000F4F7D"/>
    <w:rsid w:val="000F549E"/>
    <w:rsid w:val="000F5745"/>
    <w:rsid w:val="000F66E9"/>
    <w:rsid w:val="000F688F"/>
    <w:rsid w:val="000F6B1C"/>
    <w:rsid w:val="000F6BC1"/>
    <w:rsid w:val="000F7D06"/>
    <w:rsid w:val="000F7F04"/>
    <w:rsid w:val="0010116C"/>
    <w:rsid w:val="00101CDB"/>
    <w:rsid w:val="001021A4"/>
    <w:rsid w:val="0010230C"/>
    <w:rsid w:val="00102A91"/>
    <w:rsid w:val="00103087"/>
    <w:rsid w:val="00103925"/>
    <w:rsid w:val="00103D0D"/>
    <w:rsid w:val="00103DD9"/>
    <w:rsid w:val="0010510F"/>
    <w:rsid w:val="00105110"/>
    <w:rsid w:val="001051C8"/>
    <w:rsid w:val="0010594E"/>
    <w:rsid w:val="00105ED4"/>
    <w:rsid w:val="001063D5"/>
    <w:rsid w:val="001064C5"/>
    <w:rsid w:val="0010680B"/>
    <w:rsid w:val="001072B9"/>
    <w:rsid w:val="00107594"/>
    <w:rsid w:val="001076F4"/>
    <w:rsid w:val="0010788A"/>
    <w:rsid w:val="00107A04"/>
    <w:rsid w:val="00107A73"/>
    <w:rsid w:val="00107ECB"/>
    <w:rsid w:val="00110379"/>
    <w:rsid w:val="00111080"/>
    <w:rsid w:val="001120D0"/>
    <w:rsid w:val="00112319"/>
    <w:rsid w:val="00112AC7"/>
    <w:rsid w:val="0011328C"/>
    <w:rsid w:val="001139D0"/>
    <w:rsid w:val="00113A69"/>
    <w:rsid w:val="00113E58"/>
    <w:rsid w:val="00113FCF"/>
    <w:rsid w:val="0011437A"/>
    <w:rsid w:val="001148D2"/>
    <w:rsid w:val="00114CAD"/>
    <w:rsid w:val="00114DAF"/>
    <w:rsid w:val="001159E7"/>
    <w:rsid w:val="00115B86"/>
    <w:rsid w:val="00115EFA"/>
    <w:rsid w:val="00116087"/>
    <w:rsid w:val="001160CC"/>
    <w:rsid w:val="0011625A"/>
    <w:rsid w:val="00116979"/>
    <w:rsid w:val="001169BC"/>
    <w:rsid w:val="00117CE3"/>
    <w:rsid w:val="00117D19"/>
    <w:rsid w:val="00120131"/>
    <w:rsid w:val="0012066D"/>
    <w:rsid w:val="00120AB2"/>
    <w:rsid w:val="00120FBF"/>
    <w:rsid w:val="0012105A"/>
    <w:rsid w:val="0012112F"/>
    <w:rsid w:val="0012141F"/>
    <w:rsid w:val="00121F37"/>
    <w:rsid w:val="00122299"/>
    <w:rsid w:val="00122686"/>
    <w:rsid w:val="00122AF8"/>
    <w:rsid w:val="00122E92"/>
    <w:rsid w:val="001233E2"/>
    <w:rsid w:val="0012364C"/>
    <w:rsid w:val="001249EF"/>
    <w:rsid w:val="001251F0"/>
    <w:rsid w:val="0012520F"/>
    <w:rsid w:val="00125262"/>
    <w:rsid w:val="00125AFD"/>
    <w:rsid w:val="00125C3C"/>
    <w:rsid w:val="00125F40"/>
    <w:rsid w:val="001264F5"/>
    <w:rsid w:val="00126B87"/>
    <w:rsid w:val="00126CE3"/>
    <w:rsid w:val="00127146"/>
    <w:rsid w:val="00127835"/>
    <w:rsid w:val="00127920"/>
    <w:rsid w:val="001279CC"/>
    <w:rsid w:val="00130095"/>
    <w:rsid w:val="0013021D"/>
    <w:rsid w:val="00130459"/>
    <w:rsid w:val="00130534"/>
    <w:rsid w:val="0013103E"/>
    <w:rsid w:val="00131061"/>
    <w:rsid w:val="001311DC"/>
    <w:rsid w:val="00131348"/>
    <w:rsid w:val="001326DB"/>
    <w:rsid w:val="00132B11"/>
    <w:rsid w:val="00133BD3"/>
    <w:rsid w:val="0013433E"/>
    <w:rsid w:val="00134A6D"/>
    <w:rsid w:val="00134BB1"/>
    <w:rsid w:val="00134CB4"/>
    <w:rsid w:val="00134F4B"/>
    <w:rsid w:val="001351FD"/>
    <w:rsid w:val="0013591E"/>
    <w:rsid w:val="00135D32"/>
    <w:rsid w:val="00135D7F"/>
    <w:rsid w:val="00135D85"/>
    <w:rsid w:val="00136117"/>
    <w:rsid w:val="001362EA"/>
    <w:rsid w:val="00136586"/>
    <w:rsid w:val="00136807"/>
    <w:rsid w:val="00136A26"/>
    <w:rsid w:val="0013730A"/>
    <w:rsid w:val="00137BCA"/>
    <w:rsid w:val="00137C70"/>
    <w:rsid w:val="001401E2"/>
    <w:rsid w:val="00140591"/>
    <w:rsid w:val="00140AE1"/>
    <w:rsid w:val="00140BCE"/>
    <w:rsid w:val="00140C16"/>
    <w:rsid w:val="00140DAB"/>
    <w:rsid w:val="00140EFF"/>
    <w:rsid w:val="00141070"/>
    <w:rsid w:val="00141F58"/>
    <w:rsid w:val="00142878"/>
    <w:rsid w:val="00142911"/>
    <w:rsid w:val="00142D31"/>
    <w:rsid w:val="0014301E"/>
    <w:rsid w:val="001430D2"/>
    <w:rsid w:val="00143418"/>
    <w:rsid w:val="0014358D"/>
    <w:rsid w:val="00143789"/>
    <w:rsid w:val="001440F2"/>
    <w:rsid w:val="0014425B"/>
    <w:rsid w:val="001448A9"/>
    <w:rsid w:val="00144C43"/>
    <w:rsid w:val="00144C96"/>
    <w:rsid w:val="00144E3A"/>
    <w:rsid w:val="00145A7C"/>
    <w:rsid w:val="00145F67"/>
    <w:rsid w:val="00145FFC"/>
    <w:rsid w:val="00146B19"/>
    <w:rsid w:val="00146FC8"/>
    <w:rsid w:val="00147859"/>
    <w:rsid w:val="00147A7D"/>
    <w:rsid w:val="00147E80"/>
    <w:rsid w:val="001502A2"/>
    <w:rsid w:val="00150AFC"/>
    <w:rsid w:val="00150C7D"/>
    <w:rsid w:val="00151173"/>
    <w:rsid w:val="00151506"/>
    <w:rsid w:val="00152149"/>
    <w:rsid w:val="00152160"/>
    <w:rsid w:val="00152681"/>
    <w:rsid w:val="00152686"/>
    <w:rsid w:val="0015315C"/>
    <w:rsid w:val="00153841"/>
    <w:rsid w:val="00154104"/>
    <w:rsid w:val="00154106"/>
    <w:rsid w:val="00154FB5"/>
    <w:rsid w:val="001550FE"/>
    <w:rsid w:val="0015526E"/>
    <w:rsid w:val="001558AC"/>
    <w:rsid w:val="00155BD4"/>
    <w:rsid w:val="00155FB0"/>
    <w:rsid w:val="001560D5"/>
    <w:rsid w:val="001564F6"/>
    <w:rsid w:val="00156D7B"/>
    <w:rsid w:val="00156E0D"/>
    <w:rsid w:val="0015715C"/>
    <w:rsid w:val="00161052"/>
    <w:rsid w:val="00161098"/>
    <w:rsid w:val="001611B2"/>
    <w:rsid w:val="00161403"/>
    <w:rsid w:val="0016198C"/>
    <w:rsid w:val="00161BA6"/>
    <w:rsid w:val="00161E84"/>
    <w:rsid w:val="00161FCC"/>
    <w:rsid w:val="00162044"/>
    <w:rsid w:val="00162C1C"/>
    <w:rsid w:val="00162C40"/>
    <w:rsid w:val="00162F74"/>
    <w:rsid w:val="00163AE6"/>
    <w:rsid w:val="00163DB5"/>
    <w:rsid w:val="00163E13"/>
    <w:rsid w:val="00164081"/>
    <w:rsid w:val="0016447C"/>
    <w:rsid w:val="00164645"/>
    <w:rsid w:val="00164D19"/>
    <w:rsid w:val="00164E09"/>
    <w:rsid w:val="001652DA"/>
    <w:rsid w:val="001656C8"/>
    <w:rsid w:val="00166295"/>
    <w:rsid w:val="0016629E"/>
    <w:rsid w:val="001666A6"/>
    <w:rsid w:val="00166E1D"/>
    <w:rsid w:val="00166F14"/>
    <w:rsid w:val="00167244"/>
    <w:rsid w:val="0016746E"/>
    <w:rsid w:val="00167687"/>
    <w:rsid w:val="001677D1"/>
    <w:rsid w:val="00167839"/>
    <w:rsid w:val="00167C33"/>
    <w:rsid w:val="00170591"/>
    <w:rsid w:val="001706F6"/>
    <w:rsid w:val="00170AA8"/>
    <w:rsid w:val="00170B37"/>
    <w:rsid w:val="00170C54"/>
    <w:rsid w:val="00170E6C"/>
    <w:rsid w:val="00170F99"/>
    <w:rsid w:val="00171490"/>
    <w:rsid w:val="00171763"/>
    <w:rsid w:val="00172328"/>
    <w:rsid w:val="001727F3"/>
    <w:rsid w:val="001729D0"/>
    <w:rsid w:val="00172DBF"/>
    <w:rsid w:val="00173281"/>
    <w:rsid w:val="001736B5"/>
    <w:rsid w:val="001738CA"/>
    <w:rsid w:val="001742A8"/>
    <w:rsid w:val="00174564"/>
    <w:rsid w:val="0017469A"/>
    <w:rsid w:val="001747CA"/>
    <w:rsid w:val="00174BFB"/>
    <w:rsid w:val="00174D64"/>
    <w:rsid w:val="0017513E"/>
    <w:rsid w:val="00175246"/>
    <w:rsid w:val="0017589D"/>
    <w:rsid w:val="0017618B"/>
    <w:rsid w:val="001763D4"/>
    <w:rsid w:val="00176ECC"/>
    <w:rsid w:val="00177D52"/>
    <w:rsid w:val="00180246"/>
    <w:rsid w:val="00180C63"/>
    <w:rsid w:val="001814D2"/>
    <w:rsid w:val="001815E2"/>
    <w:rsid w:val="00181BDE"/>
    <w:rsid w:val="0018244B"/>
    <w:rsid w:val="00182C53"/>
    <w:rsid w:val="00183271"/>
    <w:rsid w:val="001832EE"/>
    <w:rsid w:val="00183474"/>
    <w:rsid w:val="0018358A"/>
    <w:rsid w:val="00183A73"/>
    <w:rsid w:val="00183B60"/>
    <w:rsid w:val="00183DBF"/>
    <w:rsid w:val="00184261"/>
    <w:rsid w:val="00185241"/>
    <w:rsid w:val="0018526E"/>
    <w:rsid w:val="001856E8"/>
    <w:rsid w:val="001859C3"/>
    <w:rsid w:val="00185A9F"/>
    <w:rsid w:val="00185D24"/>
    <w:rsid w:val="00186050"/>
    <w:rsid w:val="001866D2"/>
    <w:rsid w:val="00186905"/>
    <w:rsid w:val="00186D9B"/>
    <w:rsid w:val="0018784A"/>
    <w:rsid w:val="00187E53"/>
    <w:rsid w:val="00187E83"/>
    <w:rsid w:val="001901BE"/>
    <w:rsid w:val="0019075E"/>
    <w:rsid w:val="00190803"/>
    <w:rsid w:val="00190F26"/>
    <w:rsid w:val="001914AC"/>
    <w:rsid w:val="001928CB"/>
    <w:rsid w:val="00192EEE"/>
    <w:rsid w:val="0019353C"/>
    <w:rsid w:val="00193A57"/>
    <w:rsid w:val="00193D67"/>
    <w:rsid w:val="00193E64"/>
    <w:rsid w:val="00194141"/>
    <w:rsid w:val="00194279"/>
    <w:rsid w:val="0019438D"/>
    <w:rsid w:val="00195794"/>
    <w:rsid w:val="00195797"/>
    <w:rsid w:val="001A01CB"/>
    <w:rsid w:val="001A0661"/>
    <w:rsid w:val="001A0A31"/>
    <w:rsid w:val="001A0EE9"/>
    <w:rsid w:val="001A0FB7"/>
    <w:rsid w:val="001A114A"/>
    <w:rsid w:val="001A1AE5"/>
    <w:rsid w:val="001A1C36"/>
    <w:rsid w:val="001A1D1C"/>
    <w:rsid w:val="001A1DF0"/>
    <w:rsid w:val="001A20D6"/>
    <w:rsid w:val="001A214E"/>
    <w:rsid w:val="001A3709"/>
    <w:rsid w:val="001A46DF"/>
    <w:rsid w:val="001A49F2"/>
    <w:rsid w:val="001A4DB0"/>
    <w:rsid w:val="001A5F50"/>
    <w:rsid w:val="001A606F"/>
    <w:rsid w:val="001A624D"/>
    <w:rsid w:val="001A6911"/>
    <w:rsid w:val="001A6A25"/>
    <w:rsid w:val="001A75C9"/>
    <w:rsid w:val="001A7789"/>
    <w:rsid w:val="001B060E"/>
    <w:rsid w:val="001B0A61"/>
    <w:rsid w:val="001B1105"/>
    <w:rsid w:val="001B126E"/>
    <w:rsid w:val="001B18FD"/>
    <w:rsid w:val="001B1982"/>
    <w:rsid w:val="001B1A70"/>
    <w:rsid w:val="001B211C"/>
    <w:rsid w:val="001B2B4A"/>
    <w:rsid w:val="001B43B7"/>
    <w:rsid w:val="001B4B26"/>
    <w:rsid w:val="001B4C62"/>
    <w:rsid w:val="001B4E51"/>
    <w:rsid w:val="001B53B5"/>
    <w:rsid w:val="001B53C5"/>
    <w:rsid w:val="001B547D"/>
    <w:rsid w:val="001B58A6"/>
    <w:rsid w:val="001B6228"/>
    <w:rsid w:val="001B630F"/>
    <w:rsid w:val="001B65A4"/>
    <w:rsid w:val="001B6B76"/>
    <w:rsid w:val="001B6C90"/>
    <w:rsid w:val="001B6DB8"/>
    <w:rsid w:val="001B6F3D"/>
    <w:rsid w:val="001B7083"/>
    <w:rsid w:val="001B7105"/>
    <w:rsid w:val="001B749E"/>
    <w:rsid w:val="001B7B3F"/>
    <w:rsid w:val="001B7C31"/>
    <w:rsid w:val="001C0029"/>
    <w:rsid w:val="001C08B9"/>
    <w:rsid w:val="001C0EAA"/>
    <w:rsid w:val="001C1392"/>
    <w:rsid w:val="001C1932"/>
    <w:rsid w:val="001C1B66"/>
    <w:rsid w:val="001C2502"/>
    <w:rsid w:val="001C292E"/>
    <w:rsid w:val="001C2972"/>
    <w:rsid w:val="001C349C"/>
    <w:rsid w:val="001C37FF"/>
    <w:rsid w:val="001C39F1"/>
    <w:rsid w:val="001C3CA4"/>
    <w:rsid w:val="001C452B"/>
    <w:rsid w:val="001C47B0"/>
    <w:rsid w:val="001C4955"/>
    <w:rsid w:val="001C49FD"/>
    <w:rsid w:val="001C4ACF"/>
    <w:rsid w:val="001C4E14"/>
    <w:rsid w:val="001C512E"/>
    <w:rsid w:val="001C598B"/>
    <w:rsid w:val="001C5C8D"/>
    <w:rsid w:val="001C618F"/>
    <w:rsid w:val="001C65D0"/>
    <w:rsid w:val="001C6818"/>
    <w:rsid w:val="001C6BEE"/>
    <w:rsid w:val="001C7768"/>
    <w:rsid w:val="001C7DB6"/>
    <w:rsid w:val="001D0024"/>
    <w:rsid w:val="001D078F"/>
    <w:rsid w:val="001D0BCB"/>
    <w:rsid w:val="001D11A9"/>
    <w:rsid w:val="001D1519"/>
    <w:rsid w:val="001D15C3"/>
    <w:rsid w:val="001D1726"/>
    <w:rsid w:val="001D1FEF"/>
    <w:rsid w:val="001D25C4"/>
    <w:rsid w:val="001D2C90"/>
    <w:rsid w:val="001D2DB2"/>
    <w:rsid w:val="001D31EB"/>
    <w:rsid w:val="001D34FA"/>
    <w:rsid w:val="001D36A8"/>
    <w:rsid w:val="001D4067"/>
    <w:rsid w:val="001D465A"/>
    <w:rsid w:val="001D4A1A"/>
    <w:rsid w:val="001D54A8"/>
    <w:rsid w:val="001D54CE"/>
    <w:rsid w:val="001D5618"/>
    <w:rsid w:val="001D5AEA"/>
    <w:rsid w:val="001D5C1D"/>
    <w:rsid w:val="001D5EAD"/>
    <w:rsid w:val="001D5F4C"/>
    <w:rsid w:val="001D65B3"/>
    <w:rsid w:val="001D6E43"/>
    <w:rsid w:val="001D7400"/>
    <w:rsid w:val="001E00AC"/>
    <w:rsid w:val="001E017B"/>
    <w:rsid w:val="001E01CA"/>
    <w:rsid w:val="001E0412"/>
    <w:rsid w:val="001E063A"/>
    <w:rsid w:val="001E0825"/>
    <w:rsid w:val="001E0E3A"/>
    <w:rsid w:val="001E1211"/>
    <w:rsid w:val="001E1E3A"/>
    <w:rsid w:val="001E2225"/>
    <w:rsid w:val="001E240E"/>
    <w:rsid w:val="001E2459"/>
    <w:rsid w:val="001E2949"/>
    <w:rsid w:val="001E2CB8"/>
    <w:rsid w:val="001E33D1"/>
    <w:rsid w:val="001E35A3"/>
    <w:rsid w:val="001E3648"/>
    <w:rsid w:val="001E3EBA"/>
    <w:rsid w:val="001E44A4"/>
    <w:rsid w:val="001E46AC"/>
    <w:rsid w:val="001E4D87"/>
    <w:rsid w:val="001E561C"/>
    <w:rsid w:val="001E569B"/>
    <w:rsid w:val="001E62B4"/>
    <w:rsid w:val="001E6442"/>
    <w:rsid w:val="001E66A9"/>
    <w:rsid w:val="001E6A38"/>
    <w:rsid w:val="001E6DC6"/>
    <w:rsid w:val="001E7694"/>
    <w:rsid w:val="001E7E14"/>
    <w:rsid w:val="001F028C"/>
    <w:rsid w:val="001F0C90"/>
    <w:rsid w:val="001F0CB1"/>
    <w:rsid w:val="001F0D65"/>
    <w:rsid w:val="001F125F"/>
    <w:rsid w:val="001F143D"/>
    <w:rsid w:val="001F177F"/>
    <w:rsid w:val="001F1EA0"/>
    <w:rsid w:val="001F2B34"/>
    <w:rsid w:val="001F3792"/>
    <w:rsid w:val="001F38C1"/>
    <w:rsid w:val="001F3CC8"/>
    <w:rsid w:val="001F3E9A"/>
    <w:rsid w:val="001F4938"/>
    <w:rsid w:val="001F51E4"/>
    <w:rsid w:val="001F534C"/>
    <w:rsid w:val="001F56A3"/>
    <w:rsid w:val="001F5892"/>
    <w:rsid w:val="001F59A6"/>
    <w:rsid w:val="001F60AF"/>
    <w:rsid w:val="001F6484"/>
    <w:rsid w:val="001F6568"/>
    <w:rsid w:val="001F729D"/>
    <w:rsid w:val="001F72BB"/>
    <w:rsid w:val="0020017E"/>
    <w:rsid w:val="002005B5"/>
    <w:rsid w:val="002005C6"/>
    <w:rsid w:val="002007C7"/>
    <w:rsid w:val="0020088D"/>
    <w:rsid w:val="00200BE1"/>
    <w:rsid w:val="002010E9"/>
    <w:rsid w:val="00201237"/>
    <w:rsid w:val="00201759"/>
    <w:rsid w:val="002018C4"/>
    <w:rsid w:val="00201E2D"/>
    <w:rsid w:val="00202592"/>
    <w:rsid w:val="00202E23"/>
    <w:rsid w:val="002038A6"/>
    <w:rsid w:val="00203A22"/>
    <w:rsid w:val="00203FE6"/>
    <w:rsid w:val="0020447E"/>
    <w:rsid w:val="00204572"/>
    <w:rsid w:val="0020473E"/>
    <w:rsid w:val="002052E8"/>
    <w:rsid w:val="00205536"/>
    <w:rsid w:val="00205BE1"/>
    <w:rsid w:val="00206432"/>
    <w:rsid w:val="00207126"/>
    <w:rsid w:val="002071AB"/>
    <w:rsid w:val="00207B28"/>
    <w:rsid w:val="00207CB4"/>
    <w:rsid w:val="0021000C"/>
    <w:rsid w:val="00210182"/>
    <w:rsid w:val="002105E9"/>
    <w:rsid w:val="00210A7F"/>
    <w:rsid w:val="00210AD8"/>
    <w:rsid w:val="00210B6E"/>
    <w:rsid w:val="00210E25"/>
    <w:rsid w:val="00210FD6"/>
    <w:rsid w:val="00211ACA"/>
    <w:rsid w:val="002127B1"/>
    <w:rsid w:val="00213614"/>
    <w:rsid w:val="0021377E"/>
    <w:rsid w:val="002137AD"/>
    <w:rsid w:val="002137B5"/>
    <w:rsid w:val="00213B3B"/>
    <w:rsid w:val="00213F61"/>
    <w:rsid w:val="0021412B"/>
    <w:rsid w:val="002143CA"/>
    <w:rsid w:val="002148AF"/>
    <w:rsid w:val="00214FA1"/>
    <w:rsid w:val="002151E6"/>
    <w:rsid w:val="00215729"/>
    <w:rsid w:val="002158DA"/>
    <w:rsid w:val="002159DC"/>
    <w:rsid w:val="00215E34"/>
    <w:rsid w:val="002161FF"/>
    <w:rsid w:val="002162ED"/>
    <w:rsid w:val="002166C5"/>
    <w:rsid w:val="00216711"/>
    <w:rsid w:val="00216DD3"/>
    <w:rsid w:val="00217467"/>
    <w:rsid w:val="002177B4"/>
    <w:rsid w:val="00217C83"/>
    <w:rsid w:val="0022088C"/>
    <w:rsid w:val="00220B72"/>
    <w:rsid w:val="002215A9"/>
    <w:rsid w:val="002216A0"/>
    <w:rsid w:val="00221B01"/>
    <w:rsid w:val="00221F2C"/>
    <w:rsid w:val="002224B0"/>
    <w:rsid w:val="00222962"/>
    <w:rsid w:val="00222BAE"/>
    <w:rsid w:val="00222D18"/>
    <w:rsid w:val="00222E19"/>
    <w:rsid w:val="00223691"/>
    <w:rsid w:val="00223959"/>
    <w:rsid w:val="00223C14"/>
    <w:rsid w:val="00224200"/>
    <w:rsid w:val="00224956"/>
    <w:rsid w:val="00224A3B"/>
    <w:rsid w:val="00224B9A"/>
    <w:rsid w:val="00224C7C"/>
    <w:rsid w:val="00225166"/>
    <w:rsid w:val="00225290"/>
    <w:rsid w:val="0022559B"/>
    <w:rsid w:val="00226AF3"/>
    <w:rsid w:val="00226EC8"/>
    <w:rsid w:val="00230405"/>
    <w:rsid w:val="00230A79"/>
    <w:rsid w:val="00230B10"/>
    <w:rsid w:val="00231348"/>
    <w:rsid w:val="00231779"/>
    <w:rsid w:val="00231B2E"/>
    <w:rsid w:val="00231B7A"/>
    <w:rsid w:val="00231BDE"/>
    <w:rsid w:val="002320F0"/>
    <w:rsid w:val="0023246D"/>
    <w:rsid w:val="00232B39"/>
    <w:rsid w:val="00232B3E"/>
    <w:rsid w:val="00232E6C"/>
    <w:rsid w:val="0023317E"/>
    <w:rsid w:val="002333C2"/>
    <w:rsid w:val="0023392E"/>
    <w:rsid w:val="00233974"/>
    <w:rsid w:val="00233A0A"/>
    <w:rsid w:val="0023434E"/>
    <w:rsid w:val="00234840"/>
    <w:rsid w:val="002352E6"/>
    <w:rsid w:val="00235E6E"/>
    <w:rsid w:val="002363BC"/>
    <w:rsid w:val="002367BA"/>
    <w:rsid w:val="00236BD2"/>
    <w:rsid w:val="00237D15"/>
    <w:rsid w:val="00237FEE"/>
    <w:rsid w:val="0024023D"/>
    <w:rsid w:val="00240923"/>
    <w:rsid w:val="00241024"/>
    <w:rsid w:val="00241692"/>
    <w:rsid w:val="0024290C"/>
    <w:rsid w:val="00242F43"/>
    <w:rsid w:val="00243539"/>
    <w:rsid w:val="0024372C"/>
    <w:rsid w:val="002437CA"/>
    <w:rsid w:val="0024388A"/>
    <w:rsid w:val="00243AC8"/>
    <w:rsid w:val="002459A2"/>
    <w:rsid w:val="00245A4B"/>
    <w:rsid w:val="0024602C"/>
    <w:rsid w:val="0024605C"/>
    <w:rsid w:val="00246304"/>
    <w:rsid w:val="00246320"/>
    <w:rsid w:val="00246544"/>
    <w:rsid w:val="00246FB2"/>
    <w:rsid w:val="00250822"/>
    <w:rsid w:val="0025114B"/>
    <w:rsid w:val="00251E69"/>
    <w:rsid w:val="00251EEA"/>
    <w:rsid w:val="00252859"/>
    <w:rsid w:val="00252A37"/>
    <w:rsid w:val="00252B57"/>
    <w:rsid w:val="002532D0"/>
    <w:rsid w:val="002535A5"/>
    <w:rsid w:val="002537AE"/>
    <w:rsid w:val="0025398F"/>
    <w:rsid w:val="00253B5B"/>
    <w:rsid w:val="002544CF"/>
    <w:rsid w:val="0025465D"/>
    <w:rsid w:val="00254E63"/>
    <w:rsid w:val="00255F8E"/>
    <w:rsid w:val="00256442"/>
    <w:rsid w:val="00256631"/>
    <w:rsid w:val="002568A2"/>
    <w:rsid w:val="00256CCB"/>
    <w:rsid w:val="002571FA"/>
    <w:rsid w:val="002573E2"/>
    <w:rsid w:val="002575B0"/>
    <w:rsid w:val="00257670"/>
    <w:rsid w:val="002578EE"/>
    <w:rsid w:val="00257E38"/>
    <w:rsid w:val="0026053F"/>
    <w:rsid w:val="00260785"/>
    <w:rsid w:val="002610BB"/>
    <w:rsid w:val="002617C6"/>
    <w:rsid w:val="00261909"/>
    <w:rsid w:val="00261D2E"/>
    <w:rsid w:val="00262439"/>
    <w:rsid w:val="00262C8F"/>
    <w:rsid w:val="00262E12"/>
    <w:rsid w:val="00262E14"/>
    <w:rsid w:val="00263093"/>
    <w:rsid w:val="00263332"/>
    <w:rsid w:val="00263A06"/>
    <w:rsid w:val="00263D20"/>
    <w:rsid w:val="0026406A"/>
    <w:rsid w:val="0026420E"/>
    <w:rsid w:val="002642F1"/>
    <w:rsid w:val="00264EB7"/>
    <w:rsid w:val="00265770"/>
    <w:rsid w:val="00265986"/>
    <w:rsid w:val="002659B7"/>
    <w:rsid w:val="00265A77"/>
    <w:rsid w:val="00265C53"/>
    <w:rsid w:val="00266412"/>
    <w:rsid w:val="0026669A"/>
    <w:rsid w:val="0026692A"/>
    <w:rsid w:val="00266BEC"/>
    <w:rsid w:val="00267369"/>
    <w:rsid w:val="00267896"/>
    <w:rsid w:val="002678B1"/>
    <w:rsid w:val="00270256"/>
    <w:rsid w:val="00270484"/>
    <w:rsid w:val="002704E7"/>
    <w:rsid w:val="00270781"/>
    <w:rsid w:val="00270B05"/>
    <w:rsid w:val="00270B12"/>
    <w:rsid w:val="00270D0D"/>
    <w:rsid w:val="00270E6A"/>
    <w:rsid w:val="0027127F"/>
    <w:rsid w:val="00271FAA"/>
    <w:rsid w:val="002722D2"/>
    <w:rsid w:val="002722F8"/>
    <w:rsid w:val="00272560"/>
    <w:rsid w:val="00272AC1"/>
    <w:rsid w:val="00272D42"/>
    <w:rsid w:val="00273812"/>
    <w:rsid w:val="00273AA9"/>
    <w:rsid w:val="0027420D"/>
    <w:rsid w:val="002743F9"/>
    <w:rsid w:val="00274631"/>
    <w:rsid w:val="002747B0"/>
    <w:rsid w:val="00274A55"/>
    <w:rsid w:val="00274BC0"/>
    <w:rsid w:val="002753A9"/>
    <w:rsid w:val="00275474"/>
    <w:rsid w:val="002756D9"/>
    <w:rsid w:val="002756F4"/>
    <w:rsid w:val="00275D3D"/>
    <w:rsid w:val="00275DB0"/>
    <w:rsid w:val="002760AE"/>
    <w:rsid w:val="0027688F"/>
    <w:rsid w:val="00276B05"/>
    <w:rsid w:val="00276D93"/>
    <w:rsid w:val="00276DC2"/>
    <w:rsid w:val="0027714D"/>
    <w:rsid w:val="002774FC"/>
    <w:rsid w:val="0027760A"/>
    <w:rsid w:val="00277E25"/>
    <w:rsid w:val="0028041D"/>
    <w:rsid w:val="00280721"/>
    <w:rsid w:val="00280920"/>
    <w:rsid w:val="00280C0A"/>
    <w:rsid w:val="002810D0"/>
    <w:rsid w:val="002812FA"/>
    <w:rsid w:val="00281A14"/>
    <w:rsid w:val="00281A1C"/>
    <w:rsid w:val="00281B6D"/>
    <w:rsid w:val="00281E66"/>
    <w:rsid w:val="00282021"/>
    <w:rsid w:val="0028213D"/>
    <w:rsid w:val="002821D7"/>
    <w:rsid w:val="0028294D"/>
    <w:rsid w:val="00283605"/>
    <w:rsid w:val="00283620"/>
    <w:rsid w:val="00283727"/>
    <w:rsid w:val="00283EA4"/>
    <w:rsid w:val="0028401C"/>
    <w:rsid w:val="002844BC"/>
    <w:rsid w:val="002846E0"/>
    <w:rsid w:val="0028473B"/>
    <w:rsid w:val="00285089"/>
    <w:rsid w:val="00285121"/>
    <w:rsid w:val="00285E76"/>
    <w:rsid w:val="00286161"/>
    <w:rsid w:val="00286274"/>
    <w:rsid w:val="0028630F"/>
    <w:rsid w:val="00286871"/>
    <w:rsid w:val="00287100"/>
    <w:rsid w:val="00287936"/>
    <w:rsid w:val="00287A85"/>
    <w:rsid w:val="00287CA4"/>
    <w:rsid w:val="00287D45"/>
    <w:rsid w:val="00287E30"/>
    <w:rsid w:val="00287F2F"/>
    <w:rsid w:val="00287F3B"/>
    <w:rsid w:val="00290299"/>
    <w:rsid w:val="002903C8"/>
    <w:rsid w:val="00290AEF"/>
    <w:rsid w:val="00290BCC"/>
    <w:rsid w:val="00290D9D"/>
    <w:rsid w:val="00290EA3"/>
    <w:rsid w:val="0029107F"/>
    <w:rsid w:val="002910CC"/>
    <w:rsid w:val="002915AC"/>
    <w:rsid w:val="00291A4F"/>
    <w:rsid w:val="00291C2C"/>
    <w:rsid w:val="00291DBD"/>
    <w:rsid w:val="00291EC7"/>
    <w:rsid w:val="0029213B"/>
    <w:rsid w:val="002924B2"/>
    <w:rsid w:val="00293043"/>
    <w:rsid w:val="00293421"/>
    <w:rsid w:val="0029399C"/>
    <w:rsid w:val="00294416"/>
    <w:rsid w:val="002949B5"/>
    <w:rsid w:val="00294C96"/>
    <w:rsid w:val="002953A2"/>
    <w:rsid w:val="002961E1"/>
    <w:rsid w:val="00296407"/>
    <w:rsid w:val="0029689B"/>
    <w:rsid w:val="00296FB1"/>
    <w:rsid w:val="002971B7"/>
    <w:rsid w:val="002972E2"/>
    <w:rsid w:val="00297A1B"/>
    <w:rsid w:val="00297D1E"/>
    <w:rsid w:val="00297F21"/>
    <w:rsid w:val="00297F25"/>
    <w:rsid w:val="002A014A"/>
    <w:rsid w:val="002A0511"/>
    <w:rsid w:val="002A05C2"/>
    <w:rsid w:val="002A0856"/>
    <w:rsid w:val="002A1115"/>
    <w:rsid w:val="002A13F2"/>
    <w:rsid w:val="002A1554"/>
    <w:rsid w:val="002A1C5B"/>
    <w:rsid w:val="002A1F14"/>
    <w:rsid w:val="002A23FA"/>
    <w:rsid w:val="002A244C"/>
    <w:rsid w:val="002A24FE"/>
    <w:rsid w:val="002A25F4"/>
    <w:rsid w:val="002A31C6"/>
    <w:rsid w:val="002A3276"/>
    <w:rsid w:val="002A32E4"/>
    <w:rsid w:val="002A3884"/>
    <w:rsid w:val="002A3A1C"/>
    <w:rsid w:val="002A3C22"/>
    <w:rsid w:val="002A3EFC"/>
    <w:rsid w:val="002A439E"/>
    <w:rsid w:val="002A4F08"/>
    <w:rsid w:val="002A4F70"/>
    <w:rsid w:val="002A523D"/>
    <w:rsid w:val="002A5574"/>
    <w:rsid w:val="002A56F7"/>
    <w:rsid w:val="002A5759"/>
    <w:rsid w:val="002A5A5E"/>
    <w:rsid w:val="002A5D08"/>
    <w:rsid w:val="002A5D11"/>
    <w:rsid w:val="002A61EB"/>
    <w:rsid w:val="002A6D8C"/>
    <w:rsid w:val="002A7A13"/>
    <w:rsid w:val="002A7D44"/>
    <w:rsid w:val="002A7D6F"/>
    <w:rsid w:val="002A7FD7"/>
    <w:rsid w:val="002B04D7"/>
    <w:rsid w:val="002B0D1A"/>
    <w:rsid w:val="002B1114"/>
    <w:rsid w:val="002B14C1"/>
    <w:rsid w:val="002B14E4"/>
    <w:rsid w:val="002B1F23"/>
    <w:rsid w:val="002B236E"/>
    <w:rsid w:val="002B3451"/>
    <w:rsid w:val="002B3E1B"/>
    <w:rsid w:val="002B3EC1"/>
    <w:rsid w:val="002B467D"/>
    <w:rsid w:val="002B5240"/>
    <w:rsid w:val="002B528F"/>
    <w:rsid w:val="002B5914"/>
    <w:rsid w:val="002B5B28"/>
    <w:rsid w:val="002B69AD"/>
    <w:rsid w:val="002B6EBC"/>
    <w:rsid w:val="002B6F87"/>
    <w:rsid w:val="002B6FF6"/>
    <w:rsid w:val="002B746C"/>
    <w:rsid w:val="002B772E"/>
    <w:rsid w:val="002C0095"/>
    <w:rsid w:val="002C0B88"/>
    <w:rsid w:val="002C0DAB"/>
    <w:rsid w:val="002C15F9"/>
    <w:rsid w:val="002C1EDD"/>
    <w:rsid w:val="002C1F25"/>
    <w:rsid w:val="002C28EA"/>
    <w:rsid w:val="002C2935"/>
    <w:rsid w:val="002C2B7F"/>
    <w:rsid w:val="002C2CA1"/>
    <w:rsid w:val="002C3310"/>
    <w:rsid w:val="002C35B8"/>
    <w:rsid w:val="002C394B"/>
    <w:rsid w:val="002C3D85"/>
    <w:rsid w:val="002C47C9"/>
    <w:rsid w:val="002C47D2"/>
    <w:rsid w:val="002C488A"/>
    <w:rsid w:val="002C48A1"/>
    <w:rsid w:val="002C4B83"/>
    <w:rsid w:val="002C4B9F"/>
    <w:rsid w:val="002C4C94"/>
    <w:rsid w:val="002C4D25"/>
    <w:rsid w:val="002C566C"/>
    <w:rsid w:val="002C5DCE"/>
    <w:rsid w:val="002C5E15"/>
    <w:rsid w:val="002C5F9A"/>
    <w:rsid w:val="002C5FAA"/>
    <w:rsid w:val="002C60FE"/>
    <w:rsid w:val="002C6334"/>
    <w:rsid w:val="002C6586"/>
    <w:rsid w:val="002C6ACA"/>
    <w:rsid w:val="002C6C7B"/>
    <w:rsid w:val="002C72B1"/>
    <w:rsid w:val="002C74DD"/>
    <w:rsid w:val="002C7C81"/>
    <w:rsid w:val="002D0B3E"/>
    <w:rsid w:val="002D0E30"/>
    <w:rsid w:val="002D0FDE"/>
    <w:rsid w:val="002D17DE"/>
    <w:rsid w:val="002D1ED5"/>
    <w:rsid w:val="002D2530"/>
    <w:rsid w:val="002D2822"/>
    <w:rsid w:val="002D287A"/>
    <w:rsid w:val="002D2D82"/>
    <w:rsid w:val="002D3153"/>
    <w:rsid w:val="002D3372"/>
    <w:rsid w:val="002D3774"/>
    <w:rsid w:val="002D3E8F"/>
    <w:rsid w:val="002D450E"/>
    <w:rsid w:val="002D48FC"/>
    <w:rsid w:val="002D49AF"/>
    <w:rsid w:val="002D4AD1"/>
    <w:rsid w:val="002D512E"/>
    <w:rsid w:val="002D52F6"/>
    <w:rsid w:val="002D5AE1"/>
    <w:rsid w:val="002D5C8B"/>
    <w:rsid w:val="002D5D7D"/>
    <w:rsid w:val="002D65FC"/>
    <w:rsid w:val="002D69D9"/>
    <w:rsid w:val="002D6B68"/>
    <w:rsid w:val="002D6BD3"/>
    <w:rsid w:val="002D6EE8"/>
    <w:rsid w:val="002D755A"/>
    <w:rsid w:val="002D7AA9"/>
    <w:rsid w:val="002D7DE0"/>
    <w:rsid w:val="002E072F"/>
    <w:rsid w:val="002E0E98"/>
    <w:rsid w:val="002E156E"/>
    <w:rsid w:val="002E15B1"/>
    <w:rsid w:val="002E2039"/>
    <w:rsid w:val="002E20F8"/>
    <w:rsid w:val="002E314B"/>
    <w:rsid w:val="002E354F"/>
    <w:rsid w:val="002E36CE"/>
    <w:rsid w:val="002E3C8C"/>
    <w:rsid w:val="002E41B2"/>
    <w:rsid w:val="002E4AF7"/>
    <w:rsid w:val="002E4D32"/>
    <w:rsid w:val="002E4D3E"/>
    <w:rsid w:val="002E576F"/>
    <w:rsid w:val="002E5974"/>
    <w:rsid w:val="002E5D32"/>
    <w:rsid w:val="002E5E24"/>
    <w:rsid w:val="002E714F"/>
    <w:rsid w:val="002E71E4"/>
    <w:rsid w:val="002E728B"/>
    <w:rsid w:val="002E7413"/>
    <w:rsid w:val="002E7642"/>
    <w:rsid w:val="002E787C"/>
    <w:rsid w:val="002E7CEC"/>
    <w:rsid w:val="002F036C"/>
    <w:rsid w:val="002F0375"/>
    <w:rsid w:val="002F0B13"/>
    <w:rsid w:val="002F0D37"/>
    <w:rsid w:val="002F0DAB"/>
    <w:rsid w:val="002F1D27"/>
    <w:rsid w:val="002F1E22"/>
    <w:rsid w:val="002F1F6B"/>
    <w:rsid w:val="002F2027"/>
    <w:rsid w:val="002F29DB"/>
    <w:rsid w:val="002F2DDF"/>
    <w:rsid w:val="002F3030"/>
    <w:rsid w:val="002F3233"/>
    <w:rsid w:val="002F3603"/>
    <w:rsid w:val="002F36DC"/>
    <w:rsid w:val="002F37C1"/>
    <w:rsid w:val="002F3800"/>
    <w:rsid w:val="002F392A"/>
    <w:rsid w:val="002F3AD8"/>
    <w:rsid w:val="002F4764"/>
    <w:rsid w:val="002F4EC8"/>
    <w:rsid w:val="002F518E"/>
    <w:rsid w:val="002F6088"/>
    <w:rsid w:val="002F6BCF"/>
    <w:rsid w:val="002F6C18"/>
    <w:rsid w:val="002F6DCF"/>
    <w:rsid w:val="002F7107"/>
    <w:rsid w:val="002F7483"/>
    <w:rsid w:val="002F7C74"/>
    <w:rsid w:val="00300B5B"/>
    <w:rsid w:val="00300C57"/>
    <w:rsid w:val="00301575"/>
    <w:rsid w:val="003019FD"/>
    <w:rsid w:val="00301A61"/>
    <w:rsid w:val="00302252"/>
    <w:rsid w:val="00303903"/>
    <w:rsid w:val="00303BAB"/>
    <w:rsid w:val="00304185"/>
    <w:rsid w:val="0030438C"/>
    <w:rsid w:val="003046FA"/>
    <w:rsid w:val="0030483A"/>
    <w:rsid w:val="00304B91"/>
    <w:rsid w:val="00304B96"/>
    <w:rsid w:val="00305958"/>
    <w:rsid w:val="00305E0B"/>
    <w:rsid w:val="003065D5"/>
    <w:rsid w:val="00306B2E"/>
    <w:rsid w:val="00306BC7"/>
    <w:rsid w:val="00306BEF"/>
    <w:rsid w:val="00306F22"/>
    <w:rsid w:val="00306F54"/>
    <w:rsid w:val="0030708A"/>
    <w:rsid w:val="0030740C"/>
    <w:rsid w:val="00307BE5"/>
    <w:rsid w:val="00307E7F"/>
    <w:rsid w:val="00310952"/>
    <w:rsid w:val="00311051"/>
    <w:rsid w:val="00311108"/>
    <w:rsid w:val="003116A3"/>
    <w:rsid w:val="00311BEA"/>
    <w:rsid w:val="00311C48"/>
    <w:rsid w:val="00311D45"/>
    <w:rsid w:val="00312146"/>
    <w:rsid w:val="0031228E"/>
    <w:rsid w:val="003123D9"/>
    <w:rsid w:val="00312C1D"/>
    <w:rsid w:val="00312C2C"/>
    <w:rsid w:val="00312D47"/>
    <w:rsid w:val="003133AE"/>
    <w:rsid w:val="00313643"/>
    <w:rsid w:val="0031391B"/>
    <w:rsid w:val="00313B98"/>
    <w:rsid w:val="00313D39"/>
    <w:rsid w:val="00313DAC"/>
    <w:rsid w:val="00313F2C"/>
    <w:rsid w:val="0031403D"/>
    <w:rsid w:val="00314A43"/>
    <w:rsid w:val="00314B27"/>
    <w:rsid w:val="0031509F"/>
    <w:rsid w:val="00315225"/>
    <w:rsid w:val="0031570D"/>
    <w:rsid w:val="00315C2A"/>
    <w:rsid w:val="0031624C"/>
    <w:rsid w:val="0031648D"/>
    <w:rsid w:val="003167EF"/>
    <w:rsid w:val="003169F8"/>
    <w:rsid w:val="00316ED6"/>
    <w:rsid w:val="00316F79"/>
    <w:rsid w:val="00316F82"/>
    <w:rsid w:val="00317646"/>
    <w:rsid w:val="0031788C"/>
    <w:rsid w:val="00317C20"/>
    <w:rsid w:val="00317C6F"/>
    <w:rsid w:val="00320076"/>
    <w:rsid w:val="00320A44"/>
    <w:rsid w:val="00320B91"/>
    <w:rsid w:val="00321049"/>
    <w:rsid w:val="00321763"/>
    <w:rsid w:val="00321898"/>
    <w:rsid w:val="00321E16"/>
    <w:rsid w:val="00322517"/>
    <w:rsid w:val="0032270E"/>
    <w:rsid w:val="00322D43"/>
    <w:rsid w:val="00322E48"/>
    <w:rsid w:val="00322EA9"/>
    <w:rsid w:val="003230B5"/>
    <w:rsid w:val="00323772"/>
    <w:rsid w:val="00323797"/>
    <w:rsid w:val="00323A87"/>
    <w:rsid w:val="00324D7F"/>
    <w:rsid w:val="00324DBA"/>
    <w:rsid w:val="00324ED3"/>
    <w:rsid w:val="0032538A"/>
    <w:rsid w:val="0032575F"/>
    <w:rsid w:val="003259B9"/>
    <w:rsid w:val="00325CAA"/>
    <w:rsid w:val="0032632E"/>
    <w:rsid w:val="0032651D"/>
    <w:rsid w:val="00326A51"/>
    <w:rsid w:val="00326B71"/>
    <w:rsid w:val="00326B99"/>
    <w:rsid w:val="003278D7"/>
    <w:rsid w:val="00330A20"/>
    <w:rsid w:val="00330BAE"/>
    <w:rsid w:val="00330C8A"/>
    <w:rsid w:val="00330DD5"/>
    <w:rsid w:val="00332787"/>
    <w:rsid w:val="0033287B"/>
    <w:rsid w:val="00332C16"/>
    <w:rsid w:val="00333C55"/>
    <w:rsid w:val="00333CAF"/>
    <w:rsid w:val="00333DB5"/>
    <w:rsid w:val="003342BE"/>
    <w:rsid w:val="0033433E"/>
    <w:rsid w:val="00334423"/>
    <w:rsid w:val="00334656"/>
    <w:rsid w:val="00334732"/>
    <w:rsid w:val="00334939"/>
    <w:rsid w:val="00334C15"/>
    <w:rsid w:val="00334DC8"/>
    <w:rsid w:val="00335047"/>
    <w:rsid w:val="0033505A"/>
    <w:rsid w:val="003351F5"/>
    <w:rsid w:val="003352B9"/>
    <w:rsid w:val="00335319"/>
    <w:rsid w:val="0033561C"/>
    <w:rsid w:val="00335FC7"/>
    <w:rsid w:val="00336204"/>
    <w:rsid w:val="003365A9"/>
    <w:rsid w:val="003365B7"/>
    <w:rsid w:val="003372F9"/>
    <w:rsid w:val="003375CC"/>
    <w:rsid w:val="003377B0"/>
    <w:rsid w:val="00337D2E"/>
    <w:rsid w:val="00340425"/>
    <w:rsid w:val="00340638"/>
    <w:rsid w:val="00340C84"/>
    <w:rsid w:val="00341BB6"/>
    <w:rsid w:val="003420A6"/>
    <w:rsid w:val="003424BC"/>
    <w:rsid w:val="003427A0"/>
    <w:rsid w:val="00342BB4"/>
    <w:rsid w:val="00343BB8"/>
    <w:rsid w:val="00343FB8"/>
    <w:rsid w:val="003442C6"/>
    <w:rsid w:val="003442D6"/>
    <w:rsid w:val="00344374"/>
    <w:rsid w:val="0034465C"/>
    <w:rsid w:val="003449E1"/>
    <w:rsid w:val="00344A02"/>
    <w:rsid w:val="00344F08"/>
    <w:rsid w:val="0034514A"/>
    <w:rsid w:val="003459EF"/>
    <w:rsid w:val="00345BB5"/>
    <w:rsid w:val="00346302"/>
    <w:rsid w:val="00347047"/>
    <w:rsid w:val="0034706A"/>
    <w:rsid w:val="0034782E"/>
    <w:rsid w:val="00350231"/>
    <w:rsid w:val="00350427"/>
    <w:rsid w:val="00350612"/>
    <w:rsid w:val="00350FA1"/>
    <w:rsid w:val="0035103B"/>
    <w:rsid w:val="003510D5"/>
    <w:rsid w:val="003517E1"/>
    <w:rsid w:val="0035192E"/>
    <w:rsid w:val="003519C9"/>
    <w:rsid w:val="00352BA4"/>
    <w:rsid w:val="00352F31"/>
    <w:rsid w:val="003540EE"/>
    <w:rsid w:val="003541BA"/>
    <w:rsid w:val="00354D62"/>
    <w:rsid w:val="00354E36"/>
    <w:rsid w:val="00354FE1"/>
    <w:rsid w:val="00355277"/>
    <w:rsid w:val="003555FC"/>
    <w:rsid w:val="00355FD5"/>
    <w:rsid w:val="00356060"/>
    <w:rsid w:val="003566F7"/>
    <w:rsid w:val="00357498"/>
    <w:rsid w:val="003574C6"/>
    <w:rsid w:val="00357587"/>
    <w:rsid w:val="00357AAF"/>
    <w:rsid w:val="00357F4A"/>
    <w:rsid w:val="00360FEE"/>
    <w:rsid w:val="00361214"/>
    <w:rsid w:val="0036138D"/>
    <w:rsid w:val="003619A3"/>
    <w:rsid w:val="00361AB4"/>
    <w:rsid w:val="00361B3B"/>
    <w:rsid w:val="00361C25"/>
    <w:rsid w:val="00361D8B"/>
    <w:rsid w:val="00361E29"/>
    <w:rsid w:val="00362261"/>
    <w:rsid w:val="00363131"/>
    <w:rsid w:val="0036326E"/>
    <w:rsid w:val="0036354B"/>
    <w:rsid w:val="00363C92"/>
    <w:rsid w:val="00363CEE"/>
    <w:rsid w:val="00364729"/>
    <w:rsid w:val="00364DDA"/>
    <w:rsid w:val="00365050"/>
    <w:rsid w:val="00365717"/>
    <w:rsid w:val="00365857"/>
    <w:rsid w:val="00366293"/>
    <w:rsid w:val="0036667D"/>
    <w:rsid w:val="00366731"/>
    <w:rsid w:val="0036735C"/>
    <w:rsid w:val="00367D6D"/>
    <w:rsid w:val="0037029D"/>
    <w:rsid w:val="00370AAF"/>
    <w:rsid w:val="00371B8E"/>
    <w:rsid w:val="00371BAA"/>
    <w:rsid w:val="00372318"/>
    <w:rsid w:val="00372999"/>
    <w:rsid w:val="00372CB8"/>
    <w:rsid w:val="00372EFB"/>
    <w:rsid w:val="00373376"/>
    <w:rsid w:val="003736D4"/>
    <w:rsid w:val="00375501"/>
    <w:rsid w:val="0037566B"/>
    <w:rsid w:val="0037591D"/>
    <w:rsid w:val="003767B5"/>
    <w:rsid w:val="00376B02"/>
    <w:rsid w:val="00376C5C"/>
    <w:rsid w:val="0037762C"/>
    <w:rsid w:val="00377921"/>
    <w:rsid w:val="00377E08"/>
    <w:rsid w:val="00377E87"/>
    <w:rsid w:val="0038018C"/>
    <w:rsid w:val="00380AD4"/>
    <w:rsid w:val="0038137C"/>
    <w:rsid w:val="0038183D"/>
    <w:rsid w:val="00381D59"/>
    <w:rsid w:val="0038240B"/>
    <w:rsid w:val="00382556"/>
    <w:rsid w:val="003826B4"/>
    <w:rsid w:val="003828B9"/>
    <w:rsid w:val="003831F5"/>
    <w:rsid w:val="00383964"/>
    <w:rsid w:val="00383AF4"/>
    <w:rsid w:val="003840C8"/>
    <w:rsid w:val="003842ED"/>
    <w:rsid w:val="00384495"/>
    <w:rsid w:val="0038491C"/>
    <w:rsid w:val="00384931"/>
    <w:rsid w:val="00385A0A"/>
    <w:rsid w:val="003860A7"/>
    <w:rsid w:val="003860F9"/>
    <w:rsid w:val="00386445"/>
    <w:rsid w:val="003865CC"/>
    <w:rsid w:val="00386777"/>
    <w:rsid w:val="00386839"/>
    <w:rsid w:val="0038689D"/>
    <w:rsid w:val="00386BC9"/>
    <w:rsid w:val="00386CD9"/>
    <w:rsid w:val="00386E2B"/>
    <w:rsid w:val="00386EDE"/>
    <w:rsid w:val="003871C4"/>
    <w:rsid w:val="003872CD"/>
    <w:rsid w:val="003877CB"/>
    <w:rsid w:val="00387886"/>
    <w:rsid w:val="0038794E"/>
    <w:rsid w:val="0039044C"/>
    <w:rsid w:val="003904F7"/>
    <w:rsid w:val="0039063B"/>
    <w:rsid w:val="003906CA"/>
    <w:rsid w:val="00390932"/>
    <w:rsid w:val="00390A30"/>
    <w:rsid w:val="00390ABC"/>
    <w:rsid w:val="00390BA5"/>
    <w:rsid w:val="00391011"/>
    <w:rsid w:val="00391264"/>
    <w:rsid w:val="003917D5"/>
    <w:rsid w:val="00391B2B"/>
    <w:rsid w:val="00391EE0"/>
    <w:rsid w:val="00391FB2"/>
    <w:rsid w:val="0039229E"/>
    <w:rsid w:val="00392556"/>
    <w:rsid w:val="003926DA"/>
    <w:rsid w:val="00392BCB"/>
    <w:rsid w:val="00392F69"/>
    <w:rsid w:val="00393CAE"/>
    <w:rsid w:val="00393E0E"/>
    <w:rsid w:val="00393FD9"/>
    <w:rsid w:val="003947C3"/>
    <w:rsid w:val="00394BAD"/>
    <w:rsid w:val="00394D0E"/>
    <w:rsid w:val="003958BE"/>
    <w:rsid w:val="00395C15"/>
    <w:rsid w:val="00396570"/>
    <w:rsid w:val="00396630"/>
    <w:rsid w:val="00396C4E"/>
    <w:rsid w:val="00396CB9"/>
    <w:rsid w:val="00396ED6"/>
    <w:rsid w:val="00396F7E"/>
    <w:rsid w:val="003970A6"/>
    <w:rsid w:val="00397137"/>
    <w:rsid w:val="003971DA"/>
    <w:rsid w:val="0039749D"/>
    <w:rsid w:val="003A0235"/>
    <w:rsid w:val="003A02AE"/>
    <w:rsid w:val="003A033A"/>
    <w:rsid w:val="003A123F"/>
    <w:rsid w:val="003A16A3"/>
    <w:rsid w:val="003A22E1"/>
    <w:rsid w:val="003A25EE"/>
    <w:rsid w:val="003A2706"/>
    <w:rsid w:val="003A2785"/>
    <w:rsid w:val="003A27F5"/>
    <w:rsid w:val="003A2837"/>
    <w:rsid w:val="003A29F0"/>
    <w:rsid w:val="003A2E4A"/>
    <w:rsid w:val="003A315D"/>
    <w:rsid w:val="003A3D27"/>
    <w:rsid w:val="003A3F5B"/>
    <w:rsid w:val="003A4999"/>
    <w:rsid w:val="003A4CA0"/>
    <w:rsid w:val="003A58BB"/>
    <w:rsid w:val="003A5B7C"/>
    <w:rsid w:val="003A5CD4"/>
    <w:rsid w:val="003A5D29"/>
    <w:rsid w:val="003A5E72"/>
    <w:rsid w:val="003A6522"/>
    <w:rsid w:val="003A746F"/>
    <w:rsid w:val="003A7D00"/>
    <w:rsid w:val="003A7E50"/>
    <w:rsid w:val="003A7F1D"/>
    <w:rsid w:val="003B0154"/>
    <w:rsid w:val="003B0780"/>
    <w:rsid w:val="003B0982"/>
    <w:rsid w:val="003B0A60"/>
    <w:rsid w:val="003B0C91"/>
    <w:rsid w:val="003B0F5B"/>
    <w:rsid w:val="003B1541"/>
    <w:rsid w:val="003B1652"/>
    <w:rsid w:val="003B17AB"/>
    <w:rsid w:val="003B200C"/>
    <w:rsid w:val="003B2271"/>
    <w:rsid w:val="003B254E"/>
    <w:rsid w:val="003B26D0"/>
    <w:rsid w:val="003B2EF4"/>
    <w:rsid w:val="003B34D1"/>
    <w:rsid w:val="003B34FA"/>
    <w:rsid w:val="003B3DE7"/>
    <w:rsid w:val="003B45E3"/>
    <w:rsid w:val="003B470C"/>
    <w:rsid w:val="003B49AC"/>
    <w:rsid w:val="003B53E5"/>
    <w:rsid w:val="003B55AF"/>
    <w:rsid w:val="003B55CC"/>
    <w:rsid w:val="003B5723"/>
    <w:rsid w:val="003B5A27"/>
    <w:rsid w:val="003B60BE"/>
    <w:rsid w:val="003B60FA"/>
    <w:rsid w:val="003B6942"/>
    <w:rsid w:val="003B6E59"/>
    <w:rsid w:val="003B71D8"/>
    <w:rsid w:val="003B79F6"/>
    <w:rsid w:val="003B7F4E"/>
    <w:rsid w:val="003B7FEA"/>
    <w:rsid w:val="003C03D1"/>
    <w:rsid w:val="003C03F2"/>
    <w:rsid w:val="003C0583"/>
    <w:rsid w:val="003C10E5"/>
    <w:rsid w:val="003C12A5"/>
    <w:rsid w:val="003C150E"/>
    <w:rsid w:val="003C15A0"/>
    <w:rsid w:val="003C211F"/>
    <w:rsid w:val="003C2917"/>
    <w:rsid w:val="003C2CCE"/>
    <w:rsid w:val="003C3661"/>
    <w:rsid w:val="003C389B"/>
    <w:rsid w:val="003C3FA3"/>
    <w:rsid w:val="003C5EA2"/>
    <w:rsid w:val="003C6253"/>
    <w:rsid w:val="003C64D8"/>
    <w:rsid w:val="003C661A"/>
    <w:rsid w:val="003C6A35"/>
    <w:rsid w:val="003C776C"/>
    <w:rsid w:val="003C7D6C"/>
    <w:rsid w:val="003D0759"/>
    <w:rsid w:val="003D0B30"/>
    <w:rsid w:val="003D1098"/>
    <w:rsid w:val="003D1537"/>
    <w:rsid w:val="003D172A"/>
    <w:rsid w:val="003D1CF0"/>
    <w:rsid w:val="003D2A48"/>
    <w:rsid w:val="003D2BF6"/>
    <w:rsid w:val="003D2F04"/>
    <w:rsid w:val="003D38D3"/>
    <w:rsid w:val="003D3A10"/>
    <w:rsid w:val="003D3AC0"/>
    <w:rsid w:val="003D3B96"/>
    <w:rsid w:val="003D4578"/>
    <w:rsid w:val="003D4D7B"/>
    <w:rsid w:val="003D4E8A"/>
    <w:rsid w:val="003D50E4"/>
    <w:rsid w:val="003D5208"/>
    <w:rsid w:val="003D54F4"/>
    <w:rsid w:val="003D5696"/>
    <w:rsid w:val="003D5759"/>
    <w:rsid w:val="003D595D"/>
    <w:rsid w:val="003D5AE9"/>
    <w:rsid w:val="003D5D45"/>
    <w:rsid w:val="003D6300"/>
    <w:rsid w:val="003D74DE"/>
    <w:rsid w:val="003D76F9"/>
    <w:rsid w:val="003D7705"/>
    <w:rsid w:val="003D770A"/>
    <w:rsid w:val="003D7D45"/>
    <w:rsid w:val="003E0031"/>
    <w:rsid w:val="003E0570"/>
    <w:rsid w:val="003E05D1"/>
    <w:rsid w:val="003E0D7B"/>
    <w:rsid w:val="003E1781"/>
    <w:rsid w:val="003E25DD"/>
    <w:rsid w:val="003E3017"/>
    <w:rsid w:val="003E4208"/>
    <w:rsid w:val="003E426B"/>
    <w:rsid w:val="003E4C4F"/>
    <w:rsid w:val="003E4E72"/>
    <w:rsid w:val="003E563A"/>
    <w:rsid w:val="003E5991"/>
    <w:rsid w:val="003E5A95"/>
    <w:rsid w:val="003E5C6E"/>
    <w:rsid w:val="003E6EB4"/>
    <w:rsid w:val="003E7E2D"/>
    <w:rsid w:val="003F027A"/>
    <w:rsid w:val="003F02EE"/>
    <w:rsid w:val="003F048E"/>
    <w:rsid w:val="003F0748"/>
    <w:rsid w:val="003F08B3"/>
    <w:rsid w:val="003F0C03"/>
    <w:rsid w:val="003F0DC2"/>
    <w:rsid w:val="003F0EA5"/>
    <w:rsid w:val="003F1347"/>
    <w:rsid w:val="003F1D89"/>
    <w:rsid w:val="003F1D8C"/>
    <w:rsid w:val="003F205D"/>
    <w:rsid w:val="003F21C1"/>
    <w:rsid w:val="003F242B"/>
    <w:rsid w:val="003F2A17"/>
    <w:rsid w:val="003F2C39"/>
    <w:rsid w:val="003F2F2E"/>
    <w:rsid w:val="003F361D"/>
    <w:rsid w:val="003F3704"/>
    <w:rsid w:val="003F3D83"/>
    <w:rsid w:val="003F4713"/>
    <w:rsid w:val="003F5152"/>
    <w:rsid w:val="003F5733"/>
    <w:rsid w:val="003F581A"/>
    <w:rsid w:val="003F591C"/>
    <w:rsid w:val="003F60C3"/>
    <w:rsid w:val="003F6383"/>
    <w:rsid w:val="003F6389"/>
    <w:rsid w:val="003F72AB"/>
    <w:rsid w:val="003F7371"/>
    <w:rsid w:val="003F7A78"/>
    <w:rsid w:val="003F7B6A"/>
    <w:rsid w:val="0040025D"/>
    <w:rsid w:val="00400584"/>
    <w:rsid w:val="00400995"/>
    <w:rsid w:val="00400F16"/>
    <w:rsid w:val="00401EE1"/>
    <w:rsid w:val="00401FA6"/>
    <w:rsid w:val="00402F6B"/>
    <w:rsid w:val="004033F5"/>
    <w:rsid w:val="004035DA"/>
    <w:rsid w:val="0040391E"/>
    <w:rsid w:val="00403A7D"/>
    <w:rsid w:val="00404C83"/>
    <w:rsid w:val="004055DA"/>
    <w:rsid w:val="004055E3"/>
    <w:rsid w:val="00405654"/>
    <w:rsid w:val="004059DB"/>
    <w:rsid w:val="00405BD7"/>
    <w:rsid w:val="00405CF1"/>
    <w:rsid w:val="004064E5"/>
    <w:rsid w:val="00406F56"/>
    <w:rsid w:val="004070D3"/>
    <w:rsid w:val="00407347"/>
    <w:rsid w:val="00407854"/>
    <w:rsid w:val="004078FB"/>
    <w:rsid w:val="00407973"/>
    <w:rsid w:val="004100F6"/>
    <w:rsid w:val="00410886"/>
    <w:rsid w:val="00411027"/>
    <w:rsid w:val="00411E11"/>
    <w:rsid w:val="00412099"/>
    <w:rsid w:val="004120C7"/>
    <w:rsid w:val="0041293C"/>
    <w:rsid w:val="0041315E"/>
    <w:rsid w:val="00413456"/>
    <w:rsid w:val="0041415F"/>
    <w:rsid w:val="004141AA"/>
    <w:rsid w:val="0041465B"/>
    <w:rsid w:val="00414733"/>
    <w:rsid w:val="00415409"/>
    <w:rsid w:val="00415426"/>
    <w:rsid w:val="00415570"/>
    <w:rsid w:val="0041561B"/>
    <w:rsid w:val="004162DF"/>
    <w:rsid w:val="00417208"/>
    <w:rsid w:val="004173A4"/>
    <w:rsid w:val="00417433"/>
    <w:rsid w:val="004218C9"/>
    <w:rsid w:val="00421E5F"/>
    <w:rsid w:val="00421FCD"/>
    <w:rsid w:val="00422FA1"/>
    <w:rsid w:val="0042306A"/>
    <w:rsid w:val="0042384B"/>
    <w:rsid w:val="004238DB"/>
    <w:rsid w:val="00423970"/>
    <w:rsid w:val="004241B0"/>
    <w:rsid w:val="00424301"/>
    <w:rsid w:val="00424B42"/>
    <w:rsid w:val="00424C2F"/>
    <w:rsid w:val="00424C68"/>
    <w:rsid w:val="00424E99"/>
    <w:rsid w:val="004252C9"/>
    <w:rsid w:val="004253BD"/>
    <w:rsid w:val="004256DB"/>
    <w:rsid w:val="00425F6A"/>
    <w:rsid w:val="00426A50"/>
    <w:rsid w:val="00426E83"/>
    <w:rsid w:val="00426FA1"/>
    <w:rsid w:val="0042781D"/>
    <w:rsid w:val="004302F7"/>
    <w:rsid w:val="0043041D"/>
    <w:rsid w:val="0043088C"/>
    <w:rsid w:val="00430BB9"/>
    <w:rsid w:val="00430ED0"/>
    <w:rsid w:val="0043129C"/>
    <w:rsid w:val="00431B75"/>
    <w:rsid w:val="004321AA"/>
    <w:rsid w:val="00432FAB"/>
    <w:rsid w:val="00433348"/>
    <w:rsid w:val="00433AD4"/>
    <w:rsid w:val="00434064"/>
    <w:rsid w:val="004356DB"/>
    <w:rsid w:val="00435BEE"/>
    <w:rsid w:val="00435D6E"/>
    <w:rsid w:val="0043690B"/>
    <w:rsid w:val="00436D54"/>
    <w:rsid w:val="00436E95"/>
    <w:rsid w:val="00436F11"/>
    <w:rsid w:val="00436FD7"/>
    <w:rsid w:val="00437CD0"/>
    <w:rsid w:val="00440FCE"/>
    <w:rsid w:val="004410F4"/>
    <w:rsid w:val="0044135C"/>
    <w:rsid w:val="004414B4"/>
    <w:rsid w:val="00442514"/>
    <w:rsid w:val="00442BB8"/>
    <w:rsid w:val="0044337C"/>
    <w:rsid w:val="00443643"/>
    <w:rsid w:val="00443F9F"/>
    <w:rsid w:val="00445013"/>
    <w:rsid w:val="004454A5"/>
    <w:rsid w:val="00445B18"/>
    <w:rsid w:val="00445C34"/>
    <w:rsid w:val="00445EEA"/>
    <w:rsid w:val="00445F20"/>
    <w:rsid w:val="00446044"/>
    <w:rsid w:val="00446049"/>
    <w:rsid w:val="004462CE"/>
    <w:rsid w:val="004468DD"/>
    <w:rsid w:val="00446B74"/>
    <w:rsid w:val="00447077"/>
    <w:rsid w:val="004474B5"/>
    <w:rsid w:val="00447672"/>
    <w:rsid w:val="00447C2D"/>
    <w:rsid w:val="00447FC7"/>
    <w:rsid w:val="00450644"/>
    <w:rsid w:val="00450989"/>
    <w:rsid w:val="00450B57"/>
    <w:rsid w:val="00451059"/>
    <w:rsid w:val="0045141D"/>
    <w:rsid w:val="00451451"/>
    <w:rsid w:val="00451A1F"/>
    <w:rsid w:val="00451B08"/>
    <w:rsid w:val="00451DC5"/>
    <w:rsid w:val="00451FC4"/>
    <w:rsid w:val="00452128"/>
    <w:rsid w:val="00452A35"/>
    <w:rsid w:val="00453019"/>
    <w:rsid w:val="00453227"/>
    <w:rsid w:val="00453944"/>
    <w:rsid w:val="00453D9F"/>
    <w:rsid w:val="00454190"/>
    <w:rsid w:val="00454434"/>
    <w:rsid w:val="00454723"/>
    <w:rsid w:val="004553C8"/>
    <w:rsid w:val="0045576E"/>
    <w:rsid w:val="00455C42"/>
    <w:rsid w:val="00455FAA"/>
    <w:rsid w:val="00456248"/>
    <w:rsid w:val="00456305"/>
    <w:rsid w:val="00456CC5"/>
    <w:rsid w:val="0045755E"/>
    <w:rsid w:val="00457B99"/>
    <w:rsid w:val="00457F5D"/>
    <w:rsid w:val="0046038E"/>
    <w:rsid w:val="0046118C"/>
    <w:rsid w:val="0046122F"/>
    <w:rsid w:val="0046246C"/>
    <w:rsid w:val="00462B00"/>
    <w:rsid w:val="00462B83"/>
    <w:rsid w:val="00463054"/>
    <w:rsid w:val="00463F69"/>
    <w:rsid w:val="004646EE"/>
    <w:rsid w:val="004646F6"/>
    <w:rsid w:val="004647DE"/>
    <w:rsid w:val="004655C9"/>
    <w:rsid w:val="00465D02"/>
    <w:rsid w:val="004670FC"/>
    <w:rsid w:val="00467151"/>
    <w:rsid w:val="004673FD"/>
    <w:rsid w:val="00467CE5"/>
    <w:rsid w:val="004707C5"/>
    <w:rsid w:val="00470A61"/>
    <w:rsid w:val="0047133F"/>
    <w:rsid w:val="00471524"/>
    <w:rsid w:val="00471729"/>
    <w:rsid w:val="00472706"/>
    <w:rsid w:val="0047335D"/>
    <w:rsid w:val="0047355B"/>
    <w:rsid w:val="00473710"/>
    <w:rsid w:val="00475562"/>
    <w:rsid w:val="00475607"/>
    <w:rsid w:val="00475B1D"/>
    <w:rsid w:val="00476089"/>
    <w:rsid w:val="004766C7"/>
    <w:rsid w:val="004766E7"/>
    <w:rsid w:val="0047671B"/>
    <w:rsid w:val="00476734"/>
    <w:rsid w:val="00476921"/>
    <w:rsid w:val="00476DF8"/>
    <w:rsid w:val="00476F74"/>
    <w:rsid w:val="0047704A"/>
    <w:rsid w:val="00477339"/>
    <w:rsid w:val="00477A50"/>
    <w:rsid w:val="00477D43"/>
    <w:rsid w:val="00477D70"/>
    <w:rsid w:val="00477D72"/>
    <w:rsid w:val="004801C8"/>
    <w:rsid w:val="004806C0"/>
    <w:rsid w:val="00480DE8"/>
    <w:rsid w:val="004813DA"/>
    <w:rsid w:val="0048143F"/>
    <w:rsid w:val="00481560"/>
    <w:rsid w:val="00481656"/>
    <w:rsid w:val="004818DC"/>
    <w:rsid w:val="004826C3"/>
    <w:rsid w:val="00482B90"/>
    <w:rsid w:val="00482BB7"/>
    <w:rsid w:val="00482E89"/>
    <w:rsid w:val="00483082"/>
    <w:rsid w:val="004833E1"/>
    <w:rsid w:val="00483A9F"/>
    <w:rsid w:val="00483FBC"/>
    <w:rsid w:val="00484526"/>
    <w:rsid w:val="00484B08"/>
    <w:rsid w:val="00484E6F"/>
    <w:rsid w:val="00485397"/>
    <w:rsid w:val="004857A3"/>
    <w:rsid w:val="00485820"/>
    <w:rsid w:val="004861EE"/>
    <w:rsid w:val="00486246"/>
    <w:rsid w:val="00486327"/>
    <w:rsid w:val="004864E7"/>
    <w:rsid w:val="004864F5"/>
    <w:rsid w:val="00486C76"/>
    <w:rsid w:val="00486CE7"/>
    <w:rsid w:val="004873EB"/>
    <w:rsid w:val="0048783F"/>
    <w:rsid w:val="00487E47"/>
    <w:rsid w:val="00490243"/>
    <w:rsid w:val="004906BE"/>
    <w:rsid w:val="00491351"/>
    <w:rsid w:val="00491365"/>
    <w:rsid w:val="00491630"/>
    <w:rsid w:val="00491710"/>
    <w:rsid w:val="00492383"/>
    <w:rsid w:val="00492B74"/>
    <w:rsid w:val="00493874"/>
    <w:rsid w:val="00494252"/>
    <w:rsid w:val="00494942"/>
    <w:rsid w:val="00494CFF"/>
    <w:rsid w:val="00494D8A"/>
    <w:rsid w:val="0049514D"/>
    <w:rsid w:val="00495178"/>
    <w:rsid w:val="004953ED"/>
    <w:rsid w:val="0049540A"/>
    <w:rsid w:val="004957B2"/>
    <w:rsid w:val="00496DD9"/>
    <w:rsid w:val="0049704B"/>
    <w:rsid w:val="00497076"/>
    <w:rsid w:val="004973F6"/>
    <w:rsid w:val="00497421"/>
    <w:rsid w:val="004974B9"/>
    <w:rsid w:val="00497589"/>
    <w:rsid w:val="004979A0"/>
    <w:rsid w:val="00497B3B"/>
    <w:rsid w:val="00497F20"/>
    <w:rsid w:val="00497FCB"/>
    <w:rsid w:val="004A0064"/>
    <w:rsid w:val="004A04EF"/>
    <w:rsid w:val="004A077E"/>
    <w:rsid w:val="004A1A2A"/>
    <w:rsid w:val="004A1C84"/>
    <w:rsid w:val="004A3D4E"/>
    <w:rsid w:val="004A3F37"/>
    <w:rsid w:val="004A4716"/>
    <w:rsid w:val="004A4C51"/>
    <w:rsid w:val="004A508D"/>
    <w:rsid w:val="004A5268"/>
    <w:rsid w:val="004A5D3F"/>
    <w:rsid w:val="004A6980"/>
    <w:rsid w:val="004A69AC"/>
    <w:rsid w:val="004A6B8B"/>
    <w:rsid w:val="004A6D3B"/>
    <w:rsid w:val="004A6D68"/>
    <w:rsid w:val="004B0849"/>
    <w:rsid w:val="004B09F7"/>
    <w:rsid w:val="004B0AAF"/>
    <w:rsid w:val="004B0E4B"/>
    <w:rsid w:val="004B11A2"/>
    <w:rsid w:val="004B148F"/>
    <w:rsid w:val="004B1703"/>
    <w:rsid w:val="004B1804"/>
    <w:rsid w:val="004B1886"/>
    <w:rsid w:val="004B197A"/>
    <w:rsid w:val="004B280C"/>
    <w:rsid w:val="004B322F"/>
    <w:rsid w:val="004B33B3"/>
    <w:rsid w:val="004B365B"/>
    <w:rsid w:val="004B3797"/>
    <w:rsid w:val="004B3C58"/>
    <w:rsid w:val="004B3C65"/>
    <w:rsid w:val="004B40D0"/>
    <w:rsid w:val="004B419B"/>
    <w:rsid w:val="004B4259"/>
    <w:rsid w:val="004B45DA"/>
    <w:rsid w:val="004B464B"/>
    <w:rsid w:val="004B47AD"/>
    <w:rsid w:val="004B47D0"/>
    <w:rsid w:val="004B4A62"/>
    <w:rsid w:val="004B4ED8"/>
    <w:rsid w:val="004B4FBC"/>
    <w:rsid w:val="004B560C"/>
    <w:rsid w:val="004B596A"/>
    <w:rsid w:val="004B5D7A"/>
    <w:rsid w:val="004B5E15"/>
    <w:rsid w:val="004B61FB"/>
    <w:rsid w:val="004B7052"/>
    <w:rsid w:val="004B7582"/>
    <w:rsid w:val="004C0227"/>
    <w:rsid w:val="004C0322"/>
    <w:rsid w:val="004C0B86"/>
    <w:rsid w:val="004C1100"/>
    <w:rsid w:val="004C14F3"/>
    <w:rsid w:val="004C176B"/>
    <w:rsid w:val="004C1F79"/>
    <w:rsid w:val="004C27FB"/>
    <w:rsid w:val="004C2A73"/>
    <w:rsid w:val="004C31D2"/>
    <w:rsid w:val="004C3866"/>
    <w:rsid w:val="004C39E3"/>
    <w:rsid w:val="004C4285"/>
    <w:rsid w:val="004C5CF2"/>
    <w:rsid w:val="004C63BB"/>
    <w:rsid w:val="004C704F"/>
    <w:rsid w:val="004C72F8"/>
    <w:rsid w:val="004C76E0"/>
    <w:rsid w:val="004C7727"/>
    <w:rsid w:val="004C792C"/>
    <w:rsid w:val="004C7B02"/>
    <w:rsid w:val="004C7E48"/>
    <w:rsid w:val="004D0111"/>
    <w:rsid w:val="004D03F8"/>
    <w:rsid w:val="004D048A"/>
    <w:rsid w:val="004D04D7"/>
    <w:rsid w:val="004D1799"/>
    <w:rsid w:val="004D1A78"/>
    <w:rsid w:val="004D254C"/>
    <w:rsid w:val="004D2777"/>
    <w:rsid w:val="004D28FE"/>
    <w:rsid w:val="004D2C0B"/>
    <w:rsid w:val="004D2C64"/>
    <w:rsid w:val="004D2EEB"/>
    <w:rsid w:val="004D2F39"/>
    <w:rsid w:val="004D3164"/>
    <w:rsid w:val="004D3844"/>
    <w:rsid w:val="004D41E5"/>
    <w:rsid w:val="004D458B"/>
    <w:rsid w:val="004D4943"/>
    <w:rsid w:val="004D4FF4"/>
    <w:rsid w:val="004D5E6B"/>
    <w:rsid w:val="004D5F09"/>
    <w:rsid w:val="004D6FCA"/>
    <w:rsid w:val="004D7072"/>
    <w:rsid w:val="004D765D"/>
    <w:rsid w:val="004D776D"/>
    <w:rsid w:val="004D7B4A"/>
    <w:rsid w:val="004E015F"/>
    <w:rsid w:val="004E0EA6"/>
    <w:rsid w:val="004E0F67"/>
    <w:rsid w:val="004E144B"/>
    <w:rsid w:val="004E2000"/>
    <w:rsid w:val="004E210F"/>
    <w:rsid w:val="004E2144"/>
    <w:rsid w:val="004E241E"/>
    <w:rsid w:val="004E244F"/>
    <w:rsid w:val="004E2815"/>
    <w:rsid w:val="004E28D4"/>
    <w:rsid w:val="004E29C1"/>
    <w:rsid w:val="004E3334"/>
    <w:rsid w:val="004E33EA"/>
    <w:rsid w:val="004E349A"/>
    <w:rsid w:val="004E3897"/>
    <w:rsid w:val="004E3C43"/>
    <w:rsid w:val="004E4160"/>
    <w:rsid w:val="004E422B"/>
    <w:rsid w:val="004E42C7"/>
    <w:rsid w:val="004E4B1D"/>
    <w:rsid w:val="004E4CAF"/>
    <w:rsid w:val="004E4F36"/>
    <w:rsid w:val="004E58C2"/>
    <w:rsid w:val="004E5AD5"/>
    <w:rsid w:val="004E5E2F"/>
    <w:rsid w:val="004E6161"/>
    <w:rsid w:val="004E61D0"/>
    <w:rsid w:val="004E65DE"/>
    <w:rsid w:val="004E6847"/>
    <w:rsid w:val="004E6848"/>
    <w:rsid w:val="004E697F"/>
    <w:rsid w:val="004E777A"/>
    <w:rsid w:val="004E77AB"/>
    <w:rsid w:val="004F0094"/>
    <w:rsid w:val="004F01BB"/>
    <w:rsid w:val="004F01FE"/>
    <w:rsid w:val="004F0300"/>
    <w:rsid w:val="004F071D"/>
    <w:rsid w:val="004F0AB0"/>
    <w:rsid w:val="004F1E2D"/>
    <w:rsid w:val="004F218D"/>
    <w:rsid w:val="004F2D0B"/>
    <w:rsid w:val="004F2FFC"/>
    <w:rsid w:val="004F361F"/>
    <w:rsid w:val="004F3B58"/>
    <w:rsid w:val="004F3C42"/>
    <w:rsid w:val="004F3E39"/>
    <w:rsid w:val="004F4092"/>
    <w:rsid w:val="004F40F0"/>
    <w:rsid w:val="004F4108"/>
    <w:rsid w:val="004F42C1"/>
    <w:rsid w:val="004F4E66"/>
    <w:rsid w:val="004F4FF4"/>
    <w:rsid w:val="004F540D"/>
    <w:rsid w:val="004F596F"/>
    <w:rsid w:val="004F5E66"/>
    <w:rsid w:val="004F60BB"/>
    <w:rsid w:val="004F65D6"/>
    <w:rsid w:val="004F66AD"/>
    <w:rsid w:val="004F6B65"/>
    <w:rsid w:val="004F6D57"/>
    <w:rsid w:val="004F73F1"/>
    <w:rsid w:val="005000B9"/>
    <w:rsid w:val="0050022B"/>
    <w:rsid w:val="00500564"/>
    <w:rsid w:val="0050065B"/>
    <w:rsid w:val="00500C1B"/>
    <w:rsid w:val="0050160C"/>
    <w:rsid w:val="005016F3"/>
    <w:rsid w:val="00501951"/>
    <w:rsid w:val="00502C9F"/>
    <w:rsid w:val="00502F16"/>
    <w:rsid w:val="00502FC8"/>
    <w:rsid w:val="00503141"/>
    <w:rsid w:val="00503D56"/>
    <w:rsid w:val="00504BFD"/>
    <w:rsid w:val="00504EA3"/>
    <w:rsid w:val="0050502E"/>
    <w:rsid w:val="005057EC"/>
    <w:rsid w:val="00505BD7"/>
    <w:rsid w:val="0050622D"/>
    <w:rsid w:val="00506861"/>
    <w:rsid w:val="00506C6B"/>
    <w:rsid w:val="00507E8F"/>
    <w:rsid w:val="0051027C"/>
    <w:rsid w:val="005107AE"/>
    <w:rsid w:val="00510BED"/>
    <w:rsid w:val="00510C60"/>
    <w:rsid w:val="0051102B"/>
    <w:rsid w:val="005110DF"/>
    <w:rsid w:val="005111FC"/>
    <w:rsid w:val="00511724"/>
    <w:rsid w:val="005118A0"/>
    <w:rsid w:val="00511AAF"/>
    <w:rsid w:val="00512223"/>
    <w:rsid w:val="00512914"/>
    <w:rsid w:val="00512B9E"/>
    <w:rsid w:val="00512C6E"/>
    <w:rsid w:val="005138D6"/>
    <w:rsid w:val="0051393B"/>
    <w:rsid w:val="00513CE7"/>
    <w:rsid w:val="00513E1B"/>
    <w:rsid w:val="00513F7F"/>
    <w:rsid w:val="00515091"/>
    <w:rsid w:val="00515145"/>
    <w:rsid w:val="0051524A"/>
    <w:rsid w:val="00516367"/>
    <w:rsid w:val="0051638B"/>
    <w:rsid w:val="0051699F"/>
    <w:rsid w:val="005170A0"/>
    <w:rsid w:val="005172CA"/>
    <w:rsid w:val="00517C62"/>
    <w:rsid w:val="00517C6A"/>
    <w:rsid w:val="00517DD9"/>
    <w:rsid w:val="00520551"/>
    <w:rsid w:val="005208E6"/>
    <w:rsid w:val="00520BE2"/>
    <w:rsid w:val="00520C7F"/>
    <w:rsid w:val="00521058"/>
    <w:rsid w:val="00521C7D"/>
    <w:rsid w:val="00521E67"/>
    <w:rsid w:val="00522009"/>
    <w:rsid w:val="0052220F"/>
    <w:rsid w:val="00522DC5"/>
    <w:rsid w:val="00523BDF"/>
    <w:rsid w:val="00523C60"/>
    <w:rsid w:val="005240CE"/>
    <w:rsid w:val="00524165"/>
    <w:rsid w:val="005242DE"/>
    <w:rsid w:val="0052445C"/>
    <w:rsid w:val="0052463B"/>
    <w:rsid w:val="00524878"/>
    <w:rsid w:val="005248E2"/>
    <w:rsid w:val="0052490B"/>
    <w:rsid w:val="00524E24"/>
    <w:rsid w:val="00524E5F"/>
    <w:rsid w:val="00525063"/>
    <w:rsid w:val="00525A59"/>
    <w:rsid w:val="005270BC"/>
    <w:rsid w:val="00527361"/>
    <w:rsid w:val="005275FF"/>
    <w:rsid w:val="005277AC"/>
    <w:rsid w:val="00527C8C"/>
    <w:rsid w:val="0053120F"/>
    <w:rsid w:val="005318DA"/>
    <w:rsid w:val="00531E5D"/>
    <w:rsid w:val="00532067"/>
    <w:rsid w:val="00532536"/>
    <w:rsid w:val="00532948"/>
    <w:rsid w:val="00532B23"/>
    <w:rsid w:val="00533D02"/>
    <w:rsid w:val="00535219"/>
    <w:rsid w:val="00535273"/>
    <w:rsid w:val="005356A9"/>
    <w:rsid w:val="005356D0"/>
    <w:rsid w:val="005358AC"/>
    <w:rsid w:val="00535E23"/>
    <w:rsid w:val="005367BD"/>
    <w:rsid w:val="005371C1"/>
    <w:rsid w:val="005373DB"/>
    <w:rsid w:val="00537657"/>
    <w:rsid w:val="0053796E"/>
    <w:rsid w:val="00537E36"/>
    <w:rsid w:val="00540529"/>
    <w:rsid w:val="005408DC"/>
    <w:rsid w:val="00540D9C"/>
    <w:rsid w:val="0054133B"/>
    <w:rsid w:val="00541A88"/>
    <w:rsid w:val="0054269A"/>
    <w:rsid w:val="00542978"/>
    <w:rsid w:val="005436B5"/>
    <w:rsid w:val="00544278"/>
    <w:rsid w:val="00544A9C"/>
    <w:rsid w:val="00544AA5"/>
    <w:rsid w:val="00544AB7"/>
    <w:rsid w:val="00544D57"/>
    <w:rsid w:val="00544EEC"/>
    <w:rsid w:val="005455E6"/>
    <w:rsid w:val="00545870"/>
    <w:rsid w:val="0054600B"/>
    <w:rsid w:val="00546161"/>
    <w:rsid w:val="00546515"/>
    <w:rsid w:val="00547378"/>
    <w:rsid w:val="005474B4"/>
    <w:rsid w:val="0054794F"/>
    <w:rsid w:val="00547A6F"/>
    <w:rsid w:val="005503FD"/>
    <w:rsid w:val="005505E6"/>
    <w:rsid w:val="00550838"/>
    <w:rsid w:val="0055158C"/>
    <w:rsid w:val="00551BCA"/>
    <w:rsid w:val="00551C79"/>
    <w:rsid w:val="00551F4B"/>
    <w:rsid w:val="00552244"/>
    <w:rsid w:val="00552335"/>
    <w:rsid w:val="00552468"/>
    <w:rsid w:val="0055299F"/>
    <w:rsid w:val="00552A93"/>
    <w:rsid w:val="00553784"/>
    <w:rsid w:val="00553AEC"/>
    <w:rsid w:val="00553DCC"/>
    <w:rsid w:val="005540EA"/>
    <w:rsid w:val="005541EC"/>
    <w:rsid w:val="00554C16"/>
    <w:rsid w:val="00555080"/>
    <w:rsid w:val="005555FD"/>
    <w:rsid w:val="00555784"/>
    <w:rsid w:val="00555CDC"/>
    <w:rsid w:val="00555E07"/>
    <w:rsid w:val="005560B8"/>
    <w:rsid w:val="00556193"/>
    <w:rsid w:val="00556CEE"/>
    <w:rsid w:val="00556FBE"/>
    <w:rsid w:val="0055764F"/>
    <w:rsid w:val="00557BF3"/>
    <w:rsid w:val="00557C0F"/>
    <w:rsid w:val="0056030F"/>
    <w:rsid w:val="00560787"/>
    <w:rsid w:val="00560E1B"/>
    <w:rsid w:val="00560FAE"/>
    <w:rsid w:val="005610EA"/>
    <w:rsid w:val="00561AAA"/>
    <w:rsid w:val="00561CA8"/>
    <w:rsid w:val="00561D3D"/>
    <w:rsid w:val="0056269B"/>
    <w:rsid w:val="005629C3"/>
    <w:rsid w:val="00562B8C"/>
    <w:rsid w:val="005632E5"/>
    <w:rsid w:val="00563751"/>
    <w:rsid w:val="00564289"/>
    <w:rsid w:val="005642DC"/>
    <w:rsid w:val="005646BC"/>
    <w:rsid w:val="00564BBC"/>
    <w:rsid w:val="00565F1F"/>
    <w:rsid w:val="0056612A"/>
    <w:rsid w:val="00566E45"/>
    <w:rsid w:val="00566E8E"/>
    <w:rsid w:val="005670FD"/>
    <w:rsid w:val="00567475"/>
    <w:rsid w:val="00567929"/>
    <w:rsid w:val="00567CD4"/>
    <w:rsid w:val="00567DE3"/>
    <w:rsid w:val="0057061F"/>
    <w:rsid w:val="005709D7"/>
    <w:rsid w:val="00570E7C"/>
    <w:rsid w:val="00571866"/>
    <w:rsid w:val="0057206C"/>
    <w:rsid w:val="0057244A"/>
    <w:rsid w:val="005724D0"/>
    <w:rsid w:val="005726B9"/>
    <w:rsid w:val="00572A08"/>
    <w:rsid w:val="00572EB2"/>
    <w:rsid w:val="00572FD7"/>
    <w:rsid w:val="00573D67"/>
    <w:rsid w:val="00573EDC"/>
    <w:rsid w:val="005744AF"/>
    <w:rsid w:val="0057503E"/>
    <w:rsid w:val="00575304"/>
    <w:rsid w:val="00576A25"/>
    <w:rsid w:val="00576EA3"/>
    <w:rsid w:val="005771BD"/>
    <w:rsid w:val="00577518"/>
    <w:rsid w:val="005777ED"/>
    <w:rsid w:val="005802CA"/>
    <w:rsid w:val="005806B8"/>
    <w:rsid w:val="00580DE5"/>
    <w:rsid w:val="005812CE"/>
    <w:rsid w:val="0058253D"/>
    <w:rsid w:val="00582B04"/>
    <w:rsid w:val="00583350"/>
    <w:rsid w:val="00583BAB"/>
    <w:rsid w:val="005847B7"/>
    <w:rsid w:val="00584ACD"/>
    <w:rsid w:val="00584AD9"/>
    <w:rsid w:val="00584BEA"/>
    <w:rsid w:val="00584DC6"/>
    <w:rsid w:val="0058533B"/>
    <w:rsid w:val="00585C0B"/>
    <w:rsid w:val="00585DA2"/>
    <w:rsid w:val="00585E97"/>
    <w:rsid w:val="00585EAD"/>
    <w:rsid w:val="00586B1F"/>
    <w:rsid w:val="00586C83"/>
    <w:rsid w:val="00587DB0"/>
    <w:rsid w:val="00587F7C"/>
    <w:rsid w:val="005901A8"/>
    <w:rsid w:val="00590497"/>
    <w:rsid w:val="005905F2"/>
    <w:rsid w:val="0059108A"/>
    <w:rsid w:val="00591495"/>
    <w:rsid w:val="00591C06"/>
    <w:rsid w:val="005927D7"/>
    <w:rsid w:val="005927FF"/>
    <w:rsid w:val="0059292A"/>
    <w:rsid w:val="00592CFB"/>
    <w:rsid w:val="00592F3B"/>
    <w:rsid w:val="0059316D"/>
    <w:rsid w:val="0059353B"/>
    <w:rsid w:val="005937E0"/>
    <w:rsid w:val="00593A61"/>
    <w:rsid w:val="00593E4C"/>
    <w:rsid w:val="00594892"/>
    <w:rsid w:val="00594C9F"/>
    <w:rsid w:val="005959AA"/>
    <w:rsid w:val="00595DC6"/>
    <w:rsid w:val="00595F13"/>
    <w:rsid w:val="0059608A"/>
    <w:rsid w:val="00596CDF"/>
    <w:rsid w:val="00597F48"/>
    <w:rsid w:val="005A0789"/>
    <w:rsid w:val="005A07CD"/>
    <w:rsid w:val="005A085C"/>
    <w:rsid w:val="005A1721"/>
    <w:rsid w:val="005A1D05"/>
    <w:rsid w:val="005A1DDB"/>
    <w:rsid w:val="005A1FF8"/>
    <w:rsid w:val="005A2CBF"/>
    <w:rsid w:val="005A3246"/>
    <w:rsid w:val="005A33CA"/>
    <w:rsid w:val="005A368F"/>
    <w:rsid w:val="005A3DF5"/>
    <w:rsid w:val="005A3F6C"/>
    <w:rsid w:val="005A4261"/>
    <w:rsid w:val="005A4560"/>
    <w:rsid w:val="005A4734"/>
    <w:rsid w:val="005A4AB9"/>
    <w:rsid w:val="005A504B"/>
    <w:rsid w:val="005A5393"/>
    <w:rsid w:val="005A5EAB"/>
    <w:rsid w:val="005A5EBC"/>
    <w:rsid w:val="005A6157"/>
    <w:rsid w:val="005A6940"/>
    <w:rsid w:val="005A6A43"/>
    <w:rsid w:val="005A6DA9"/>
    <w:rsid w:val="005A6E05"/>
    <w:rsid w:val="005A6E49"/>
    <w:rsid w:val="005A7333"/>
    <w:rsid w:val="005A7BAD"/>
    <w:rsid w:val="005B007B"/>
    <w:rsid w:val="005B0876"/>
    <w:rsid w:val="005B16C6"/>
    <w:rsid w:val="005B1CC5"/>
    <w:rsid w:val="005B1F2F"/>
    <w:rsid w:val="005B2211"/>
    <w:rsid w:val="005B370D"/>
    <w:rsid w:val="005B3AA6"/>
    <w:rsid w:val="005B4280"/>
    <w:rsid w:val="005B4DDC"/>
    <w:rsid w:val="005B4E87"/>
    <w:rsid w:val="005B4FE8"/>
    <w:rsid w:val="005B4FEC"/>
    <w:rsid w:val="005B5380"/>
    <w:rsid w:val="005B54AD"/>
    <w:rsid w:val="005B55D6"/>
    <w:rsid w:val="005B580E"/>
    <w:rsid w:val="005B592B"/>
    <w:rsid w:val="005B5A74"/>
    <w:rsid w:val="005B5C92"/>
    <w:rsid w:val="005B5F1A"/>
    <w:rsid w:val="005B6791"/>
    <w:rsid w:val="005B69C7"/>
    <w:rsid w:val="005B7835"/>
    <w:rsid w:val="005B7BB8"/>
    <w:rsid w:val="005B7FB7"/>
    <w:rsid w:val="005C0537"/>
    <w:rsid w:val="005C0894"/>
    <w:rsid w:val="005C0B72"/>
    <w:rsid w:val="005C0D08"/>
    <w:rsid w:val="005C0D61"/>
    <w:rsid w:val="005C0F20"/>
    <w:rsid w:val="005C12DA"/>
    <w:rsid w:val="005C1950"/>
    <w:rsid w:val="005C1B8E"/>
    <w:rsid w:val="005C1E70"/>
    <w:rsid w:val="005C3380"/>
    <w:rsid w:val="005C3A50"/>
    <w:rsid w:val="005C40A7"/>
    <w:rsid w:val="005C45BD"/>
    <w:rsid w:val="005C571D"/>
    <w:rsid w:val="005C57C4"/>
    <w:rsid w:val="005C5A12"/>
    <w:rsid w:val="005C5D00"/>
    <w:rsid w:val="005C61B0"/>
    <w:rsid w:val="005C6A17"/>
    <w:rsid w:val="005C6D6D"/>
    <w:rsid w:val="005C75F1"/>
    <w:rsid w:val="005C7F12"/>
    <w:rsid w:val="005C7F3B"/>
    <w:rsid w:val="005D0352"/>
    <w:rsid w:val="005D04D9"/>
    <w:rsid w:val="005D0550"/>
    <w:rsid w:val="005D058D"/>
    <w:rsid w:val="005D0F52"/>
    <w:rsid w:val="005D152C"/>
    <w:rsid w:val="005D188D"/>
    <w:rsid w:val="005D1C42"/>
    <w:rsid w:val="005D1CB2"/>
    <w:rsid w:val="005D22D2"/>
    <w:rsid w:val="005D28A4"/>
    <w:rsid w:val="005D2A00"/>
    <w:rsid w:val="005D35A5"/>
    <w:rsid w:val="005D3DE8"/>
    <w:rsid w:val="005D406E"/>
    <w:rsid w:val="005D42E9"/>
    <w:rsid w:val="005D489C"/>
    <w:rsid w:val="005D4F0D"/>
    <w:rsid w:val="005D629A"/>
    <w:rsid w:val="005D6716"/>
    <w:rsid w:val="005D68ED"/>
    <w:rsid w:val="005D69B1"/>
    <w:rsid w:val="005D6DC5"/>
    <w:rsid w:val="005D6DE7"/>
    <w:rsid w:val="005D6E23"/>
    <w:rsid w:val="005D747B"/>
    <w:rsid w:val="005D79FD"/>
    <w:rsid w:val="005D7E11"/>
    <w:rsid w:val="005E06CF"/>
    <w:rsid w:val="005E0E19"/>
    <w:rsid w:val="005E103D"/>
    <w:rsid w:val="005E10A8"/>
    <w:rsid w:val="005E1AE8"/>
    <w:rsid w:val="005E1C1A"/>
    <w:rsid w:val="005E1DCA"/>
    <w:rsid w:val="005E1E56"/>
    <w:rsid w:val="005E25AB"/>
    <w:rsid w:val="005E270D"/>
    <w:rsid w:val="005E27EE"/>
    <w:rsid w:val="005E2BBB"/>
    <w:rsid w:val="005E3BFC"/>
    <w:rsid w:val="005E3CFC"/>
    <w:rsid w:val="005E49FF"/>
    <w:rsid w:val="005E50F6"/>
    <w:rsid w:val="005E52EC"/>
    <w:rsid w:val="005E55BF"/>
    <w:rsid w:val="005E5719"/>
    <w:rsid w:val="005E5CBF"/>
    <w:rsid w:val="005E66DA"/>
    <w:rsid w:val="005E6C9E"/>
    <w:rsid w:val="005E6DBE"/>
    <w:rsid w:val="005E6E85"/>
    <w:rsid w:val="005E7011"/>
    <w:rsid w:val="005E7045"/>
    <w:rsid w:val="005E715D"/>
    <w:rsid w:val="005E74E7"/>
    <w:rsid w:val="005E7C83"/>
    <w:rsid w:val="005F1BC0"/>
    <w:rsid w:val="005F1C47"/>
    <w:rsid w:val="005F1CCE"/>
    <w:rsid w:val="005F1DBA"/>
    <w:rsid w:val="005F200F"/>
    <w:rsid w:val="005F2027"/>
    <w:rsid w:val="005F2DD6"/>
    <w:rsid w:val="005F2E2D"/>
    <w:rsid w:val="005F2E52"/>
    <w:rsid w:val="005F3760"/>
    <w:rsid w:val="005F3A56"/>
    <w:rsid w:val="005F3CCB"/>
    <w:rsid w:val="005F3D9B"/>
    <w:rsid w:val="005F3E15"/>
    <w:rsid w:val="005F4E4F"/>
    <w:rsid w:val="005F5058"/>
    <w:rsid w:val="005F51A7"/>
    <w:rsid w:val="005F51F3"/>
    <w:rsid w:val="005F5374"/>
    <w:rsid w:val="005F69E5"/>
    <w:rsid w:val="005F6D36"/>
    <w:rsid w:val="005F706E"/>
    <w:rsid w:val="005F7437"/>
    <w:rsid w:val="005F784F"/>
    <w:rsid w:val="0060104D"/>
    <w:rsid w:val="00601B56"/>
    <w:rsid w:val="00601D74"/>
    <w:rsid w:val="00601E39"/>
    <w:rsid w:val="006022F4"/>
    <w:rsid w:val="00602928"/>
    <w:rsid w:val="00603004"/>
    <w:rsid w:val="0060312C"/>
    <w:rsid w:val="006031C9"/>
    <w:rsid w:val="006039DF"/>
    <w:rsid w:val="00603E33"/>
    <w:rsid w:val="00604084"/>
    <w:rsid w:val="00604583"/>
    <w:rsid w:val="00604FEF"/>
    <w:rsid w:val="00605090"/>
    <w:rsid w:val="0060529D"/>
    <w:rsid w:val="006060E4"/>
    <w:rsid w:val="00606179"/>
    <w:rsid w:val="00606220"/>
    <w:rsid w:val="00606228"/>
    <w:rsid w:val="00606297"/>
    <w:rsid w:val="006066E1"/>
    <w:rsid w:val="006068C3"/>
    <w:rsid w:val="00607539"/>
    <w:rsid w:val="00607577"/>
    <w:rsid w:val="006075CF"/>
    <w:rsid w:val="006076B6"/>
    <w:rsid w:val="006077FA"/>
    <w:rsid w:val="006078CC"/>
    <w:rsid w:val="006100BE"/>
    <w:rsid w:val="006104C1"/>
    <w:rsid w:val="00610677"/>
    <w:rsid w:val="00610699"/>
    <w:rsid w:val="00610EE3"/>
    <w:rsid w:val="006110C9"/>
    <w:rsid w:val="00611426"/>
    <w:rsid w:val="006114D4"/>
    <w:rsid w:val="00611B13"/>
    <w:rsid w:val="00612095"/>
    <w:rsid w:val="00612841"/>
    <w:rsid w:val="00612CFE"/>
    <w:rsid w:val="0061313C"/>
    <w:rsid w:val="0061390C"/>
    <w:rsid w:val="006139A6"/>
    <w:rsid w:val="00613C08"/>
    <w:rsid w:val="00614F9E"/>
    <w:rsid w:val="00615260"/>
    <w:rsid w:val="00616133"/>
    <w:rsid w:val="00616ABB"/>
    <w:rsid w:val="00616E24"/>
    <w:rsid w:val="0061783E"/>
    <w:rsid w:val="00617967"/>
    <w:rsid w:val="00617C50"/>
    <w:rsid w:val="00617C60"/>
    <w:rsid w:val="0062011A"/>
    <w:rsid w:val="006201C8"/>
    <w:rsid w:val="0062046D"/>
    <w:rsid w:val="00620C8D"/>
    <w:rsid w:val="00620DCF"/>
    <w:rsid w:val="0062100B"/>
    <w:rsid w:val="00621118"/>
    <w:rsid w:val="006212B5"/>
    <w:rsid w:val="00621746"/>
    <w:rsid w:val="00621759"/>
    <w:rsid w:val="00621876"/>
    <w:rsid w:val="006226DE"/>
    <w:rsid w:val="00623762"/>
    <w:rsid w:val="00623A46"/>
    <w:rsid w:val="00623A8F"/>
    <w:rsid w:val="00624014"/>
    <w:rsid w:val="00624694"/>
    <w:rsid w:val="00624852"/>
    <w:rsid w:val="00624C68"/>
    <w:rsid w:val="00625207"/>
    <w:rsid w:val="006259DB"/>
    <w:rsid w:val="00625D9F"/>
    <w:rsid w:val="00626185"/>
    <w:rsid w:val="0062793B"/>
    <w:rsid w:val="00630568"/>
    <w:rsid w:val="00630FAC"/>
    <w:rsid w:val="006313CD"/>
    <w:rsid w:val="00631471"/>
    <w:rsid w:val="006316D1"/>
    <w:rsid w:val="0063194D"/>
    <w:rsid w:val="00631AEF"/>
    <w:rsid w:val="0063210A"/>
    <w:rsid w:val="00632128"/>
    <w:rsid w:val="0063251B"/>
    <w:rsid w:val="00632D30"/>
    <w:rsid w:val="006333DB"/>
    <w:rsid w:val="006337E9"/>
    <w:rsid w:val="00633C64"/>
    <w:rsid w:val="00633E0D"/>
    <w:rsid w:val="00633E94"/>
    <w:rsid w:val="00634031"/>
    <w:rsid w:val="00634114"/>
    <w:rsid w:val="00634250"/>
    <w:rsid w:val="00634289"/>
    <w:rsid w:val="006344F3"/>
    <w:rsid w:val="00634570"/>
    <w:rsid w:val="00634A86"/>
    <w:rsid w:val="00635112"/>
    <w:rsid w:val="00635143"/>
    <w:rsid w:val="00635EF3"/>
    <w:rsid w:val="006364F1"/>
    <w:rsid w:val="00636774"/>
    <w:rsid w:val="00637297"/>
    <w:rsid w:val="00637A0B"/>
    <w:rsid w:val="00637C69"/>
    <w:rsid w:val="0064011C"/>
    <w:rsid w:val="006404E7"/>
    <w:rsid w:val="00640A1B"/>
    <w:rsid w:val="00640C40"/>
    <w:rsid w:val="006410E3"/>
    <w:rsid w:val="006410EE"/>
    <w:rsid w:val="006412EB"/>
    <w:rsid w:val="006417A6"/>
    <w:rsid w:val="00641947"/>
    <w:rsid w:val="00641D16"/>
    <w:rsid w:val="006424FD"/>
    <w:rsid w:val="0064282C"/>
    <w:rsid w:val="00642E67"/>
    <w:rsid w:val="00643025"/>
    <w:rsid w:val="00643070"/>
    <w:rsid w:val="00643383"/>
    <w:rsid w:val="0064340C"/>
    <w:rsid w:val="006435E7"/>
    <w:rsid w:val="006436B3"/>
    <w:rsid w:val="00643A2F"/>
    <w:rsid w:val="00643F91"/>
    <w:rsid w:val="00644B98"/>
    <w:rsid w:val="00646002"/>
    <w:rsid w:val="00646950"/>
    <w:rsid w:val="00646A67"/>
    <w:rsid w:val="006471BC"/>
    <w:rsid w:val="006471FF"/>
    <w:rsid w:val="00647CEA"/>
    <w:rsid w:val="00647D7E"/>
    <w:rsid w:val="00650DD2"/>
    <w:rsid w:val="006510CC"/>
    <w:rsid w:val="006518C4"/>
    <w:rsid w:val="00652389"/>
    <w:rsid w:val="0065260A"/>
    <w:rsid w:val="006530DB"/>
    <w:rsid w:val="00653AD6"/>
    <w:rsid w:val="00653D5D"/>
    <w:rsid w:val="0065408A"/>
    <w:rsid w:val="0065450A"/>
    <w:rsid w:val="006549EC"/>
    <w:rsid w:val="00654A81"/>
    <w:rsid w:val="00654CBF"/>
    <w:rsid w:val="00654D11"/>
    <w:rsid w:val="006551FC"/>
    <w:rsid w:val="00655285"/>
    <w:rsid w:val="006552EA"/>
    <w:rsid w:val="00655515"/>
    <w:rsid w:val="00655531"/>
    <w:rsid w:val="00655EE4"/>
    <w:rsid w:val="00655F6A"/>
    <w:rsid w:val="006561C5"/>
    <w:rsid w:val="006564CE"/>
    <w:rsid w:val="00657241"/>
    <w:rsid w:val="00657C16"/>
    <w:rsid w:val="0066016C"/>
    <w:rsid w:val="00660617"/>
    <w:rsid w:val="006607F0"/>
    <w:rsid w:val="00660AB0"/>
    <w:rsid w:val="00660B11"/>
    <w:rsid w:val="00660E83"/>
    <w:rsid w:val="00661031"/>
    <w:rsid w:val="006617E8"/>
    <w:rsid w:val="00661FF1"/>
    <w:rsid w:val="00662F09"/>
    <w:rsid w:val="00663129"/>
    <w:rsid w:val="00663372"/>
    <w:rsid w:val="00663413"/>
    <w:rsid w:val="0066404E"/>
    <w:rsid w:val="0066416F"/>
    <w:rsid w:val="006642C6"/>
    <w:rsid w:val="0066437F"/>
    <w:rsid w:val="0066457A"/>
    <w:rsid w:val="00664819"/>
    <w:rsid w:val="00665294"/>
    <w:rsid w:val="006654A0"/>
    <w:rsid w:val="0066559A"/>
    <w:rsid w:val="00665FA2"/>
    <w:rsid w:val="00666E44"/>
    <w:rsid w:val="00667537"/>
    <w:rsid w:val="006675A8"/>
    <w:rsid w:val="006675DF"/>
    <w:rsid w:val="00667D68"/>
    <w:rsid w:val="006703E3"/>
    <w:rsid w:val="00670905"/>
    <w:rsid w:val="00670A11"/>
    <w:rsid w:val="00670AAE"/>
    <w:rsid w:val="00670EAE"/>
    <w:rsid w:val="00670F5F"/>
    <w:rsid w:val="00671002"/>
    <w:rsid w:val="006713D6"/>
    <w:rsid w:val="00671722"/>
    <w:rsid w:val="006721E2"/>
    <w:rsid w:val="006729DF"/>
    <w:rsid w:val="00672B2D"/>
    <w:rsid w:val="00673193"/>
    <w:rsid w:val="00673A7A"/>
    <w:rsid w:val="00673C3A"/>
    <w:rsid w:val="00673F8E"/>
    <w:rsid w:val="00674216"/>
    <w:rsid w:val="0067437E"/>
    <w:rsid w:val="00674CB9"/>
    <w:rsid w:val="00675266"/>
    <w:rsid w:val="006753D5"/>
    <w:rsid w:val="0067573C"/>
    <w:rsid w:val="00675A71"/>
    <w:rsid w:val="00675BEE"/>
    <w:rsid w:val="00675D38"/>
    <w:rsid w:val="00675D5A"/>
    <w:rsid w:val="00676174"/>
    <w:rsid w:val="00676357"/>
    <w:rsid w:val="0067670C"/>
    <w:rsid w:val="00676987"/>
    <w:rsid w:val="00676A06"/>
    <w:rsid w:val="00676D9F"/>
    <w:rsid w:val="00677540"/>
    <w:rsid w:val="00677575"/>
    <w:rsid w:val="00677F26"/>
    <w:rsid w:val="0068008B"/>
    <w:rsid w:val="0068042A"/>
    <w:rsid w:val="006813D0"/>
    <w:rsid w:val="006820CA"/>
    <w:rsid w:val="006828C8"/>
    <w:rsid w:val="00682A8B"/>
    <w:rsid w:val="00682C6A"/>
    <w:rsid w:val="0068340C"/>
    <w:rsid w:val="00684186"/>
    <w:rsid w:val="006841F8"/>
    <w:rsid w:val="006853D1"/>
    <w:rsid w:val="00685677"/>
    <w:rsid w:val="00685D32"/>
    <w:rsid w:val="00685DBE"/>
    <w:rsid w:val="00685FCA"/>
    <w:rsid w:val="006860E1"/>
    <w:rsid w:val="006864E1"/>
    <w:rsid w:val="00686840"/>
    <w:rsid w:val="00687023"/>
    <w:rsid w:val="00687CCB"/>
    <w:rsid w:val="00687F74"/>
    <w:rsid w:val="00690780"/>
    <w:rsid w:val="00690913"/>
    <w:rsid w:val="00690BF2"/>
    <w:rsid w:val="00690E54"/>
    <w:rsid w:val="006911A2"/>
    <w:rsid w:val="0069137F"/>
    <w:rsid w:val="00691563"/>
    <w:rsid w:val="00691754"/>
    <w:rsid w:val="00691E01"/>
    <w:rsid w:val="00691EBE"/>
    <w:rsid w:val="00692798"/>
    <w:rsid w:val="006929E0"/>
    <w:rsid w:val="00692DCA"/>
    <w:rsid w:val="0069314D"/>
    <w:rsid w:val="006932B0"/>
    <w:rsid w:val="006932D7"/>
    <w:rsid w:val="00693A94"/>
    <w:rsid w:val="00693C53"/>
    <w:rsid w:val="006943A7"/>
    <w:rsid w:val="00694575"/>
    <w:rsid w:val="006947D3"/>
    <w:rsid w:val="00694A76"/>
    <w:rsid w:val="006960B6"/>
    <w:rsid w:val="00696526"/>
    <w:rsid w:val="006966B8"/>
    <w:rsid w:val="00696CE1"/>
    <w:rsid w:val="00696F4B"/>
    <w:rsid w:val="006A0EC4"/>
    <w:rsid w:val="006A13C0"/>
    <w:rsid w:val="006A1873"/>
    <w:rsid w:val="006A1F25"/>
    <w:rsid w:val="006A2B2D"/>
    <w:rsid w:val="006A2D16"/>
    <w:rsid w:val="006A34C0"/>
    <w:rsid w:val="006A360E"/>
    <w:rsid w:val="006A3901"/>
    <w:rsid w:val="006A3A25"/>
    <w:rsid w:val="006A3C14"/>
    <w:rsid w:val="006A3CD1"/>
    <w:rsid w:val="006A4925"/>
    <w:rsid w:val="006A4ECC"/>
    <w:rsid w:val="006A52F8"/>
    <w:rsid w:val="006A53C3"/>
    <w:rsid w:val="006A599D"/>
    <w:rsid w:val="006A5AED"/>
    <w:rsid w:val="006A6244"/>
    <w:rsid w:val="006A7913"/>
    <w:rsid w:val="006B0008"/>
    <w:rsid w:val="006B0183"/>
    <w:rsid w:val="006B13F7"/>
    <w:rsid w:val="006B1487"/>
    <w:rsid w:val="006B149D"/>
    <w:rsid w:val="006B1BD7"/>
    <w:rsid w:val="006B219B"/>
    <w:rsid w:val="006B2481"/>
    <w:rsid w:val="006B27CB"/>
    <w:rsid w:val="006B2978"/>
    <w:rsid w:val="006B2FB9"/>
    <w:rsid w:val="006B35DF"/>
    <w:rsid w:val="006B36DB"/>
    <w:rsid w:val="006B4401"/>
    <w:rsid w:val="006B45B8"/>
    <w:rsid w:val="006B4CE8"/>
    <w:rsid w:val="006B5201"/>
    <w:rsid w:val="006B52B2"/>
    <w:rsid w:val="006B535F"/>
    <w:rsid w:val="006B593A"/>
    <w:rsid w:val="006B5BAF"/>
    <w:rsid w:val="006B5D64"/>
    <w:rsid w:val="006B5FF3"/>
    <w:rsid w:val="006B654C"/>
    <w:rsid w:val="006B67A6"/>
    <w:rsid w:val="006B6883"/>
    <w:rsid w:val="006B6BC1"/>
    <w:rsid w:val="006B6F79"/>
    <w:rsid w:val="006B7047"/>
    <w:rsid w:val="006B74B3"/>
    <w:rsid w:val="006B7C9A"/>
    <w:rsid w:val="006C03A9"/>
    <w:rsid w:val="006C0732"/>
    <w:rsid w:val="006C09B4"/>
    <w:rsid w:val="006C0C02"/>
    <w:rsid w:val="006C1017"/>
    <w:rsid w:val="006C1A54"/>
    <w:rsid w:val="006C1A57"/>
    <w:rsid w:val="006C1B85"/>
    <w:rsid w:val="006C1B92"/>
    <w:rsid w:val="006C1C44"/>
    <w:rsid w:val="006C1FBE"/>
    <w:rsid w:val="006C21C5"/>
    <w:rsid w:val="006C27B8"/>
    <w:rsid w:val="006C2A2B"/>
    <w:rsid w:val="006C3013"/>
    <w:rsid w:val="006C3221"/>
    <w:rsid w:val="006C3727"/>
    <w:rsid w:val="006C3A43"/>
    <w:rsid w:val="006C3BF7"/>
    <w:rsid w:val="006C3F0F"/>
    <w:rsid w:val="006C3F7A"/>
    <w:rsid w:val="006C4A4A"/>
    <w:rsid w:val="006C4E65"/>
    <w:rsid w:val="006C5831"/>
    <w:rsid w:val="006C588A"/>
    <w:rsid w:val="006C5B8C"/>
    <w:rsid w:val="006C71EE"/>
    <w:rsid w:val="006C7E7D"/>
    <w:rsid w:val="006C7F1F"/>
    <w:rsid w:val="006D0213"/>
    <w:rsid w:val="006D1032"/>
    <w:rsid w:val="006D1525"/>
    <w:rsid w:val="006D1786"/>
    <w:rsid w:val="006D1885"/>
    <w:rsid w:val="006D1A59"/>
    <w:rsid w:val="006D1C16"/>
    <w:rsid w:val="006D21EC"/>
    <w:rsid w:val="006D2756"/>
    <w:rsid w:val="006D2AB4"/>
    <w:rsid w:val="006D2ADD"/>
    <w:rsid w:val="006D2F1F"/>
    <w:rsid w:val="006D2FE7"/>
    <w:rsid w:val="006D33CF"/>
    <w:rsid w:val="006D33E0"/>
    <w:rsid w:val="006D349A"/>
    <w:rsid w:val="006D3642"/>
    <w:rsid w:val="006D3681"/>
    <w:rsid w:val="006D38D3"/>
    <w:rsid w:val="006D3D21"/>
    <w:rsid w:val="006D3D6A"/>
    <w:rsid w:val="006D430D"/>
    <w:rsid w:val="006D451C"/>
    <w:rsid w:val="006D45FA"/>
    <w:rsid w:val="006D4696"/>
    <w:rsid w:val="006D4DA1"/>
    <w:rsid w:val="006D520F"/>
    <w:rsid w:val="006D5457"/>
    <w:rsid w:val="006D545C"/>
    <w:rsid w:val="006D58E5"/>
    <w:rsid w:val="006D5F92"/>
    <w:rsid w:val="006D6337"/>
    <w:rsid w:val="006D6972"/>
    <w:rsid w:val="006D6ACE"/>
    <w:rsid w:val="006D6C4A"/>
    <w:rsid w:val="006D6C8E"/>
    <w:rsid w:val="006D6FDD"/>
    <w:rsid w:val="006D7007"/>
    <w:rsid w:val="006D72A6"/>
    <w:rsid w:val="006D78D2"/>
    <w:rsid w:val="006D7A40"/>
    <w:rsid w:val="006D7B8E"/>
    <w:rsid w:val="006D7DEA"/>
    <w:rsid w:val="006E00B6"/>
    <w:rsid w:val="006E0347"/>
    <w:rsid w:val="006E08C9"/>
    <w:rsid w:val="006E12E7"/>
    <w:rsid w:val="006E1676"/>
    <w:rsid w:val="006E199B"/>
    <w:rsid w:val="006E19CF"/>
    <w:rsid w:val="006E1F16"/>
    <w:rsid w:val="006E20A8"/>
    <w:rsid w:val="006E2275"/>
    <w:rsid w:val="006E27D6"/>
    <w:rsid w:val="006E2B64"/>
    <w:rsid w:val="006E2C45"/>
    <w:rsid w:val="006E2FB0"/>
    <w:rsid w:val="006E3089"/>
    <w:rsid w:val="006E3B6F"/>
    <w:rsid w:val="006E3E7F"/>
    <w:rsid w:val="006E4396"/>
    <w:rsid w:val="006E4EF7"/>
    <w:rsid w:val="006E5530"/>
    <w:rsid w:val="006E5B13"/>
    <w:rsid w:val="006E630C"/>
    <w:rsid w:val="006E6337"/>
    <w:rsid w:val="006E66D3"/>
    <w:rsid w:val="006E6B8E"/>
    <w:rsid w:val="006E799C"/>
    <w:rsid w:val="006F016F"/>
    <w:rsid w:val="006F02F9"/>
    <w:rsid w:val="006F067F"/>
    <w:rsid w:val="006F08A6"/>
    <w:rsid w:val="006F0E4B"/>
    <w:rsid w:val="006F109D"/>
    <w:rsid w:val="006F1FC3"/>
    <w:rsid w:val="006F2101"/>
    <w:rsid w:val="006F249C"/>
    <w:rsid w:val="006F25DD"/>
    <w:rsid w:val="006F2694"/>
    <w:rsid w:val="006F283D"/>
    <w:rsid w:val="006F2855"/>
    <w:rsid w:val="006F33B5"/>
    <w:rsid w:val="006F347D"/>
    <w:rsid w:val="006F34DC"/>
    <w:rsid w:val="006F350F"/>
    <w:rsid w:val="006F36B3"/>
    <w:rsid w:val="006F37BB"/>
    <w:rsid w:val="006F38ED"/>
    <w:rsid w:val="006F3916"/>
    <w:rsid w:val="006F3F69"/>
    <w:rsid w:val="006F42DC"/>
    <w:rsid w:val="006F48E3"/>
    <w:rsid w:val="006F5161"/>
    <w:rsid w:val="006F580C"/>
    <w:rsid w:val="006F5B61"/>
    <w:rsid w:val="006F60ED"/>
    <w:rsid w:val="006F6103"/>
    <w:rsid w:val="006F6461"/>
    <w:rsid w:val="006F64CA"/>
    <w:rsid w:val="006F668D"/>
    <w:rsid w:val="006F67AA"/>
    <w:rsid w:val="006F67C0"/>
    <w:rsid w:val="006F6957"/>
    <w:rsid w:val="006F6C56"/>
    <w:rsid w:val="006F6E2C"/>
    <w:rsid w:val="006F7709"/>
    <w:rsid w:val="00700099"/>
    <w:rsid w:val="007006D7"/>
    <w:rsid w:val="00700DAE"/>
    <w:rsid w:val="0070156F"/>
    <w:rsid w:val="007018AC"/>
    <w:rsid w:val="00701BF9"/>
    <w:rsid w:val="00701E90"/>
    <w:rsid w:val="0070212A"/>
    <w:rsid w:val="00702315"/>
    <w:rsid w:val="0070270F"/>
    <w:rsid w:val="00702DB6"/>
    <w:rsid w:val="00702E54"/>
    <w:rsid w:val="00702E60"/>
    <w:rsid w:val="007031F6"/>
    <w:rsid w:val="0070323F"/>
    <w:rsid w:val="007034D2"/>
    <w:rsid w:val="00703608"/>
    <w:rsid w:val="007038EF"/>
    <w:rsid w:val="00703D9A"/>
    <w:rsid w:val="00704560"/>
    <w:rsid w:val="00704698"/>
    <w:rsid w:val="00705188"/>
    <w:rsid w:val="00705B75"/>
    <w:rsid w:val="00705D9E"/>
    <w:rsid w:val="00706154"/>
    <w:rsid w:val="00706321"/>
    <w:rsid w:val="0070636A"/>
    <w:rsid w:val="00706534"/>
    <w:rsid w:val="00706595"/>
    <w:rsid w:val="007073E7"/>
    <w:rsid w:val="0070747E"/>
    <w:rsid w:val="007077BC"/>
    <w:rsid w:val="00707866"/>
    <w:rsid w:val="00707EF9"/>
    <w:rsid w:val="00710411"/>
    <w:rsid w:val="0071044A"/>
    <w:rsid w:val="0071078D"/>
    <w:rsid w:val="00710ADF"/>
    <w:rsid w:val="00710B03"/>
    <w:rsid w:val="00710E65"/>
    <w:rsid w:val="00711346"/>
    <w:rsid w:val="00711F17"/>
    <w:rsid w:val="00711F6C"/>
    <w:rsid w:val="00711FCF"/>
    <w:rsid w:val="00712014"/>
    <w:rsid w:val="00712647"/>
    <w:rsid w:val="00712915"/>
    <w:rsid w:val="00712B2A"/>
    <w:rsid w:val="007133D0"/>
    <w:rsid w:val="007134C0"/>
    <w:rsid w:val="007135CF"/>
    <w:rsid w:val="00713706"/>
    <w:rsid w:val="007138D7"/>
    <w:rsid w:val="00713BC9"/>
    <w:rsid w:val="00714108"/>
    <w:rsid w:val="0071418D"/>
    <w:rsid w:val="0071419C"/>
    <w:rsid w:val="00714BA9"/>
    <w:rsid w:val="00714EC6"/>
    <w:rsid w:val="00714F4C"/>
    <w:rsid w:val="00714F62"/>
    <w:rsid w:val="0071512C"/>
    <w:rsid w:val="0071529A"/>
    <w:rsid w:val="007152B9"/>
    <w:rsid w:val="00715309"/>
    <w:rsid w:val="007158F6"/>
    <w:rsid w:val="00715C37"/>
    <w:rsid w:val="00715F78"/>
    <w:rsid w:val="00715FF4"/>
    <w:rsid w:val="00716AC7"/>
    <w:rsid w:val="00716DB0"/>
    <w:rsid w:val="007176BB"/>
    <w:rsid w:val="00717F80"/>
    <w:rsid w:val="00720081"/>
    <w:rsid w:val="007200B3"/>
    <w:rsid w:val="0072062D"/>
    <w:rsid w:val="007208D4"/>
    <w:rsid w:val="00720909"/>
    <w:rsid w:val="00720D2A"/>
    <w:rsid w:val="007218D1"/>
    <w:rsid w:val="00722035"/>
    <w:rsid w:val="007229FF"/>
    <w:rsid w:val="00722DE4"/>
    <w:rsid w:val="00723149"/>
    <w:rsid w:val="007233C7"/>
    <w:rsid w:val="007239A8"/>
    <w:rsid w:val="00723A9C"/>
    <w:rsid w:val="00724155"/>
    <w:rsid w:val="00724171"/>
    <w:rsid w:val="007254A9"/>
    <w:rsid w:val="007258F3"/>
    <w:rsid w:val="00725C7D"/>
    <w:rsid w:val="00725E58"/>
    <w:rsid w:val="00726169"/>
    <w:rsid w:val="0072623D"/>
    <w:rsid w:val="007267A4"/>
    <w:rsid w:val="007267CB"/>
    <w:rsid w:val="00726D69"/>
    <w:rsid w:val="00727757"/>
    <w:rsid w:val="007278B8"/>
    <w:rsid w:val="00730D9B"/>
    <w:rsid w:val="00731264"/>
    <w:rsid w:val="007312A2"/>
    <w:rsid w:val="007312C9"/>
    <w:rsid w:val="0073134B"/>
    <w:rsid w:val="00731C49"/>
    <w:rsid w:val="0073248E"/>
    <w:rsid w:val="007326AD"/>
    <w:rsid w:val="0073314B"/>
    <w:rsid w:val="007332F7"/>
    <w:rsid w:val="0073333A"/>
    <w:rsid w:val="00733929"/>
    <w:rsid w:val="00733FAB"/>
    <w:rsid w:val="00734226"/>
    <w:rsid w:val="00734403"/>
    <w:rsid w:val="00734652"/>
    <w:rsid w:val="00734706"/>
    <w:rsid w:val="007347CD"/>
    <w:rsid w:val="00734B82"/>
    <w:rsid w:val="00734DDF"/>
    <w:rsid w:val="00734EA0"/>
    <w:rsid w:val="00734EC2"/>
    <w:rsid w:val="00735056"/>
    <w:rsid w:val="007355B0"/>
    <w:rsid w:val="00735931"/>
    <w:rsid w:val="00735958"/>
    <w:rsid w:val="00735ADB"/>
    <w:rsid w:val="00735B33"/>
    <w:rsid w:val="00736F39"/>
    <w:rsid w:val="007400B8"/>
    <w:rsid w:val="007404D2"/>
    <w:rsid w:val="007404FB"/>
    <w:rsid w:val="007405E4"/>
    <w:rsid w:val="00740BA0"/>
    <w:rsid w:val="007414A1"/>
    <w:rsid w:val="00741CF1"/>
    <w:rsid w:val="00741F11"/>
    <w:rsid w:val="0074224C"/>
    <w:rsid w:val="00742595"/>
    <w:rsid w:val="00742614"/>
    <w:rsid w:val="00742D17"/>
    <w:rsid w:val="00743578"/>
    <w:rsid w:val="007435C4"/>
    <w:rsid w:val="00744438"/>
    <w:rsid w:val="0074479D"/>
    <w:rsid w:val="00744BD4"/>
    <w:rsid w:val="007451CF"/>
    <w:rsid w:val="00745335"/>
    <w:rsid w:val="00745C57"/>
    <w:rsid w:val="0074628C"/>
    <w:rsid w:val="007463B6"/>
    <w:rsid w:val="00746F89"/>
    <w:rsid w:val="007478AA"/>
    <w:rsid w:val="00747CFE"/>
    <w:rsid w:val="0075083F"/>
    <w:rsid w:val="007509EC"/>
    <w:rsid w:val="00750A97"/>
    <w:rsid w:val="00750B84"/>
    <w:rsid w:val="007510C2"/>
    <w:rsid w:val="0075181E"/>
    <w:rsid w:val="00752FEB"/>
    <w:rsid w:val="00753233"/>
    <w:rsid w:val="007532CF"/>
    <w:rsid w:val="007539D5"/>
    <w:rsid w:val="00753C12"/>
    <w:rsid w:val="00753E4F"/>
    <w:rsid w:val="0075441C"/>
    <w:rsid w:val="00754BB5"/>
    <w:rsid w:val="00754F88"/>
    <w:rsid w:val="00754FAA"/>
    <w:rsid w:val="007551F4"/>
    <w:rsid w:val="007554A9"/>
    <w:rsid w:val="0075552E"/>
    <w:rsid w:val="00755CE1"/>
    <w:rsid w:val="00755F9C"/>
    <w:rsid w:val="00756289"/>
    <w:rsid w:val="00756440"/>
    <w:rsid w:val="00756665"/>
    <w:rsid w:val="00756978"/>
    <w:rsid w:val="007569B0"/>
    <w:rsid w:val="00756EC4"/>
    <w:rsid w:val="00756FAC"/>
    <w:rsid w:val="00757387"/>
    <w:rsid w:val="007574C2"/>
    <w:rsid w:val="0076057F"/>
    <w:rsid w:val="007606AB"/>
    <w:rsid w:val="00760778"/>
    <w:rsid w:val="00760B39"/>
    <w:rsid w:val="00761005"/>
    <w:rsid w:val="00761330"/>
    <w:rsid w:val="007619CE"/>
    <w:rsid w:val="007628FD"/>
    <w:rsid w:val="00762BD9"/>
    <w:rsid w:val="00763695"/>
    <w:rsid w:val="00763728"/>
    <w:rsid w:val="00763A02"/>
    <w:rsid w:val="00763BA8"/>
    <w:rsid w:val="00763D7C"/>
    <w:rsid w:val="00763DB0"/>
    <w:rsid w:val="00763DCD"/>
    <w:rsid w:val="00763F99"/>
    <w:rsid w:val="00764148"/>
    <w:rsid w:val="00764306"/>
    <w:rsid w:val="0076433D"/>
    <w:rsid w:val="00765900"/>
    <w:rsid w:val="0076619D"/>
    <w:rsid w:val="0076621F"/>
    <w:rsid w:val="007664F7"/>
    <w:rsid w:val="007665D7"/>
    <w:rsid w:val="007669CE"/>
    <w:rsid w:val="00766A59"/>
    <w:rsid w:val="007676F8"/>
    <w:rsid w:val="00767726"/>
    <w:rsid w:val="00767CB3"/>
    <w:rsid w:val="0077059B"/>
    <w:rsid w:val="00770B19"/>
    <w:rsid w:val="007711E0"/>
    <w:rsid w:val="0077120E"/>
    <w:rsid w:val="00771331"/>
    <w:rsid w:val="00771C9C"/>
    <w:rsid w:val="00771D54"/>
    <w:rsid w:val="0077217F"/>
    <w:rsid w:val="00772269"/>
    <w:rsid w:val="0077253A"/>
    <w:rsid w:val="007726D3"/>
    <w:rsid w:val="00773025"/>
    <w:rsid w:val="0077305F"/>
    <w:rsid w:val="0077308D"/>
    <w:rsid w:val="007731F4"/>
    <w:rsid w:val="0077357F"/>
    <w:rsid w:val="00773672"/>
    <w:rsid w:val="00773883"/>
    <w:rsid w:val="00773DB2"/>
    <w:rsid w:val="00774906"/>
    <w:rsid w:val="00774A28"/>
    <w:rsid w:val="00774B57"/>
    <w:rsid w:val="00774C79"/>
    <w:rsid w:val="00775038"/>
    <w:rsid w:val="00775366"/>
    <w:rsid w:val="007754C0"/>
    <w:rsid w:val="007761EE"/>
    <w:rsid w:val="007765CF"/>
    <w:rsid w:val="00776756"/>
    <w:rsid w:val="0077677A"/>
    <w:rsid w:val="00776ACD"/>
    <w:rsid w:val="00776E48"/>
    <w:rsid w:val="007772C1"/>
    <w:rsid w:val="00777D36"/>
    <w:rsid w:val="00780AB1"/>
    <w:rsid w:val="00780E84"/>
    <w:rsid w:val="0078126F"/>
    <w:rsid w:val="00781493"/>
    <w:rsid w:val="007814E8"/>
    <w:rsid w:val="00781624"/>
    <w:rsid w:val="00781AC2"/>
    <w:rsid w:val="00781C17"/>
    <w:rsid w:val="00781E44"/>
    <w:rsid w:val="00781F19"/>
    <w:rsid w:val="00781F30"/>
    <w:rsid w:val="0078211F"/>
    <w:rsid w:val="0078253A"/>
    <w:rsid w:val="00782785"/>
    <w:rsid w:val="00783105"/>
    <w:rsid w:val="00783A9E"/>
    <w:rsid w:val="00783E9A"/>
    <w:rsid w:val="007842D9"/>
    <w:rsid w:val="00784CE3"/>
    <w:rsid w:val="0078514C"/>
    <w:rsid w:val="00785A10"/>
    <w:rsid w:val="00785C92"/>
    <w:rsid w:val="00786B51"/>
    <w:rsid w:val="00787BBB"/>
    <w:rsid w:val="00787CB5"/>
    <w:rsid w:val="00787D45"/>
    <w:rsid w:val="00790302"/>
    <w:rsid w:val="007906E2"/>
    <w:rsid w:val="00790945"/>
    <w:rsid w:val="00790F73"/>
    <w:rsid w:val="0079150F"/>
    <w:rsid w:val="0079163A"/>
    <w:rsid w:val="0079196C"/>
    <w:rsid w:val="007919D5"/>
    <w:rsid w:val="00791A80"/>
    <w:rsid w:val="00791BA6"/>
    <w:rsid w:val="00792027"/>
    <w:rsid w:val="0079278D"/>
    <w:rsid w:val="0079288C"/>
    <w:rsid w:val="007929E9"/>
    <w:rsid w:val="007932BA"/>
    <w:rsid w:val="00793812"/>
    <w:rsid w:val="00793BF0"/>
    <w:rsid w:val="007946D1"/>
    <w:rsid w:val="007952F4"/>
    <w:rsid w:val="00795300"/>
    <w:rsid w:val="00795713"/>
    <w:rsid w:val="00795EAD"/>
    <w:rsid w:val="00795F37"/>
    <w:rsid w:val="00796097"/>
    <w:rsid w:val="00796476"/>
    <w:rsid w:val="00797B80"/>
    <w:rsid w:val="007A0533"/>
    <w:rsid w:val="007A0B74"/>
    <w:rsid w:val="007A0E23"/>
    <w:rsid w:val="007A142B"/>
    <w:rsid w:val="007A168A"/>
    <w:rsid w:val="007A17D8"/>
    <w:rsid w:val="007A19C7"/>
    <w:rsid w:val="007A19D1"/>
    <w:rsid w:val="007A1AAD"/>
    <w:rsid w:val="007A1B05"/>
    <w:rsid w:val="007A1CD0"/>
    <w:rsid w:val="007A265C"/>
    <w:rsid w:val="007A2690"/>
    <w:rsid w:val="007A2D36"/>
    <w:rsid w:val="007A2F1C"/>
    <w:rsid w:val="007A3205"/>
    <w:rsid w:val="007A3698"/>
    <w:rsid w:val="007A3936"/>
    <w:rsid w:val="007A3A0F"/>
    <w:rsid w:val="007A3D9F"/>
    <w:rsid w:val="007A3DA6"/>
    <w:rsid w:val="007A4083"/>
    <w:rsid w:val="007A4222"/>
    <w:rsid w:val="007A4234"/>
    <w:rsid w:val="007A447A"/>
    <w:rsid w:val="007A48F3"/>
    <w:rsid w:val="007A4A32"/>
    <w:rsid w:val="007A5046"/>
    <w:rsid w:val="007A506E"/>
    <w:rsid w:val="007A522F"/>
    <w:rsid w:val="007A5BC4"/>
    <w:rsid w:val="007A5BED"/>
    <w:rsid w:val="007A5D28"/>
    <w:rsid w:val="007A6024"/>
    <w:rsid w:val="007A6D39"/>
    <w:rsid w:val="007A6EB9"/>
    <w:rsid w:val="007A6F8C"/>
    <w:rsid w:val="007A7255"/>
    <w:rsid w:val="007A7525"/>
    <w:rsid w:val="007A7853"/>
    <w:rsid w:val="007A7B13"/>
    <w:rsid w:val="007A7C82"/>
    <w:rsid w:val="007B030A"/>
    <w:rsid w:val="007B05C4"/>
    <w:rsid w:val="007B085D"/>
    <w:rsid w:val="007B0C8C"/>
    <w:rsid w:val="007B0FC7"/>
    <w:rsid w:val="007B132F"/>
    <w:rsid w:val="007B140B"/>
    <w:rsid w:val="007B150F"/>
    <w:rsid w:val="007B170C"/>
    <w:rsid w:val="007B1B92"/>
    <w:rsid w:val="007B20D7"/>
    <w:rsid w:val="007B2D33"/>
    <w:rsid w:val="007B3012"/>
    <w:rsid w:val="007B3190"/>
    <w:rsid w:val="007B3254"/>
    <w:rsid w:val="007B36FF"/>
    <w:rsid w:val="007B3AC5"/>
    <w:rsid w:val="007B411B"/>
    <w:rsid w:val="007B48ED"/>
    <w:rsid w:val="007B49F5"/>
    <w:rsid w:val="007B4DD0"/>
    <w:rsid w:val="007B4E3B"/>
    <w:rsid w:val="007B5029"/>
    <w:rsid w:val="007B5287"/>
    <w:rsid w:val="007B5653"/>
    <w:rsid w:val="007B59AA"/>
    <w:rsid w:val="007B5E3C"/>
    <w:rsid w:val="007B63F8"/>
    <w:rsid w:val="007B6AA6"/>
    <w:rsid w:val="007B6EDF"/>
    <w:rsid w:val="007B7214"/>
    <w:rsid w:val="007B73F8"/>
    <w:rsid w:val="007B7748"/>
    <w:rsid w:val="007B7B62"/>
    <w:rsid w:val="007C0019"/>
    <w:rsid w:val="007C009B"/>
    <w:rsid w:val="007C054E"/>
    <w:rsid w:val="007C1114"/>
    <w:rsid w:val="007C14B5"/>
    <w:rsid w:val="007C205C"/>
    <w:rsid w:val="007C2603"/>
    <w:rsid w:val="007C267D"/>
    <w:rsid w:val="007C2A4A"/>
    <w:rsid w:val="007C2D12"/>
    <w:rsid w:val="007C2D9F"/>
    <w:rsid w:val="007C340D"/>
    <w:rsid w:val="007C365D"/>
    <w:rsid w:val="007C37C4"/>
    <w:rsid w:val="007C38B2"/>
    <w:rsid w:val="007C39C7"/>
    <w:rsid w:val="007C4193"/>
    <w:rsid w:val="007C42FE"/>
    <w:rsid w:val="007C4305"/>
    <w:rsid w:val="007C496B"/>
    <w:rsid w:val="007C4F59"/>
    <w:rsid w:val="007C531E"/>
    <w:rsid w:val="007C59D2"/>
    <w:rsid w:val="007C607C"/>
    <w:rsid w:val="007C636A"/>
    <w:rsid w:val="007C641D"/>
    <w:rsid w:val="007C6EDE"/>
    <w:rsid w:val="007C7163"/>
    <w:rsid w:val="007C7971"/>
    <w:rsid w:val="007D07E6"/>
    <w:rsid w:val="007D0B93"/>
    <w:rsid w:val="007D1758"/>
    <w:rsid w:val="007D1EF8"/>
    <w:rsid w:val="007D1F61"/>
    <w:rsid w:val="007D2541"/>
    <w:rsid w:val="007D27A1"/>
    <w:rsid w:val="007D2AA9"/>
    <w:rsid w:val="007D2F21"/>
    <w:rsid w:val="007D3A7A"/>
    <w:rsid w:val="007D3F05"/>
    <w:rsid w:val="007D421A"/>
    <w:rsid w:val="007D428F"/>
    <w:rsid w:val="007D4478"/>
    <w:rsid w:val="007D450F"/>
    <w:rsid w:val="007D45AE"/>
    <w:rsid w:val="007D4717"/>
    <w:rsid w:val="007D4C70"/>
    <w:rsid w:val="007D50ED"/>
    <w:rsid w:val="007D564D"/>
    <w:rsid w:val="007D5BF6"/>
    <w:rsid w:val="007D6096"/>
    <w:rsid w:val="007D633A"/>
    <w:rsid w:val="007D673C"/>
    <w:rsid w:val="007D6C89"/>
    <w:rsid w:val="007D6D64"/>
    <w:rsid w:val="007D7683"/>
    <w:rsid w:val="007D76BA"/>
    <w:rsid w:val="007D77FA"/>
    <w:rsid w:val="007D7DA7"/>
    <w:rsid w:val="007E0CC6"/>
    <w:rsid w:val="007E13AF"/>
    <w:rsid w:val="007E162A"/>
    <w:rsid w:val="007E176D"/>
    <w:rsid w:val="007E1830"/>
    <w:rsid w:val="007E1D04"/>
    <w:rsid w:val="007E21C9"/>
    <w:rsid w:val="007E224C"/>
    <w:rsid w:val="007E2527"/>
    <w:rsid w:val="007E26AE"/>
    <w:rsid w:val="007E2AFD"/>
    <w:rsid w:val="007E2F9F"/>
    <w:rsid w:val="007E2FB6"/>
    <w:rsid w:val="007E3B45"/>
    <w:rsid w:val="007E3E53"/>
    <w:rsid w:val="007E3E8E"/>
    <w:rsid w:val="007E42AD"/>
    <w:rsid w:val="007E42CB"/>
    <w:rsid w:val="007E4719"/>
    <w:rsid w:val="007E47D9"/>
    <w:rsid w:val="007E488F"/>
    <w:rsid w:val="007E4BD7"/>
    <w:rsid w:val="007E4F92"/>
    <w:rsid w:val="007E5092"/>
    <w:rsid w:val="007E5343"/>
    <w:rsid w:val="007E53F6"/>
    <w:rsid w:val="007E5412"/>
    <w:rsid w:val="007E548E"/>
    <w:rsid w:val="007E609C"/>
    <w:rsid w:val="007E66E4"/>
    <w:rsid w:val="007E67EC"/>
    <w:rsid w:val="007E6AFA"/>
    <w:rsid w:val="007E7482"/>
    <w:rsid w:val="007F045B"/>
    <w:rsid w:val="007F04BE"/>
    <w:rsid w:val="007F0531"/>
    <w:rsid w:val="007F0908"/>
    <w:rsid w:val="007F0B0C"/>
    <w:rsid w:val="007F0BF7"/>
    <w:rsid w:val="007F1353"/>
    <w:rsid w:val="007F178C"/>
    <w:rsid w:val="007F17C0"/>
    <w:rsid w:val="007F17DD"/>
    <w:rsid w:val="007F1858"/>
    <w:rsid w:val="007F1E00"/>
    <w:rsid w:val="007F227D"/>
    <w:rsid w:val="007F22C8"/>
    <w:rsid w:val="007F2937"/>
    <w:rsid w:val="007F2DB7"/>
    <w:rsid w:val="007F31CE"/>
    <w:rsid w:val="007F3C66"/>
    <w:rsid w:val="007F3E95"/>
    <w:rsid w:val="007F4019"/>
    <w:rsid w:val="007F40CE"/>
    <w:rsid w:val="007F41E7"/>
    <w:rsid w:val="007F4324"/>
    <w:rsid w:val="007F48F7"/>
    <w:rsid w:val="007F5059"/>
    <w:rsid w:val="007F505D"/>
    <w:rsid w:val="007F525F"/>
    <w:rsid w:val="007F526B"/>
    <w:rsid w:val="007F57F5"/>
    <w:rsid w:val="007F58F2"/>
    <w:rsid w:val="007F5D94"/>
    <w:rsid w:val="007F64B5"/>
    <w:rsid w:val="007F69CE"/>
    <w:rsid w:val="008000A7"/>
    <w:rsid w:val="00800489"/>
    <w:rsid w:val="00801108"/>
    <w:rsid w:val="0080151D"/>
    <w:rsid w:val="0080206B"/>
    <w:rsid w:val="00802953"/>
    <w:rsid w:val="00802A49"/>
    <w:rsid w:val="00802B8B"/>
    <w:rsid w:val="00803677"/>
    <w:rsid w:val="008039A8"/>
    <w:rsid w:val="00804736"/>
    <w:rsid w:val="00804815"/>
    <w:rsid w:val="00804CD5"/>
    <w:rsid w:val="0080555C"/>
    <w:rsid w:val="00805ED6"/>
    <w:rsid w:val="00806078"/>
    <w:rsid w:val="008064F8"/>
    <w:rsid w:val="00806602"/>
    <w:rsid w:val="0080668A"/>
    <w:rsid w:val="00806B93"/>
    <w:rsid w:val="0080751B"/>
    <w:rsid w:val="00810027"/>
    <w:rsid w:val="0081018E"/>
    <w:rsid w:val="008102A5"/>
    <w:rsid w:val="00810E89"/>
    <w:rsid w:val="0081117E"/>
    <w:rsid w:val="0081127D"/>
    <w:rsid w:val="00811B4C"/>
    <w:rsid w:val="00811BB9"/>
    <w:rsid w:val="00811D0F"/>
    <w:rsid w:val="008126D8"/>
    <w:rsid w:val="00813557"/>
    <w:rsid w:val="008135DB"/>
    <w:rsid w:val="00813B16"/>
    <w:rsid w:val="00813F1D"/>
    <w:rsid w:val="008147AC"/>
    <w:rsid w:val="00815378"/>
    <w:rsid w:val="008159E5"/>
    <w:rsid w:val="00815C84"/>
    <w:rsid w:val="00815D1A"/>
    <w:rsid w:val="00815D57"/>
    <w:rsid w:val="0081670D"/>
    <w:rsid w:val="008168D9"/>
    <w:rsid w:val="00817BF4"/>
    <w:rsid w:val="008200A7"/>
    <w:rsid w:val="00820444"/>
    <w:rsid w:val="008208E6"/>
    <w:rsid w:val="00820FAA"/>
    <w:rsid w:val="0082193D"/>
    <w:rsid w:val="00821972"/>
    <w:rsid w:val="00822354"/>
    <w:rsid w:val="008228BD"/>
    <w:rsid w:val="00823081"/>
    <w:rsid w:val="008231FF"/>
    <w:rsid w:val="00823A8A"/>
    <w:rsid w:val="00823B24"/>
    <w:rsid w:val="00823B5A"/>
    <w:rsid w:val="00824287"/>
    <w:rsid w:val="0082444E"/>
    <w:rsid w:val="008253CE"/>
    <w:rsid w:val="00825499"/>
    <w:rsid w:val="00825E53"/>
    <w:rsid w:val="00825EB8"/>
    <w:rsid w:val="0082640B"/>
    <w:rsid w:val="008266A4"/>
    <w:rsid w:val="00826B0A"/>
    <w:rsid w:val="00826B3B"/>
    <w:rsid w:val="00826C13"/>
    <w:rsid w:val="00827652"/>
    <w:rsid w:val="008276CE"/>
    <w:rsid w:val="008303BA"/>
    <w:rsid w:val="00830523"/>
    <w:rsid w:val="008309E2"/>
    <w:rsid w:val="00830C76"/>
    <w:rsid w:val="00831089"/>
    <w:rsid w:val="008311F2"/>
    <w:rsid w:val="008315B0"/>
    <w:rsid w:val="008318A2"/>
    <w:rsid w:val="008318F3"/>
    <w:rsid w:val="00832371"/>
    <w:rsid w:val="008336C4"/>
    <w:rsid w:val="00833CA5"/>
    <w:rsid w:val="0083409E"/>
    <w:rsid w:val="0083418D"/>
    <w:rsid w:val="0083435C"/>
    <w:rsid w:val="0083436A"/>
    <w:rsid w:val="00834A64"/>
    <w:rsid w:val="00834BA0"/>
    <w:rsid w:val="00834BEC"/>
    <w:rsid w:val="00834E33"/>
    <w:rsid w:val="00834EFC"/>
    <w:rsid w:val="008358E0"/>
    <w:rsid w:val="00835934"/>
    <w:rsid w:val="00835F99"/>
    <w:rsid w:val="00836032"/>
    <w:rsid w:val="008361B8"/>
    <w:rsid w:val="008362EB"/>
    <w:rsid w:val="00836327"/>
    <w:rsid w:val="00836B12"/>
    <w:rsid w:val="00836D38"/>
    <w:rsid w:val="008371CF"/>
    <w:rsid w:val="00837553"/>
    <w:rsid w:val="00837629"/>
    <w:rsid w:val="0083777A"/>
    <w:rsid w:val="00837D40"/>
    <w:rsid w:val="00837D80"/>
    <w:rsid w:val="0084095B"/>
    <w:rsid w:val="008412DA"/>
    <w:rsid w:val="008413B6"/>
    <w:rsid w:val="00841B91"/>
    <w:rsid w:val="00841BE7"/>
    <w:rsid w:val="0084231C"/>
    <w:rsid w:val="00842644"/>
    <w:rsid w:val="00842661"/>
    <w:rsid w:val="0084268F"/>
    <w:rsid w:val="00842D1D"/>
    <w:rsid w:val="0084312B"/>
    <w:rsid w:val="00843578"/>
    <w:rsid w:val="008436E9"/>
    <w:rsid w:val="008437C4"/>
    <w:rsid w:val="008438DD"/>
    <w:rsid w:val="00843E07"/>
    <w:rsid w:val="00843F77"/>
    <w:rsid w:val="00843F7E"/>
    <w:rsid w:val="0084432A"/>
    <w:rsid w:val="008443E8"/>
    <w:rsid w:val="00844A22"/>
    <w:rsid w:val="00844D15"/>
    <w:rsid w:val="00844E48"/>
    <w:rsid w:val="00845AD0"/>
    <w:rsid w:val="0084639A"/>
    <w:rsid w:val="00846599"/>
    <w:rsid w:val="0084697D"/>
    <w:rsid w:val="00846B7B"/>
    <w:rsid w:val="00846F55"/>
    <w:rsid w:val="008470E6"/>
    <w:rsid w:val="00847952"/>
    <w:rsid w:val="00850C5B"/>
    <w:rsid w:val="008513E0"/>
    <w:rsid w:val="008517A3"/>
    <w:rsid w:val="00851917"/>
    <w:rsid w:val="00851C60"/>
    <w:rsid w:val="00851E14"/>
    <w:rsid w:val="00852531"/>
    <w:rsid w:val="008526AA"/>
    <w:rsid w:val="00852B45"/>
    <w:rsid w:val="0085311F"/>
    <w:rsid w:val="00853235"/>
    <w:rsid w:val="00853B2C"/>
    <w:rsid w:val="00853D18"/>
    <w:rsid w:val="008541D9"/>
    <w:rsid w:val="0085421A"/>
    <w:rsid w:val="00855841"/>
    <w:rsid w:val="00855BDD"/>
    <w:rsid w:val="008571C9"/>
    <w:rsid w:val="008571F4"/>
    <w:rsid w:val="0085757E"/>
    <w:rsid w:val="00857788"/>
    <w:rsid w:val="00860426"/>
    <w:rsid w:val="00860DE2"/>
    <w:rsid w:val="00860F11"/>
    <w:rsid w:val="00861234"/>
    <w:rsid w:val="008613B2"/>
    <w:rsid w:val="0086153C"/>
    <w:rsid w:val="0086160F"/>
    <w:rsid w:val="0086172B"/>
    <w:rsid w:val="008618F0"/>
    <w:rsid w:val="00861FF9"/>
    <w:rsid w:val="008620F4"/>
    <w:rsid w:val="00863536"/>
    <w:rsid w:val="00863AF9"/>
    <w:rsid w:val="008642F2"/>
    <w:rsid w:val="00864470"/>
    <w:rsid w:val="00864575"/>
    <w:rsid w:val="00865107"/>
    <w:rsid w:val="00865B13"/>
    <w:rsid w:val="0086637A"/>
    <w:rsid w:val="008668D6"/>
    <w:rsid w:val="00866AAB"/>
    <w:rsid w:val="00867A1A"/>
    <w:rsid w:val="00867B3B"/>
    <w:rsid w:val="00867B79"/>
    <w:rsid w:val="00867BA0"/>
    <w:rsid w:val="00867C5B"/>
    <w:rsid w:val="0087009C"/>
    <w:rsid w:val="0087010C"/>
    <w:rsid w:val="008701C3"/>
    <w:rsid w:val="008701DB"/>
    <w:rsid w:val="0087025E"/>
    <w:rsid w:val="00870944"/>
    <w:rsid w:val="00871315"/>
    <w:rsid w:val="00871452"/>
    <w:rsid w:val="008715F7"/>
    <w:rsid w:val="00871A5F"/>
    <w:rsid w:val="00871B0D"/>
    <w:rsid w:val="00871D8F"/>
    <w:rsid w:val="00872669"/>
    <w:rsid w:val="00872727"/>
    <w:rsid w:val="00872923"/>
    <w:rsid w:val="0087299D"/>
    <w:rsid w:val="00872E0C"/>
    <w:rsid w:val="0087418A"/>
    <w:rsid w:val="00874725"/>
    <w:rsid w:val="0087472D"/>
    <w:rsid w:val="00874AC6"/>
    <w:rsid w:val="00875031"/>
    <w:rsid w:val="008760C6"/>
    <w:rsid w:val="00876676"/>
    <w:rsid w:val="008768BD"/>
    <w:rsid w:val="00876EB9"/>
    <w:rsid w:val="008770F5"/>
    <w:rsid w:val="008778AE"/>
    <w:rsid w:val="00877F06"/>
    <w:rsid w:val="008800E6"/>
    <w:rsid w:val="008808DA"/>
    <w:rsid w:val="008809FC"/>
    <w:rsid w:val="00880B7C"/>
    <w:rsid w:val="0088117F"/>
    <w:rsid w:val="008811FB"/>
    <w:rsid w:val="0088136B"/>
    <w:rsid w:val="008814A7"/>
    <w:rsid w:val="00881565"/>
    <w:rsid w:val="008815A5"/>
    <w:rsid w:val="008817EB"/>
    <w:rsid w:val="00881DC2"/>
    <w:rsid w:val="00883485"/>
    <w:rsid w:val="00883489"/>
    <w:rsid w:val="00883990"/>
    <w:rsid w:val="00884BA9"/>
    <w:rsid w:val="00884BAD"/>
    <w:rsid w:val="00885356"/>
    <w:rsid w:val="0088590D"/>
    <w:rsid w:val="00885AF4"/>
    <w:rsid w:val="0088612C"/>
    <w:rsid w:val="00886854"/>
    <w:rsid w:val="00887113"/>
    <w:rsid w:val="0088715D"/>
    <w:rsid w:val="0088794E"/>
    <w:rsid w:val="00887ABD"/>
    <w:rsid w:val="008902D6"/>
    <w:rsid w:val="008908BD"/>
    <w:rsid w:val="00890A1E"/>
    <w:rsid w:val="00890C8A"/>
    <w:rsid w:val="00890FA0"/>
    <w:rsid w:val="00891337"/>
    <w:rsid w:val="00891438"/>
    <w:rsid w:val="0089177B"/>
    <w:rsid w:val="008917B5"/>
    <w:rsid w:val="00891AC6"/>
    <w:rsid w:val="008921DA"/>
    <w:rsid w:val="00892FA9"/>
    <w:rsid w:val="0089383B"/>
    <w:rsid w:val="00893F25"/>
    <w:rsid w:val="00894185"/>
    <w:rsid w:val="008945AB"/>
    <w:rsid w:val="008945FB"/>
    <w:rsid w:val="0089465E"/>
    <w:rsid w:val="0089490A"/>
    <w:rsid w:val="0089546C"/>
    <w:rsid w:val="00895503"/>
    <w:rsid w:val="008958AA"/>
    <w:rsid w:val="00895F16"/>
    <w:rsid w:val="0089657C"/>
    <w:rsid w:val="00896862"/>
    <w:rsid w:val="008979B7"/>
    <w:rsid w:val="00897CE1"/>
    <w:rsid w:val="00897F38"/>
    <w:rsid w:val="008A0180"/>
    <w:rsid w:val="008A02BB"/>
    <w:rsid w:val="008A04AF"/>
    <w:rsid w:val="008A0919"/>
    <w:rsid w:val="008A0A38"/>
    <w:rsid w:val="008A0DD1"/>
    <w:rsid w:val="008A0FA9"/>
    <w:rsid w:val="008A13C9"/>
    <w:rsid w:val="008A1ACF"/>
    <w:rsid w:val="008A22E3"/>
    <w:rsid w:val="008A3135"/>
    <w:rsid w:val="008A39BC"/>
    <w:rsid w:val="008A43D6"/>
    <w:rsid w:val="008A4DCB"/>
    <w:rsid w:val="008A52DA"/>
    <w:rsid w:val="008A5A61"/>
    <w:rsid w:val="008A5EFA"/>
    <w:rsid w:val="008A63A1"/>
    <w:rsid w:val="008A6618"/>
    <w:rsid w:val="008A6DA8"/>
    <w:rsid w:val="008A6F12"/>
    <w:rsid w:val="008A6FB4"/>
    <w:rsid w:val="008A7425"/>
    <w:rsid w:val="008A74D1"/>
    <w:rsid w:val="008A7B46"/>
    <w:rsid w:val="008A7CBB"/>
    <w:rsid w:val="008B0033"/>
    <w:rsid w:val="008B01EC"/>
    <w:rsid w:val="008B0DBE"/>
    <w:rsid w:val="008B10D7"/>
    <w:rsid w:val="008B110C"/>
    <w:rsid w:val="008B13EB"/>
    <w:rsid w:val="008B154E"/>
    <w:rsid w:val="008B1605"/>
    <w:rsid w:val="008B2034"/>
    <w:rsid w:val="008B2FB4"/>
    <w:rsid w:val="008B365C"/>
    <w:rsid w:val="008B36FA"/>
    <w:rsid w:val="008B372C"/>
    <w:rsid w:val="008B38EA"/>
    <w:rsid w:val="008B398D"/>
    <w:rsid w:val="008B3A81"/>
    <w:rsid w:val="008B3D35"/>
    <w:rsid w:val="008B3DB5"/>
    <w:rsid w:val="008B3DD0"/>
    <w:rsid w:val="008B3FAB"/>
    <w:rsid w:val="008B43A7"/>
    <w:rsid w:val="008B44B2"/>
    <w:rsid w:val="008B46EE"/>
    <w:rsid w:val="008B47DC"/>
    <w:rsid w:val="008B4948"/>
    <w:rsid w:val="008B5052"/>
    <w:rsid w:val="008B511B"/>
    <w:rsid w:val="008B532D"/>
    <w:rsid w:val="008B60F7"/>
    <w:rsid w:val="008B61D4"/>
    <w:rsid w:val="008B66EB"/>
    <w:rsid w:val="008B6DD6"/>
    <w:rsid w:val="008B71D8"/>
    <w:rsid w:val="008B735D"/>
    <w:rsid w:val="008B74C7"/>
    <w:rsid w:val="008B7E0B"/>
    <w:rsid w:val="008C0681"/>
    <w:rsid w:val="008C093B"/>
    <w:rsid w:val="008C208B"/>
    <w:rsid w:val="008C24DF"/>
    <w:rsid w:val="008C278C"/>
    <w:rsid w:val="008C3000"/>
    <w:rsid w:val="008C3179"/>
    <w:rsid w:val="008C3668"/>
    <w:rsid w:val="008C393D"/>
    <w:rsid w:val="008C3C85"/>
    <w:rsid w:val="008C4032"/>
    <w:rsid w:val="008C4B7B"/>
    <w:rsid w:val="008C4F2F"/>
    <w:rsid w:val="008C4FEF"/>
    <w:rsid w:val="008C52D7"/>
    <w:rsid w:val="008C542E"/>
    <w:rsid w:val="008C57DA"/>
    <w:rsid w:val="008C5872"/>
    <w:rsid w:val="008C636A"/>
    <w:rsid w:val="008C6AAF"/>
    <w:rsid w:val="008C799C"/>
    <w:rsid w:val="008C7AA3"/>
    <w:rsid w:val="008D0664"/>
    <w:rsid w:val="008D0995"/>
    <w:rsid w:val="008D1619"/>
    <w:rsid w:val="008D1C55"/>
    <w:rsid w:val="008D1C85"/>
    <w:rsid w:val="008D21E8"/>
    <w:rsid w:val="008D2304"/>
    <w:rsid w:val="008D2408"/>
    <w:rsid w:val="008D2E11"/>
    <w:rsid w:val="008D39F2"/>
    <w:rsid w:val="008D3D3D"/>
    <w:rsid w:val="008D442C"/>
    <w:rsid w:val="008D44C5"/>
    <w:rsid w:val="008D48C2"/>
    <w:rsid w:val="008D4AEC"/>
    <w:rsid w:val="008D4E94"/>
    <w:rsid w:val="008D55DC"/>
    <w:rsid w:val="008D569F"/>
    <w:rsid w:val="008D576C"/>
    <w:rsid w:val="008D5978"/>
    <w:rsid w:val="008D5AE8"/>
    <w:rsid w:val="008D5F02"/>
    <w:rsid w:val="008D6163"/>
    <w:rsid w:val="008D61A5"/>
    <w:rsid w:val="008D662B"/>
    <w:rsid w:val="008D6A33"/>
    <w:rsid w:val="008D6E88"/>
    <w:rsid w:val="008D6FF1"/>
    <w:rsid w:val="008D7BD8"/>
    <w:rsid w:val="008D7FAE"/>
    <w:rsid w:val="008E0A2F"/>
    <w:rsid w:val="008E0AF6"/>
    <w:rsid w:val="008E1D10"/>
    <w:rsid w:val="008E3208"/>
    <w:rsid w:val="008E3F0E"/>
    <w:rsid w:val="008E40C6"/>
    <w:rsid w:val="008E4584"/>
    <w:rsid w:val="008E4D25"/>
    <w:rsid w:val="008E5166"/>
    <w:rsid w:val="008E5194"/>
    <w:rsid w:val="008E55CE"/>
    <w:rsid w:val="008E5F6B"/>
    <w:rsid w:val="008E608C"/>
    <w:rsid w:val="008E629F"/>
    <w:rsid w:val="008E6616"/>
    <w:rsid w:val="008E6E26"/>
    <w:rsid w:val="008E7002"/>
    <w:rsid w:val="008E7151"/>
    <w:rsid w:val="008E7906"/>
    <w:rsid w:val="008E7CF5"/>
    <w:rsid w:val="008F041C"/>
    <w:rsid w:val="008F08F6"/>
    <w:rsid w:val="008F090B"/>
    <w:rsid w:val="008F193C"/>
    <w:rsid w:val="008F235F"/>
    <w:rsid w:val="008F29C9"/>
    <w:rsid w:val="008F3426"/>
    <w:rsid w:val="008F3615"/>
    <w:rsid w:val="008F391F"/>
    <w:rsid w:val="008F3D1C"/>
    <w:rsid w:val="008F466C"/>
    <w:rsid w:val="008F4BEF"/>
    <w:rsid w:val="008F4FF3"/>
    <w:rsid w:val="008F52D9"/>
    <w:rsid w:val="008F5C85"/>
    <w:rsid w:val="008F6203"/>
    <w:rsid w:val="008F6284"/>
    <w:rsid w:val="008F6664"/>
    <w:rsid w:val="009001F3"/>
    <w:rsid w:val="00900644"/>
    <w:rsid w:val="009006ED"/>
    <w:rsid w:val="00900BAD"/>
    <w:rsid w:val="00900EB2"/>
    <w:rsid w:val="00901587"/>
    <w:rsid w:val="00901666"/>
    <w:rsid w:val="00901AC0"/>
    <w:rsid w:val="00901ACD"/>
    <w:rsid w:val="00902007"/>
    <w:rsid w:val="0090201A"/>
    <w:rsid w:val="009023D2"/>
    <w:rsid w:val="00902604"/>
    <w:rsid w:val="00902F12"/>
    <w:rsid w:val="00902F47"/>
    <w:rsid w:val="00903120"/>
    <w:rsid w:val="0090334D"/>
    <w:rsid w:val="0090336D"/>
    <w:rsid w:val="00903D6C"/>
    <w:rsid w:val="00903D80"/>
    <w:rsid w:val="00903F8F"/>
    <w:rsid w:val="00903FE2"/>
    <w:rsid w:val="0090461B"/>
    <w:rsid w:val="00904766"/>
    <w:rsid w:val="0090602D"/>
    <w:rsid w:val="00906163"/>
    <w:rsid w:val="0090647C"/>
    <w:rsid w:val="009065AF"/>
    <w:rsid w:val="009066D1"/>
    <w:rsid w:val="009068C1"/>
    <w:rsid w:val="00906D3A"/>
    <w:rsid w:val="00906E67"/>
    <w:rsid w:val="0090743D"/>
    <w:rsid w:val="00907569"/>
    <w:rsid w:val="00907A71"/>
    <w:rsid w:val="009100E8"/>
    <w:rsid w:val="00910CB3"/>
    <w:rsid w:val="00910D8C"/>
    <w:rsid w:val="009111A4"/>
    <w:rsid w:val="00911494"/>
    <w:rsid w:val="00911B26"/>
    <w:rsid w:val="00911D4D"/>
    <w:rsid w:val="00912384"/>
    <w:rsid w:val="00912641"/>
    <w:rsid w:val="00912996"/>
    <w:rsid w:val="009129EC"/>
    <w:rsid w:val="00912ADF"/>
    <w:rsid w:val="00913D0A"/>
    <w:rsid w:val="00913E2B"/>
    <w:rsid w:val="00913F89"/>
    <w:rsid w:val="0091411B"/>
    <w:rsid w:val="009143C2"/>
    <w:rsid w:val="00914443"/>
    <w:rsid w:val="00914A89"/>
    <w:rsid w:val="00915120"/>
    <w:rsid w:val="00915FA6"/>
    <w:rsid w:val="00916773"/>
    <w:rsid w:val="009168FD"/>
    <w:rsid w:val="00916A16"/>
    <w:rsid w:val="00916B26"/>
    <w:rsid w:val="00916D07"/>
    <w:rsid w:val="00916FB2"/>
    <w:rsid w:val="00917550"/>
    <w:rsid w:val="009179A2"/>
    <w:rsid w:val="00917F05"/>
    <w:rsid w:val="00917F95"/>
    <w:rsid w:val="009206A0"/>
    <w:rsid w:val="009214E3"/>
    <w:rsid w:val="00921753"/>
    <w:rsid w:val="00922112"/>
    <w:rsid w:val="00922719"/>
    <w:rsid w:val="009228F1"/>
    <w:rsid w:val="00923903"/>
    <w:rsid w:val="009239B3"/>
    <w:rsid w:val="00923B8A"/>
    <w:rsid w:val="00923D2E"/>
    <w:rsid w:val="00923D33"/>
    <w:rsid w:val="009242C0"/>
    <w:rsid w:val="00924721"/>
    <w:rsid w:val="00924B0E"/>
    <w:rsid w:val="00924BD4"/>
    <w:rsid w:val="00924FAE"/>
    <w:rsid w:val="00925376"/>
    <w:rsid w:val="0092553D"/>
    <w:rsid w:val="00925841"/>
    <w:rsid w:val="00925B80"/>
    <w:rsid w:val="00925D0D"/>
    <w:rsid w:val="00926035"/>
    <w:rsid w:val="0092611B"/>
    <w:rsid w:val="00926342"/>
    <w:rsid w:val="0092653F"/>
    <w:rsid w:val="00926BE1"/>
    <w:rsid w:val="00927BB5"/>
    <w:rsid w:val="0093033D"/>
    <w:rsid w:val="0093063A"/>
    <w:rsid w:val="009311DA"/>
    <w:rsid w:val="00931772"/>
    <w:rsid w:val="00931D46"/>
    <w:rsid w:val="00931E50"/>
    <w:rsid w:val="009320C6"/>
    <w:rsid w:val="009324FF"/>
    <w:rsid w:val="00932709"/>
    <w:rsid w:val="00932DBD"/>
    <w:rsid w:val="00933030"/>
    <w:rsid w:val="009330D7"/>
    <w:rsid w:val="009333E0"/>
    <w:rsid w:val="00933704"/>
    <w:rsid w:val="009338E5"/>
    <w:rsid w:val="00933954"/>
    <w:rsid w:val="009339FD"/>
    <w:rsid w:val="00933D06"/>
    <w:rsid w:val="00933D15"/>
    <w:rsid w:val="00933E5F"/>
    <w:rsid w:val="00934463"/>
    <w:rsid w:val="00934D2F"/>
    <w:rsid w:val="0093524E"/>
    <w:rsid w:val="00935407"/>
    <w:rsid w:val="00935A8F"/>
    <w:rsid w:val="00935C26"/>
    <w:rsid w:val="00936386"/>
    <w:rsid w:val="00936805"/>
    <w:rsid w:val="00936A7E"/>
    <w:rsid w:val="00936AC6"/>
    <w:rsid w:val="00936C0E"/>
    <w:rsid w:val="00937125"/>
    <w:rsid w:val="009373E5"/>
    <w:rsid w:val="00937611"/>
    <w:rsid w:val="00941284"/>
    <w:rsid w:val="00941790"/>
    <w:rsid w:val="009417F8"/>
    <w:rsid w:val="0094262E"/>
    <w:rsid w:val="00942B64"/>
    <w:rsid w:val="00942B8C"/>
    <w:rsid w:val="00943183"/>
    <w:rsid w:val="0094339B"/>
    <w:rsid w:val="00943B07"/>
    <w:rsid w:val="00943BE4"/>
    <w:rsid w:val="00943BEF"/>
    <w:rsid w:val="00943CB9"/>
    <w:rsid w:val="00943DE2"/>
    <w:rsid w:val="0094436D"/>
    <w:rsid w:val="00945023"/>
    <w:rsid w:val="009457A6"/>
    <w:rsid w:val="00945B3E"/>
    <w:rsid w:val="0094601E"/>
    <w:rsid w:val="00946023"/>
    <w:rsid w:val="0094605C"/>
    <w:rsid w:val="00946915"/>
    <w:rsid w:val="0094692E"/>
    <w:rsid w:val="00946A82"/>
    <w:rsid w:val="00947154"/>
    <w:rsid w:val="00947BF4"/>
    <w:rsid w:val="00947F1C"/>
    <w:rsid w:val="00950C06"/>
    <w:rsid w:val="009513E5"/>
    <w:rsid w:val="0095150D"/>
    <w:rsid w:val="009516E7"/>
    <w:rsid w:val="00951BBD"/>
    <w:rsid w:val="00952128"/>
    <w:rsid w:val="00952609"/>
    <w:rsid w:val="00952A74"/>
    <w:rsid w:val="00952B64"/>
    <w:rsid w:val="00952B8C"/>
    <w:rsid w:val="00953B05"/>
    <w:rsid w:val="00953CF7"/>
    <w:rsid w:val="00953F0B"/>
    <w:rsid w:val="00953FA6"/>
    <w:rsid w:val="009541E8"/>
    <w:rsid w:val="0095441C"/>
    <w:rsid w:val="009547D3"/>
    <w:rsid w:val="00955B91"/>
    <w:rsid w:val="00955C79"/>
    <w:rsid w:val="00956258"/>
    <w:rsid w:val="00956584"/>
    <w:rsid w:val="00956ACD"/>
    <w:rsid w:val="00956B9E"/>
    <w:rsid w:val="00956BE3"/>
    <w:rsid w:val="00957C1D"/>
    <w:rsid w:val="0096000A"/>
    <w:rsid w:val="009602FF"/>
    <w:rsid w:val="009609D4"/>
    <w:rsid w:val="00960E3D"/>
    <w:rsid w:val="00961494"/>
    <w:rsid w:val="00961AC6"/>
    <w:rsid w:val="00961BF2"/>
    <w:rsid w:val="009621AA"/>
    <w:rsid w:val="009622E8"/>
    <w:rsid w:val="009623C3"/>
    <w:rsid w:val="00962BA8"/>
    <w:rsid w:val="00962FDD"/>
    <w:rsid w:val="00963265"/>
    <w:rsid w:val="009638F3"/>
    <w:rsid w:val="009639B4"/>
    <w:rsid w:val="00963FCF"/>
    <w:rsid w:val="00964279"/>
    <w:rsid w:val="0096429D"/>
    <w:rsid w:val="00964729"/>
    <w:rsid w:val="00964904"/>
    <w:rsid w:val="00965574"/>
    <w:rsid w:val="00966CCC"/>
    <w:rsid w:val="00967165"/>
    <w:rsid w:val="009673FA"/>
    <w:rsid w:val="009676F0"/>
    <w:rsid w:val="00967C23"/>
    <w:rsid w:val="009700C6"/>
    <w:rsid w:val="00970C3C"/>
    <w:rsid w:val="00971228"/>
    <w:rsid w:val="00971385"/>
    <w:rsid w:val="0097164C"/>
    <w:rsid w:val="0097190E"/>
    <w:rsid w:val="00972D28"/>
    <w:rsid w:val="0097314B"/>
    <w:rsid w:val="00973302"/>
    <w:rsid w:val="00973B33"/>
    <w:rsid w:val="00973E07"/>
    <w:rsid w:val="0097444B"/>
    <w:rsid w:val="00974646"/>
    <w:rsid w:val="00974721"/>
    <w:rsid w:val="0097487E"/>
    <w:rsid w:val="009748F1"/>
    <w:rsid w:val="00974AC0"/>
    <w:rsid w:val="00974DEA"/>
    <w:rsid w:val="00974E7E"/>
    <w:rsid w:val="00974EE1"/>
    <w:rsid w:val="00975330"/>
    <w:rsid w:val="00976118"/>
    <w:rsid w:val="009765A2"/>
    <w:rsid w:val="00976AE0"/>
    <w:rsid w:val="00977654"/>
    <w:rsid w:val="00977835"/>
    <w:rsid w:val="00977F92"/>
    <w:rsid w:val="00980331"/>
    <w:rsid w:val="0098043B"/>
    <w:rsid w:val="00980904"/>
    <w:rsid w:val="00980F0B"/>
    <w:rsid w:val="009814C6"/>
    <w:rsid w:val="00981C29"/>
    <w:rsid w:val="00981C44"/>
    <w:rsid w:val="00982404"/>
    <w:rsid w:val="00982F09"/>
    <w:rsid w:val="009832DF"/>
    <w:rsid w:val="00983B78"/>
    <w:rsid w:val="00984CEE"/>
    <w:rsid w:val="00984F11"/>
    <w:rsid w:val="00985255"/>
    <w:rsid w:val="009854BA"/>
    <w:rsid w:val="00985AF4"/>
    <w:rsid w:val="009863BD"/>
    <w:rsid w:val="00986AB8"/>
    <w:rsid w:val="00986BFE"/>
    <w:rsid w:val="00987DBB"/>
    <w:rsid w:val="0099024B"/>
    <w:rsid w:val="009910DF"/>
    <w:rsid w:val="0099118C"/>
    <w:rsid w:val="009913A7"/>
    <w:rsid w:val="0099177C"/>
    <w:rsid w:val="00991873"/>
    <w:rsid w:val="0099190D"/>
    <w:rsid w:val="00991A9A"/>
    <w:rsid w:val="00991EC9"/>
    <w:rsid w:val="0099204F"/>
    <w:rsid w:val="0099221A"/>
    <w:rsid w:val="0099281F"/>
    <w:rsid w:val="0099309B"/>
    <w:rsid w:val="009930E8"/>
    <w:rsid w:val="009930F3"/>
    <w:rsid w:val="0099408B"/>
    <w:rsid w:val="009942DD"/>
    <w:rsid w:val="00994311"/>
    <w:rsid w:val="00995270"/>
    <w:rsid w:val="00995378"/>
    <w:rsid w:val="00995C4C"/>
    <w:rsid w:val="00995D3A"/>
    <w:rsid w:val="00995DA7"/>
    <w:rsid w:val="00995DA8"/>
    <w:rsid w:val="00996819"/>
    <w:rsid w:val="00996CB6"/>
    <w:rsid w:val="00997114"/>
    <w:rsid w:val="0099720F"/>
    <w:rsid w:val="009972F3"/>
    <w:rsid w:val="0099787B"/>
    <w:rsid w:val="009A0836"/>
    <w:rsid w:val="009A0D05"/>
    <w:rsid w:val="009A115E"/>
    <w:rsid w:val="009A13A7"/>
    <w:rsid w:val="009A17C1"/>
    <w:rsid w:val="009A1D9B"/>
    <w:rsid w:val="009A2562"/>
    <w:rsid w:val="009A26D2"/>
    <w:rsid w:val="009A26EE"/>
    <w:rsid w:val="009A2CFB"/>
    <w:rsid w:val="009A2F39"/>
    <w:rsid w:val="009A3360"/>
    <w:rsid w:val="009A3D19"/>
    <w:rsid w:val="009A4195"/>
    <w:rsid w:val="009A4722"/>
    <w:rsid w:val="009A4A47"/>
    <w:rsid w:val="009A4DEB"/>
    <w:rsid w:val="009A5909"/>
    <w:rsid w:val="009A590F"/>
    <w:rsid w:val="009A5BCB"/>
    <w:rsid w:val="009A5CE7"/>
    <w:rsid w:val="009A5E68"/>
    <w:rsid w:val="009A637B"/>
    <w:rsid w:val="009A64C1"/>
    <w:rsid w:val="009A69C2"/>
    <w:rsid w:val="009A6E2F"/>
    <w:rsid w:val="009A7050"/>
    <w:rsid w:val="009A7EC5"/>
    <w:rsid w:val="009A7F13"/>
    <w:rsid w:val="009B03A1"/>
    <w:rsid w:val="009B04EB"/>
    <w:rsid w:val="009B05E7"/>
    <w:rsid w:val="009B09F4"/>
    <w:rsid w:val="009B0DE7"/>
    <w:rsid w:val="009B137A"/>
    <w:rsid w:val="009B1A15"/>
    <w:rsid w:val="009B20B3"/>
    <w:rsid w:val="009B20C1"/>
    <w:rsid w:val="009B2DF0"/>
    <w:rsid w:val="009B2E63"/>
    <w:rsid w:val="009B31DC"/>
    <w:rsid w:val="009B3600"/>
    <w:rsid w:val="009B3961"/>
    <w:rsid w:val="009B3FAA"/>
    <w:rsid w:val="009B40E3"/>
    <w:rsid w:val="009B4655"/>
    <w:rsid w:val="009B48FC"/>
    <w:rsid w:val="009B49F6"/>
    <w:rsid w:val="009B52BF"/>
    <w:rsid w:val="009B5890"/>
    <w:rsid w:val="009B5914"/>
    <w:rsid w:val="009B59E7"/>
    <w:rsid w:val="009B5C10"/>
    <w:rsid w:val="009B6E99"/>
    <w:rsid w:val="009B7261"/>
    <w:rsid w:val="009B731D"/>
    <w:rsid w:val="009B752C"/>
    <w:rsid w:val="009B7AD2"/>
    <w:rsid w:val="009B7D51"/>
    <w:rsid w:val="009C0389"/>
    <w:rsid w:val="009C1166"/>
    <w:rsid w:val="009C123D"/>
    <w:rsid w:val="009C1699"/>
    <w:rsid w:val="009C1752"/>
    <w:rsid w:val="009C20AB"/>
    <w:rsid w:val="009C2310"/>
    <w:rsid w:val="009C27E5"/>
    <w:rsid w:val="009C29A6"/>
    <w:rsid w:val="009C2CA1"/>
    <w:rsid w:val="009C2D54"/>
    <w:rsid w:val="009C347C"/>
    <w:rsid w:val="009C36FB"/>
    <w:rsid w:val="009C37B3"/>
    <w:rsid w:val="009C3ADD"/>
    <w:rsid w:val="009C3F32"/>
    <w:rsid w:val="009C4273"/>
    <w:rsid w:val="009C42B2"/>
    <w:rsid w:val="009C48C0"/>
    <w:rsid w:val="009C58F5"/>
    <w:rsid w:val="009C5BFD"/>
    <w:rsid w:val="009C5F18"/>
    <w:rsid w:val="009C686C"/>
    <w:rsid w:val="009C6992"/>
    <w:rsid w:val="009C6B10"/>
    <w:rsid w:val="009C7202"/>
    <w:rsid w:val="009C75F1"/>
    <w:rsid w:val="009C7BCD"/>
    <w:rsid w:val="009C7C19"/>
    <w:rsid w:val="009D02C0"/>
    <w:rsid w:val="009D0544"/>
    <w:rsid w:val="009D061A"/>
    <w:rsid w:val="009D069F"/>
    <w:rsid w:val="009D091C"/>
    <w:rsid w:val="009D099C"/>
    <w:rsid w:val="009D0B2A"/>
    <w:rsid w:val="009D0E31"/>
    <w:rsid w:val="009D1063"/>
    <w:rsid w:val="009D1158"/>
    <w:rsid w:val="009D12F9"/>
    <w:rsid w:val="009D265D"/>
    <w:rsid w:val="009D32E3"/>
    <w:rsid w:val="009D35C2"/>
    <w:rsid w:val="009D35C6"/>
    <w:rsid w:val="009D3C1C"/>
    <w:rsid w:val="009D486E"/>
    <w:rsid w:val="009D4B4A"/>
    <w:rsid w:val="009D4F4A"/>
    <w:rsid w:val="009D545B"/>
    <w:rsid w:val="009D5C01"/>
    <w:rsid w:val="009D644E"/>
    <w:rsid w:val="009D676D"/>
    <w:rsid w:val="009D6ABC"/>
    <w:rsid w:val="009D6E9C"/>
    <w:rsid w:val="009D71F5"/>
    <w:rsid w:val="009D7358"/>
    <w:rsid w:val="009E00BA"/>
    <w:rsid w:val="009E010B"/>
    <w:rsid w:val="009E0D87"/>
    <w:rsid w:val="009E1429"/>
    <w:rsid w:val="009E1575"/>
    <w:rsid w:val="009E1612"/>
    <w:rsid w:val="009E17EE"/>
    <w:rsid w:val="009E2528"/>
    <w:rsid w:val="009E30DC"/>
    <w:rsid w:val="009E352F"/>
    <w:rsid w:val="009E3B5C"/>
    <w:rsid w:val="009E3D02"/>
    <w:rsid w:val="009E3E43"/>
    <w:rsid w:val="009E3FB8"/>
    <w:rsid w:val="009E4078"/>
    <w:rsid w:val="009E434B"/>
    <w:rsid w:val="009E477A"/>
    <w:rsid w:val="009E49DA"/>
    <w:rsid w:val="009E4D26"/>
    <w:rsid w:val="009E5286"/>
    <w:rsid w:val="009E5721"/>
    <w:rsid w:val="009E6052"/>
    <w:rsid w:val="009E61D2"/>
    <w:rsid w:val="009E69B0"/>
    <w:rsid w:val="009E6BFB"/>
    <w:rsid w:val="009E720D"/>
    <w:rsid w:val="009E784D"/>
    <w:rsid w:val="009F0BF4"/>
    <w:rsid w:val="009F0DC9"/>
    <w:rsid w:val="009F12BB"/>
    <w:rsid w:val="009F168B"/>
    <w:rsid w:val="009F1705"/>
    <w:rsid w:val="009F1710"/>
    <w:rsid w:val="009F19CF"/>
    <w:rsid w:val="009F212A"/>
    <w:rsid w:val="009F2565"/>
    <w:rsid w:val="009F2580"/>
    <w:rsid w:val="009F2608"/>
    <w:rsid w:val="009F2851"/>
    <w:rsid w:val="009F2A01"/>
    <w:rsid w:val="009F3023"/>
    <w:rsid w:val="009F3A85"/>
    <w:rsid w:val="009F3CE5"/>
    <w:rsid w:val="009F3E2E"/>
    <w:rsid w:val="009F42E9"/>
    <w:rsid w:val="009F4439"/>
    <w:rsid w:val="009F4539"/>
    <w:rsid w:val="009F4675"/>
    <w:rsid w:val="009F49C5"/>
    <w:rsid w:val="009F4AB6"/>
    <w:rsid w:val="009F4EC0"/>
    <w:rsid w:val="009F4F9D"/>
    <w:rsid w:val="009F5447"/>
    <w:rsid w:val="009F5503"/>
    <w:rsid w:val="009F5A24"/>
    <w:rsid w:val="009F5C9F"/>
    <w:rsid w:val="009F5E09"/>
    <w:rsid w:val="009F61B1"/>
    <w:rsid w:val="009F6570"/>
    <w:rsid w:val="009F691A"/>
    <w:rsid w:val="009F69ED"/>
    <w:rsid w:val="009F6D46"/>
    <w:rsid w:val="009F6DBA"/>
    <w:rsid w:val="009F757C"/>
    <w:rsid w:val="009F7749"/>
    <w:rsid w:val="009F7B4D"/>
    <w:rsid w:val="00A002F2"/>
    <w:rsid w:val="00A00515"/>
    <w:rsid w:val="00A0052E"/>
    <w:rsid w:val="00A00972"/>
    <w:rsid w:val="00A00BDE"/>
    <w:rsid w:val="00A00E03"/>
    <w:rsid w:val="00A00E86"/>
    <w:rsid w:val="00A01861"/>
    <w:rsid w:val="00A01AB1"/>
    <w:rsid w:val="00A021A5"/>
    <w:rsid w:val="00A022EC"/>
    <w:rsid w:val="00A02374"/>
    <w:rsid w:val="00A02ACC"/>
    <w:rsid w:val="00A02BFA"/>
    <w:rsid w:val="00A03AC0"/>
    <w:rsid w:val="00A03ED2"/>
    <w:rsid w:val="00A040A6"/>
    <w:rsid w:val="00A04838"/>
    <w:rsid w:val="00A050AD"/>
    <w:rsid w:val="00A05796"/>
    <w:rsid w:val="00A05B67"/>
    <w:rsid w:val="00A05D7E"/>
    <w:rsid w:val="00A05EA3"/>
    <w:rsid w:val="00A05F70"/>
    <w:rsid w:val="00A062DB"/>
    <w:rsid w:val="00A06709"/>
    <w:rsid w:val="00A07303"/>
    <w:rsid w:val="00A0748F"/>
    <w:rsid w:val="00A10ADB"/>
    <w:rsid w:val="00A11470"/>
    <w:rsid w:val="00A11522"/>
    <w:rsid w:val="00A11A16"/>
    <w:rsid w:val="00A11FDD"/>
    <w:rsid w:val="00A1230B"/>
    <w:rsid w:val="00A129EE"/>
    <w:rsid w:val="00A12B23"/>
    <w:rsid w:val="00A13379"/>
    <w:rsid w:val="00A134C1"/>
    <w:rsid w:val="00A14368"/>
    <w:rsid w:val="00A14B33"/>
    <w:rsid w:val="00A14F36"/>
    <w:rsid w:val="00A14FD3"/>
    <w:rsid w:val="00A15018"/>
    <w:rsid w:val="00A15049"/>
    <w:rsid w:val="00A150D9"/>
    <w:rsid w:val="00A15882"/>
    <w:rsid w:val="00A16266"/>
    <w:rsid w:val="00A16441"/>
    <w:rsid w:val="00A16DC3"/>
    <w:rsid w:val="00A17F7E"/>
    <w:rsid w:val="00A209DF"/>
    <w:rsid w:val="00A212B0"/>
    <w:rsid w:val="00A21583"/>
    <w:rsid w:val="00A21862"/>
    <w:rsid w:val="00A21AA4"/>
    <w:rsid w:val="00A21F54"/>
    <w:rsid w:val="00A23629"/>
    <w:rsid w:val="00A238CA"/>
    <w:rsid w:val="00A239B0"/>
    <w:rsid w:val="00A239BC"/>
    <w:rsid w:val="00A23A43"/>
    <w:rsid w:val="00A23C4F"/>
    <w:rsid w:val="00A2427A"/>
    <w:rsid w:val="00A2467E"/>
    <w:rsid w:val="00A25029"/>
    <w:rsid w:val="00A25A1B"/>
    <w:rsid w:val="00A25CB1"/>
    <w:rsid w:val="00A25EAF"/>
    <w:rsid w:val="00A26135"/>
    <w:rsid w:val="00A2647F"/>
    <w:rsid w:val="00A300A0"/>
    <w:rsid w:val="00A304DB"/>
    <w:rsid w:val="00A30780"/>
    <w:rsid w:val="00A3096F"/>
    <w:rsid w:val="00A3106D"/>
    <w:rsid w:val="00A31452"/>
    <w:rsid w:val="00A3154D"/>
    <w:rsid w:val="00A31790"/>
    <w:rsid w:val="00A318B5"/>
    <w:rsid w:val="00A324F8"/>
    <w:rsid w:val="00A32B9E"/>
    <w:rsid w:val="00A32BBA"/>
    <w:rsid w:val="00A33F50"/>
    <w:rsid w:val="00A342D8"/>
    <w:rsid w:val="00A34595"/>
    <w:rsid w:val="00A347B6"/>
    <w:rsid w:val="00A34DA2"/>
    <w:rsid w:val="00A35469"/>
    <w:rsid w:val="00A35477"/>
    <w:rsid w:val="00A356A8"/>
    <w:rsid w:val="00A35C6B"/>
    <w:rsid w:val="00A361EF"/>
    <w:rsid w:val="00A36748"/>
    <w:rsid w:val="00A36BF4"/>
    <w:rsid w:val="00A37368"/>
    <w:rsid w:val="00A37D5F"/>
    <w:rsid w:val="00A37E71"/>
    <w:rsid w:val="00A37EDC"/>
    <w:rsid w:val="00A40604"/>
    <w:rsid w:val="00A40608"/>
    <w:rsid w:val="00A40A98"/>
    <w:rsid w:val="00A41449"/>
    <w:rsid w:val="00A4162C"/>
    <w:rsid w:val="00A41BBD"/>
    <w:rsid w:val="00A41C2E"/>
    <w:rsid w:val="00A41C3C"/>
    <w:rsid w:val="00A41F04"/>
    <w:rsid w:val="00A42291"/>
    <w:rsid w:val="00A429B1"/>
    <w:rsid w:val="00A433FC"/>
    <w:rsid w:val="00A4387E"/>
    <w:rsid w:val="00A43BCC"/>
    <w:rsid w:val="00A444E0"/>
    <w:rsid w:val="00A44FD4"/>
    <w:rsid w:val="00A45F4F"/>
    <w:rsid w:val="00A45FD2"/>
    <w:rsid w:val="00A46711"/>
    <w:rsid w:val="00A4703E"/>
    <w:rsid w:val="00A474A9"/>
    <w:rsid w:val="00A47717"/>
    <w:rsid w:val="00A4779B"/>
    <w:rsid w:val="00A4785E"/>
    <w:rsid w:val="00A47861"/>
    <w:rsid w:val="00A47FC1"/>
    <w:rsid w:val="00A50C94"/>
    <w:rsid w:val="00A50D20"/>
    <w:rsid w:val="00A50DA8"/>
    <w:rsid w:val="00A50EF8"/>
    <w:rsid w:val="00A51C03"/>
    <w:rsid w:val="00A5217E"/>
    <w:rsid w:val="00A52247"/>
    <w:rsid w:val="00A529F0"/>
    <w:rsid w:val="00A52A85"/>
    <w:rsid w:val="00A52CC5"/>
    <w:rsid w:val="00A5344D"/>
    <w:rsid w:val="00A53A91"/>
    <w:rsid w:val="00A53F2B"/>
    <w:rsid w:val="00A54789"/>
    <w:rsid w:val="00A5521C"/>
    <w:rsid w:val="00A5539D"/>
    <w:rsid w:val="00A55EB3"/>
    <w:rsid w:val="00A55FD2"/>
    <w:rsid w:val="00A570DB"/>
    <w:rsid w:val="00A57B68"/>
    <w:rsid w:val="00A6006F"/>
    <w:rsid w:val="00A60104"/>
    <w:rsid w:val="00A60B97"/>
    <w:rsid w:val="00A60CCC"/>
    <w:rsid w:val="00A60EE4"/>
    <w:rsid w:val="00A61151"/>
    <w:rsid w:val="00A6180C"/>
    <w:rsid w:val="00A61A95"/>
    <w:rsid w:val="00A61C50"/>
    <w:rsid w:val="00A61FD9"/>
    <w:rsid w:val="00A620AF"/>
    <w:rsid w:val="00A62AE2"/>
    <w:rsid w:val="00A62AF4"/>
    <w:rsid w:val="00A62EB2"/>
    <w:rsid w:val="00A635E0"/>
    <w:rsid w:val="00A63841"/>
    <w:rsid w:val="00A638D8"/>
    <w:rsid w:val="00A63BA7"/>
    <w:rsid w:val="00A63C0C"/>
    <w:rsid w:val="00A6442D"/>
    <w:rsid w:val="00A644EB"/>
    <w:rsid w:val="00A64604"/>
    <w:rsid w:val="00A6465F"/>
    <w:rsid w:val="00A64E0F"/>
    <w:rsid w:val="00A65084"/>
    <w:rsid w:val="00A65108"/>
    <w:rsid w:val="00A65C41"/>
    <w:rsid w:val="00A65D6A"/>
    <w:rsid w:val="00A6608D"/>
    <w:rsid w:val="00A66BFA"/>
    <w:rsid w:val="00A66C07"/>
    <w:rsid w:val="00A67720"/>
    <w:rsid w:val="00A67860"/>
    <w:rsid w:val="00A708FB"/>
    <w:rsid w:val="00A70C5B"/>
    <w:rsid w:val="00A71326"/>
    <w:rsid w:val="00A71A13"/>
    <w:rsid w:val="00A71E80"/>
    <w:rsid w:val="00A724CD"/>
    <w:rsid w:val="00A72BDD"/>
    <w:rsid w:val="00A73108"/>
    <w:rsid w:val="00A73549"/>
    <w:rsid w:val="00A73724"/>
    <w:rsid w:val="00A738E3"/>
    <w:rsid w:val="00A73B82"/>
    <w:rsid w:val="00A74125"/>
    <w:rsid w:val="00A74741"/>
    <w:rsid w:val="00A7490F"/>
    <w:rsid w:val="00A75277"/>
    <w:rsid w:val="00A752B7"/>
    <w:rsid w:val="00A75375"/>
    <w:rsid w:val="00A75981"/>
    <w:rsid w:val="00A75AC0"/>
    <w:rsid w:val="00A765F9"/>
    <w:rsid w:val="00A766EC"/>
    <w:rsid w:val="00A76B81"/>
    <w:rsid w:val="00A76F71"/>
    <w:rsid w:val="00A77FEF"/>
    <w:rsid w:val="00A80A0A"/>
    <w:rsid w:val="00A80A0C"/>
    <w:rsid w:val="00A8118D"/>
    <w:rsid w:val="00A816B9"/>
    <w:rsid w:val="00A81820"/>
    <w:rsid w:val="00A822F8"/>
    <w:rsid w:val="00A82741"/>
    <w:rsid w:val="00A83661"/>
    <w:rsid w:val="00A84528"/>
    <w:rsid w:val="00A85BE9"/>
    <w:rsid w:val="00A86013"/>
    <w:rsid w:val="00A8618B"/>
    <w:rsid w:val="00A866BD"/>
    <w:rsid w:val="00A869B0"/>
    <w:rsid w:val="00A86E2A"/>
    <w:rsid w:val="00A87467"/>
    <w:rsid w:val="00A87A44"/>
    <w:rsid w:val="00A87AC3"/>
    <w:rsid w:val="00A87E3B"/>
    <w:rsid w:val="00A87F16"/>
    <w:rsid w:val="00A90288"/>
    <w:rsid w:val="00A90404"/>
    <w:rsid w:val="00A907BE"/>
    <w:rsid w:val="00A90862"/>
    <w:rsid w:val="00A90B6B"/>
    <w:rsid w:val="00A90FCE"/>
    <w:rsid w:val="00A914BD"/>
    <w:rsid w:val="00A91573"/>
    <w:rsid w:val="00A92171"/>
    <w:rsid w:val="00A924F6"/>
    <w:rsid w:val="00A9363F"/>
    <w:rsid w:val="00A93710"/>
    <w:rsid w:val="00A93C4D"/>
    <w:rsid w:val="00A94034"/>
    <w:rsid w:val="00A94DCA"/>
    <w:rsid w:val="00A953C2"/>
    <w:rsid w:val="00A9588B"/>
    <w:rsid w:val="00A95A4E"/>
    <w:rsid w:val="00A95BFE"/>
    <w:rsid w:val="00A95C41"/>
    <w:rsid w:val="00A95FD5"/>
    <w:rsid w:val="00A963B7"/>
    <w:rsid w:val="00A96C3E"/>
    <w:rsid w:val="00A976E4"/>
    <w:rsid w:val="00AA05AC"/>
    <w:rsid w:val="00AA09F4"/>
    <w:rsid w:val="00AA0A05"/>
    <w:rsid w:val="00AA0A4E"/>
    <w:rsid w:val="00AA0BC5"/>
    <w:rsid w:val="00AA13DA"/>
    <w:rsid w:val="00AA15C4"/>
    <w:rsid w:val="00AA23AE"/>
    <w:rsid w:val="00AA2404"/>
    <w:rsid w:val="00AA2F6A"/>
    <w:rsid w:val="00AA306E"/>
    <w:rsid w:val="00AA316E"/>
    <w:rsid w:val="00AA357E"/>
    <w:rsid w:val="00AA3F62"/>
    <w:rsid w:val="00AA4349"/>
    <w:rsid w:val="00AA44A4"/>
    <w:rsid w:val="00AA45B6"/>
    <w:rsid w:val="00AA5291"/>
    <w:rsid w:val="00AA55C2"/>
    <w:rsid w:val="00AA55F8"/>
    <w:rsid w:val="00AA5A55"/>
    <w:rsid w:val="00AA5AAE"/>
    <w:rsid w:val="00AA5BAA"/>
    <w:rsid w:val="00AA5C7E"/>
    <w:rsid w:val="00AA5D54"/>
    <w:rsid w:val="00AA60FD"/>
    <w:rsid w:val="00AA6458"/>
    <w:rsid w:val="00AA64FC"/>
    <w:rsid w:val="00AA6661"/>
    <w:rsid w:val="00AA67B2"/>
    <w:rsid w:val="00AA6B66"/>
    <w:rsid w:val="00AA72F8"/>
    <w:rsid w:val="00AA7679"/>
    <w:rsid w:val="00AA7883"/>
    <w:rsid w:val="00AA7A0C"/>
    <w:rsid w:val="00AA7E80"/>
    <w:rsid w:val="00AA7FAD"/>
    <w:rsid w:val="00AB0185"/>
    <w:rsid w:val="00AB020B"/>
    <w:rsid w:val="00AB0642"/>
    <w:rsid w:val="00AB0825"/>
    <w:rsid w:val="00AB0971"/>
    <w:rsid w:val="00AB0B64"/>
    <w:rsid w:val="00AB0DFE"/>
    <w:rsid w:val="00AB0F88"/>
    <w:rsid w:val="00AB114B"/>
    <w:rsid w:val="00AB13FB"/>
    <w:rsid w:val="00AB162E"/>
    <w:rsid w:val="00AB1971"/>
    <w:rsid w:val="00AB1C41"/>
    <w:rsid w:val="00AB1E6E"/>
    <w:rsid w:val="00AB29CE"/>
    <w:rsid w:val="00AB2E67"/>
    <w:rsid w:val="00AB322C"/>
    <w:rsid w:val="00AB408E"/>
    <w:rsid w:val="00AB427D"/>
    <w:rsid w:val="00AB437F"/>
    <w:rsid w:val="00AB459D"/>
    <w:rsid w:val="00AB4FF3"/>
    <w:rsid w:val="00AB554D"/>
    <w:rsid w:val="00AB5777"/>
    <w:rsid w:val="00AB5D07"/>
    <w:rsid w:val="00AB6314"/>
    <w:rsid w:val="00AB70C9"/>
    <w:rsid w:val="00AC0267"/>
    <w:rsid w:val="00AC0429"/>
    <w:rsid w:val="00AC04AE"/>
    <w:rsid w:val="00AC0A37"/>
    <w:rsid w:val="00AC0B39"/>
    <w:rsid w:val="00AC118A"/>
    <w:rsid w:val="00AC1447"/>
    <w:rsid w:val="00AC14C9"/>
    <w:rsid w:val="00AC1705"/>
    <w:rsid w:val="00AC1F11"/>
    <w:rsid w:val="00AC25A3"/>
    <w:rsid w:val="00AC27E3"/>
    <w:rsid w:val="00AC2931"/>
    <w:rsid w:val="00AC2A4A"/>
    <w:rsid w:val="00AC2B94"/>
    <w:rsid w:val="00AC33D2"/>
    <w:rsid w:val="00AC3698"/>
    <w:rsid w:val="00AC377D"/>
    <w:rsid w:val="00AC38C6"/>
    <w:rsid w:val="00AC3F4C"/>
    <w:rsid w:val="00AC483A"/>
    <w:rsid w:val="00AC487B"/>
    <w:rsid w:val="00AC49A1"/>
    <w:rsid w:val="00AC52E8"/>
    <w:rsid w:val="00AC53CD"/>
    <w:rsid w:val="00AC6BB8"/>
    <w:rsid w:val="00AC6D2F"/>
    <w:rsid w:val="00AC6F3A"/>
    <w:rsid w:val="00AC7115"/>
    <w:rsid w:val="00AC75FA"/>
    <w:rsid w:val="00AC78F6"/>
    <w:rsid w:val="00AC7A5D"/>
    <w:rsid w:val="00AD055F"/>
    <w:rsid w:val="00AD0705"/>
    <w:rsid w:val="00AD07B1"/>
    <w:rsid w:val="00AD0865"/>
    <w:rsid w:val="00AD0A80"/>
    <w:rsid w:val="00AD0DB5"/>
    <w:rsid w:val="00AD0DBF"/>
    <w:rsid w:val="00AD11D1"/>
    <w:rsid w:val="00AD152F"/>
    <w:rsid w:val="00AD2D2C"/>
    <w:rsid w:val="00AD3029"/>
    <w:rsid w:val="00AD34DD"/>
    <w:rsid w:val="00AD3CB1"/>
    <w:rsid w:val="00AD3EF9"/>
    <w:rsid w:val="00AD3F61"/>
    <w:rsid w:val="00AD5688"/>
    <w:rsid w:val="00AD5934"/>
    <w:rsid w:val="00AD5A55"/>
    <w:rsid w:val="00AD5D90"/>
    <w:rsid w:val="00AD6694"/>
    <w:rsid w:val="00AD6A64"/>
    <w:rsid w:val="00AD6A91"/>
    <w:rsid w:val="00AD6EE1"/>
    <w:rsid w:val="00AD73AE"/>
    <w:rsid w:val="00AD7551"/>
    <w:rsid w:val="00AD7786"/>
    <w:rsid w:val="00AD7AB2"/>
    <w:rsid w:val="00AE1553"/>
    <w:rsid w:val="00AE1A1E"/>
    <w:rsid w:val="00AE1E89"/>
    <w:rsid w:val="00AE2245"/>
    <w:rsid w:val="00AE23AA"/>
    <w:rsid w:val="00AE2619"/>
    <w:rsid w:val="00AE3BBE"/>
    <w:rsid w:val="00AE3BF2"/>
    <w:rsid w:val="00AE4E02"/>
    <w:rsid w:val="00AE5306"/>
    <w:rsid w:val="00AE5428"/>
    <w:rsid w:val="00AE562F"/>
    <w:rsid w:val="00AE5A10"/>
    <w:rsid w:val="00AE696A"/>
    <w:rsid w:val="00AE6DAD"/>
    <w:rsid w:val="00AE6E5D"/>
    <w:rsid w:val="00AE7163"/>
    <w:rsid w:val="00AE7265"/>
    <w:rsid w:val="00AE7282"/>
    <w:rsid w:val="00AE73A4"/>
    <w:rsid w:val="00AE770B"/>
    <w:rsid w:val="00AE7915"/>
    <w:rsid w:val="00AF058C"/>
    <w:rsid w:val="00AF068F"/>
    <w:rsid w:val="00AF08C0"/>
    <w:rsid w:val="00AF0972"/>
    <w:rsid w:val="00AF0CEB"/>
    <w:rsid w:val="00AF10F3"/>
    <w:rsid w:val="00AF2745"/>
    <w:rsid w:val="00AF2847"/>
    <w:rsid w:val="00AF287C"/>
    <w:rsid w:val="00AF2BF1"/>
    <w:rsid w:val="00AF2DA1"/>
    <w:rsid w:val="00AF3117"/>
    <w:rsid w:val="00AF331C"/>
    <w:rsid w:val="00AF3726"/>
    <w:rsid w:val="00AF3752"/>
    <w:rsid w:val="00AF38F7"/>
    <w:rsid w:val="00AF3B7B"/>
    <w:rsid w:val="00AF48BC"/>
    <w:rsid w:val="00AF4C6D"/>
    <w:rsid w:val="00AF4EA5"/>
    <w:rsid w:val="00AF511E"/>
    <w:rsid w:val="00AF517A"/>
    <w:rsid w:val="00AF57E8"/>
    <w:rsid w:val="00AF57F7"/>
    <w:rsid w:val="00AF582A"/>
    <w:rsid w:val="00AF58BA"/>
    <w:rsid w:val="00AF6DC3"/>
    <w:rsid w:val="00AF71FB"/>
    <w:rsid w:val="00AF7758"/>
    <w:rsid w:val="00AF7C19"/>
    <w:rsid w:val="00AF7F8D"/>
    <w:rsid w:val="00B00234"/>
    <w:rsid w:val="00B01544"/>
    <w:rsid w:val="00B01997"/>
    <w:rsid w:val="00B021AB"/>
    <w:rsid w:val="00B0226D"/>
    <w:rsid w:val="00B02B9F"/>
    <w:rsid w:val="00B02CC1"/>
    <w:rsid w:val="00B031E9"/>
    <w:rsid w:val="00B03D53"/>
    <w:rsid w:val="00B03EE8"/>
    <w:rsid w:val="00B03F5C"/>
    <w:rsid w:val="00B04049"/>
    <w:rsid w:val="00B04D41"/>
    <w:rsid w:val="00B04EDD"/>
    <w:rsid w:val="00B051A2"/>
    <w:rsid w:val="00B0526C"/>
    <w:rsid w:val="00B0532F"/>
    <w:rsid w:val="00B0537A"/>
    <w:rsid w:val="00B057D7"/>
    <w:rsid w:val="00B059E4"/>
    <w:rsid w:val="00B05D18"/>
    <w:rsid w:val="00B06B24"/>
    <w:rsid w:val="00B06B54"/>
    <w:rsid w:val="00B07788"/>
    <w:rsid w:val="00B07E9E"/>
    <w:rsid w:val="00B07F0D"/>
    <w:rsid w:val="00B100D4"/>
    <w:rsid w:val="00B10A5C"/>
    <w:rsid w:val="00B11185"/>
    <w:rsid w:val="00B11299"/>
    <w:rsid w:val="00B11784"/>
    <w:rsid w:val="00B12184"/>
    <w:rsid w:val="00B124C1"/>
    <w:rsid w:val="00B128AB"/>
    <w:rsid w:val="00B137C5"/>
    <w:rsid w:val="00B13EF6"/>
    <w:rsid w:val="00B14844"/>
    <w:rsid w:val="00B14CC9"/>
    <w:rsid w:val="00B14F88"/>
    <w:rsid w:val="00B150A1"/>
    <w:rsid w:val="00B15177"/>
    <w:rsid w:val="00B15E0C"/>
    <w:rsid w:val="00B1600C"/>
    <w:rsid w:val="00B16902"/>
    <w:rsid w:val="00B16923"/>
    <w:rsid w:val="00B16D51"/>
    <w:rsid w:val="00B17124"/>
    <w:rsid w:val="00B178BC"/>
    <w:rsid w:val="00B179C0"/>
    <w:rsid w:val="00B20122"/>
    <w:rsid w:val="00B20208"/>
    <w:rsid w:val="00B202FB"/>
    <w:rsid w:val="00B20713"/>
    <w:rsid w:val="00B2097D"/>
    <w:rsid w:val="00B210A6"/>
    <w:rsid w:val="00B21E41"/>
    <w:rsid w:val="00B2212C"/>
    <w:rsid w:val="00B22246"/>
    <w:rsid w:val="00B22BAF"/>
    <w:rsid w:val="00B22E12"/>
    <w:rsid w:val="00B22E3F"/>
    <w:rsid w:val="00B23487"/>
    <w:rsid w:val="00B235BE"/>
    <w:rsid w:val="00B23698"/>
    <w:rsid w:val="00B23BB2"/>
    <w:rsid w:val="00B24020"/>
    <w:rsid w:val="00B241DA"/>
    <w:rsid w:val="00B24914"/>
    <w:rsid w:val="00B24D3D"/>
    <w:rsid w:val="00B258E7"/>
    <w:rsid w:val="00B25961"/>
    <w:rsid w:val="00B25A2A"/>
    <w:rsid w:val="00B25BC7"/>
    <w:rsid w:val="00B25E5B"/>
    <w:rsid w:val="00B26EF5"/>
    <w:rsid w:val="00B27123"/>
    <w:rsid w:val="00B2761D"/>
    <w:rsid w:val="00B276D5"/>
    <w:rsid w:val="00B307D1"/>
    <w:rsid w:val="00B30A5C"/>
    <w:rsid w:val="00B30B70"/>
    <w:rsid w:val="00B30ED4"/>
    <w:rsid w:val="00B3124A"/>
    <w:rsid w:val="00B312F7"/>
    <w:rsid w:val="00B31450"/>
    <w:rsid w:val="00B31620"/>
    <w:rsid w:val="00B31B58"/>
    <w:rsid w:val="00B31D65"/>
    <w:rsid w:val="00B31ED3"/>
    <w:rsid w:val="00B32202"/>
    <w:rsid w:val="00B32627"/>
    <w:rsid w:val="00B33DB8"/>
    <w:rsid w:val="00B345AA"/>
    <w:rsid w:val="00B34639"/>
    <w:rsid w:val="00B3464D"/>
    <w:rsid w:val="00B349D5"/>
    <w:rsid w:val="00B34E68"/>
    <w:rsid w:val="00B350C6"/>
    <w:rsid w:val="00B351BD"/>
    <w:rsid w:val="00B357C7"/>
    <w:rsid w:val="00B3583D"/>
    <w:rsid w:val="00B35A44"/>
    <w:rsid w:val="00B3604E"/>
    <w:rsid w:val="00B3605A"/>
    <w:rsid w:val="00B3675A"/>
    <w:rsid w:val="00B36967"/>
    <w:rsid w:val="00B36FED"/>
    <w:rsid w:val="00B37297"/>
    <w:rsid w:val="00B378CD"/>
    <w:rsid w:val="00B401D3"/>
    <w:rsid w:val="00B40454"/>
    <w:rsid w:val="00B40C02"/>
    <w:rsid w:val="00B41561"/>
    <w:rsid w:val="00B41A1F"/>
    <w:rsid w:val="00B41C27"/>
    <w:rsid w:val="00B41DAF"/>
    <w:rsid w:val="00B41E96"/>
    <w:rsid w:val="00B41FDF"/>
    <w:rsid w:val="00B42029"/>
    <w:rsid w:val="00B428C2"/>
    <w:rsid w:val="00B42A2B"/>
    <w:rsid w:val="00B42CD9"/>
    <w:rsid w:val="00B42D72"/>
    <w:rsid w:val="00B434C1"/>
    <w:rsid w:val="00B434FB"/>
    <w:rsid w:val="00B4359F"/>
    <w:rsid w:val="00B43A0B"/>
    <w:rsid w:val="00B43A0D"/>
    <w:rsid w:val="00B440FD"/>
    <w:rsid w:val="00B44D57"/>
    <w:rsid w:val="00B4575F"/>
    <w:rsid w:val="00B45FE6"/>
    <w:rsid w:val="00B4602C"/>
    <w:rsid w:val="00B4613E"/>
    <w:rsid w:val="00B461F4"/>
    <w:rsid w:val="00B46694"/>
    <w:rsid w:val="00B47157"/>
    <w:rsid w:val="00B47C26"/>
    <w:rsid w:val="00B500D7"/>
    <w:rsid w:val="00B501DB"/>
    <w:rsid w:val="00B50D19"/>
    <w:rsid w:val="00B50E10"/>
    <w:rsid w:val="00B50F23"/>
    <w:rsid w:val="00B51571"/>
    <w:rsid w:val="00B51920"/>
    <w:rsid w:val="00B51961"/>
    <w:rsid w:val="00B51C0F"/>
    <w:rsid w:val="00B51CE2"/>
    <w:rsid w:val="00B51D60"/>
    <w:rsid w:val="00B51EA8"/>
    <w:rsid w:val="00B52162"/>
    <w:rsid w:val="00B52486"/>
    <w:rsid w:val="00B52CF7"/>
    <w:rsid w:val="00B53403"/>
    <w:rsid w:val="00B542C8"/>
    <w:rsid w:val="00B5448F"/>
    <w:rsid w:val="00B546F5"/>
    <w:rsid w:val="00B54AC3"/>
    <w:rsid w:val="00B550A8"/>
    <w:rsid w:val="00B55243"/>
    <w:rsid w:val="00B555BD"/>
    <w:rsid w:val="00B55835"/>
    <w:rsid w:val="00B55A5C"/>
    <w:rsid w:val="00B55D4C"/>
    <w:rsid w:val="00B5665B"/>
    <w:rsid w:val="00B56714"/>
    <w:rsid w:val="00B56DDE"/>
    <w:rsid w:val="00B56F55"/>
    <w:rsid w:val="00B574A9"/>
    <w:rsid w:val="00B5761E"/>
    <w:rsid w:val="00B60651"/>
    <w:rsid w:val="00B612C4"/>
    <w:rsid w:val="00B616F0"/>
    <w:rsid w:val="00B6193E"/>
    <w:rsid w:val="00B619A1"/>
    <w:rsid w:val="00B62095"/>
    <w:rsid w:val="00B620B0"/>
    <w:rsid w:val="00B625D5"/>
    <w:rsid w:val="00B6275B"/>
    <w:rsid w:val="00B6294B"/>
    <w:rsid w:val="00B6305C"/>
    <w:rsid w:val="00B6372F"/>
    <w:rsid w:val="00B63955"/>
    <w:rsid w:val="00B63A8A"/>
    <w:rsid w:val="00B643F2"/>
    <w:rsid w:val="00B64560"/>
    <w:rsid w:val="00B645E4"/>
    <w:rsid w:val="00B64B76"/>
    <w:rsid w:val="00B653F1"/>
    <w:rsid w:val="00B65B36"/>
    <w:rsid w:val="00B66343"/>
    <w:rsid w:val="00B66778"/>
    <w:rsid w:val="00B67330"/>
    <w:rsid w:val="00B673BC"/>
    <w:rsid w:val="00B674D0"/>
    <w:rsid w:val="00B676DD"/>
    <w:rsid w:val="00B677A9"/>
    <w:rsid w:val="00B67A5A"/>
    <w:rsid w:val="00B7019D"/>
    <w:rsid w:val="00B70327"/>
    <w:rsid w:val="00B70E0F"/>
    <w:rsid w:val="00B70F54"/>
    <w:rsid w:val="00B72ACC"/>
    <w:rsid w:val="00B72F55"/>
    <w:rsid w:val="00B732ED"/>
    <w:rsid w:val="00B73CA9"/>
    <w:rsid w:val="00B740C7"/>
    <w:rsid w:val="00B74195"/>
    <w:rsid w:val="00B743FD"/>
    <w:rsid w:val="00B745D1"/>
    <w:rsid w:val="00B7465A"/>
    <w:rsid w:val="00B7493D"/>
    <w:rsid w:val="00B74E59"/>
    <w:rsid w:val="00B758A7"/>
    <w:rsid w:val="00B758F0"/>
    <w:rsid w:val="00B75A76"/>
    <w:rsid w:val="00B75E30"/>
    <w:rsid w:val="00B76525"/>
    <w:rsid w:val="00B76731"/>
    <w:rsid w:val="00B76DB7"/>
    <w:rsid w:val="00B77018"/>
    <w:rsid w:val="00B7703E"/>
    <w:rsid w:val="00B77366"/>
    <w:rsid w:val="00B773E9"/>
    <w:rsid w:val="00B77440"/>
    <w:rsid w:val="00B7758E"/>
    <w:rsid w:val="00B7767A"/>
    <w:rsid w:val="00B778C8"/>
    <w:rsid w:val="00B77C2D"/>
    <w:rsid w:val="00B80115"/>
    <w:rsid w:val="00B80263"/>
    <w:rsid w:val="00B8036D"/>
    <w:rsid w:val="00B80837"/>
    <w:rsid w:val="00B80CBE"/>
    <w:rsid w:val="00B81443"/>
    <w:rsid w:val="00B82B8F"/>
    <w:rsid w:val="00B83CCD"/>
    <w:rsid w:val="00B84BD5"/>
    <w:rsid w:val="00B84DFD"/>
    <w:rsid w:val="00B851F2"/>
    <w:rsid w:val="00B85498"/>
    <w:rsid w:val="00B85BB1"/>
    <w:rsid w:val="00B869F5"/>
    <w:rsid w:val="00B86FD1"/>
    <w:rsid w:val="00B870AA"/>
    <w:rsid w:val="00B8727A"/>
    <w:rsid w:val="00B87363"/>
    <w:rsid w:val="00B87759"/>
    <w:rsid w:val="00B87C5B"/>
    <w:rsid w:val="00B87FAE"/>
    <w:rsid w:val="00B903E0"/>
    <w:rsid w:val="00B911DD"/>
    <w:rsid w:val="00B91232"/>
    <w:rsid w:val="00B9155E"/>
    <w:rsid w:val="00B91986"/>
    <w:rsid w:val="00B9246F"/>
    <w:rsid w:val="00B927A1"/>
    <w:rsid w:val="00B9293D"/>
    <w:rsid w:val="00B92A8B"/>
    <w:rsid w:val="00B92C41"/>
    <w:rsid w:val="00B930E8"/>
    <w:rsid w:val="00B9315A"/>
    <w:rsid w:val="00B93316"/>
    <w:rsid w:val="00B93399"/>
    <w:rsid w:val="00B9353A"/>
    <w:rsid w:val="00B93549"/>
    <w:rsid w:val="00B937E4"/>
    <w:rsid w:val="00B9386B"/>
    <w:rsid w:val="00B93A4E"/>
    <w:rsid w:val="00B949FF"/>
    <w:rsid w:val="00B94ABF"/>
    <w:rsid w:val="00B94F07"/>
    <w:rsid w:val="00B95079"/>
    <w:rsid w:val="00B95285"/>
    <w:rsid w:val="00B95373"/>
    <w:rsid w:val="00B95398"/>
    <w:rsid w:val="00B95730"/>
    <w:rsid w:val="00B964CD"/>
    <w:rsid w:val="00B964D6"/>
    <w:rsid w:val="00B965F4"/>
    <w:rsid w:val="00B967BC"/>
    <w:rsid w:val="00B9797D"/>
    <w:rsid w:val="00B9798F"/>
    <w:rsid w:val="00BA0071"/>
    <w:rsid w:val="00BA00CD"/>
    <w:rsid w:val="00BA0276"/>
    <w:rsid w:val="00BA04A8"/>
    <w:rsid w:val="00BA089C"/>
    <w:rsid w:val="00BA0985"/>
    <w:rsid w:val="00BA0ADF"/>
    <w:rsid w:val="00BA0CF2"/>
    <w:rsid w:val="00BA0D0B"/>
    <w:rsid w:val="00BA0D1F"/>
    <w:rsid w:val="00BA0F9B"/>
    <w:rsid w:val="00BA2314"/>
    <w:rsid w:val="00BA2BAD"/>
    <w:rsid w:val="00BA2C11"/>
    <w:rsid w:val="00BA2CD0"/>
    <w:rsid w:val="00BA3491"/>
    <w:rsid w:val="00BA3740"/>
    <w:rsid w:val="00BA458B"/>
    <w:rsid w:val="00BA5415"/>
    <w:rsid w:val="00BA5549"/>
    <w:rsid w:val="00BA6A78"/>
    <w:rsid w:val="00BA6DFE"/>
    <w:rsid w:val="00BA73DE"/>
    <w:rsid w:val="00BB005C"/>
    <w:rsid w:val="00BB006C"/>
    <w:rsid w:val="00BB022E"/>
    <w:rsid w:val="00BB09F9"/>
    <w:rsid w:val="00BB0C70"/>
    <w:rsid w:val="00BB16AF"/>
    <w:rsid w:val="00BB190B"/>
    <w:rsid w:val="00BB25D5"/>
    <w:rsid w:val="00BB310E"/>
    <w:rsid w:val="00BB3528"/>
    <w:rsid w:val="00BB3BB1"/>
    <w:rsid w:val="00BB3D3D"/>
    <w:rsid w:val="00BB4421"/>
    <w:rsid w:val="00BB44DF"/>
    <w:rsid w:val="00BB459B"/>
    <w:rsid w:val="00BB49CD"/>
    <w:rsid w:val="00BB4BA2"/>
    <w:rsid w:val="00BB5053"/>
    <w:rsid w:val="00BB57B7"/>
    <w:rsid w:val="00BB5AFA"/>
    <w:rsid w:val="00BB5B79"/>
    <w:rsid w:val="00BB5BE7"/>
    <w:rsid w:val="00BB6946"/>
    <w:rsid w:val="00BB6D9D"/>
    <w:rsid w:val="00BB7245"/>
    <w:rsid w:val="00BB767A"/>
    <w:rsid w:val="00BB7915"/>
    <w:rsid w:val="00BB7AA3"/>
    <w:rsid w:val="00BB7CEC"/>
    <w:rsid w:val="00BC0002"/>
    <w:rsid w:val="00BC00C5"/>
    <w:rsid w:val="00BC024E"/>
    <w:rsid w:val="00BC0946"/>
    <w:rsid w:val="00BC0C2B"/>
    <w:rsid w:val="00BC0DCA"/>
    <w:rsid w:val="00BC0EFC"/>
    <w:rsid w:val="00BC1366"/>
    <w:rsid w:val="00BC18BD"/>
    <w:rsid w:val="00BC20FD"/>
    <w:rsid w:val="00BC2322"/>
    <w:rsid w:val="00BC2453"/>
    <w:rsid w:val="00BC2A20"/>
    <w:rsid w:val="00BC2D70"/>
    <w:rsid w:val="00BC2FA7"/>
    <w:rsid w:val="00BC3177"/>
    <w:rsid w:val="00BC3497"/>
    <w:rsid w:val="00BC4025"/>
    <w:rsid w:val="00BC501F"/>
    <w:rsid w:val="00BC554E"/>
    <w:rsid w:val="00BC5840"/>
    <w:rsid w:val="00BC5C9E"/>
    <w:rsid w:val="00BC60B5"/>
    <w:rsid w:val="00BC6318"/>
    <w:rsid w:val="00BC642C"/>
    <w:rsid w:val="00BC6C6A"/>
    <w:rsid w:val="00BC6D69"/>
    <w:rsid w:val="00BC7A1B"/>
    <w:rsid w:val="00BC7D23"/>
    <w:rsid w:val="00BC7D75"/>
    <w:rsid w:val="00BD03E6"/>
    <w:rsid w:val="00BD0574"/>
    <w:rsid w:val="00BD059F"/>
    <w:rsid w:val="00BD09C0"/>
    <w:rsid w:val="00BD1759"/>
    <w:rsid w:val="00BD1CDC"/>
    <w:rsid w:val="00BD1E74"/>
    <w:rsid w:val="00BD2BEF"/>
    <w:rsid w:val="00BD36DC"/>
    <w:rsid w:val="00BD380D"/>
    <w:rsid w:val="00BD4595"/>
    <w:rsid w:val="00BD4867"/>
    <w:rsid w:val="00BD4BA4"/>
    <w:rsid w:val="00BD4BB7"/>
    <w:rsid w:val="00BD4BE7"/>
    <w:rsid w:val="00BD53CA"/>
    <w:rsid w:val="00BD55CA"/>
    <w:rsid w:val="00BD5DA0"/>
    <w:rsid w:val="00BD63DE"/>
    <w:rsid w:val="00BD673B"/>
    <w:rsid w:val="00BD69C5"/>
    <w:rsid w:val="00BD6A49"/>
    <w:rsid w:val="00BD6D0B"/>
    <w:rsid w:val="00BD76F8"/>
    <w:rsid w:val="00BE08DE"/>
    <w:rsid w:val="00BE0966"/>
    <w:rsid w:val="00BE0A2B"/>
    <w:rsid w:val="00BE0DE2"/>
    <w:rsid w:val="00BE105E"/>
    <w:rsid w:val="00BE1DEA"/>
    <w:rsid w:val="00BE2381"/>
    <w:rsid w:val="00BE27CD"/>
    <w:rsid w:val="00BE28EC"/>
    <w:rsid w:val="00BE2D7B"/>
    <w:rsid w:val="00BE333D"/>
    <w:rsid w:val="00BE3562"/>
    <w:rsid w:val="00BE38C0"/>
    <w:rsid w:val="00BE433B"/>
    <w:rsid w:val="00BE506D"/>
    <w:rsid w:val="00BE545C"/>
    <w:rsid w:val="00BE5D0B"/>
    <w:rsid w:val="00BE629A"/>
    <w:rsid w:val="00BE645B"/>
    <w:rsid w:val="00BE6963"/>
    <w:rsid w:val="00BE69DC"/>
    <w:rsid w:val="00BE6E36"/>
    <w:rsid w:val="00BE7183"/>
    <w:rsid w:val="00BE728E"/>
    <w:rsid w:val="00BF0B96"/>
    <w:rsid w:val="00BF0C44"/>
    <w:rsid w:val="00BF0C61"/>
    <w:rsid w:val="00BF0ED3"/>
    <w:rsid w:val="00BF193B"/>
    <w:rsid w:val="00BF1C60"/>
    <w:rsid w:val="00BF1D9E"/>
    <w:rsid w:val="00BF1FF5"/>
    <w:rsid w:val="00BF21BF"/>
    <w:rsid w:val="00BF267C"/>
    <w:rsid w:val="00BF3782"/>
    <w:rsid w:val="00BF3AFA"/>
    <w:rsid w:val="00BF3B79"/>
    <w:rsid w:val="00BF3DEB"/>
    <w:rsid w:val="00BF45A0"/>
    <w:rsid w:val="00BF4810"/>
    <w:rsid w:val="00BF4D64"/>
    <w:rsid w:val="00BF4FB4"/>
    <w:rsid w:val="00BF50E5"/>
    <w:rsid w:val="00BF5600"/>
    <w:rsid w:val="00BF5A5B"/>
    <w:rsid w:val="00BF5AB1"/>
    <w:rsid w:val="00BF5AE1"/>
    <w:rsid w:val="00BF5DC2"/>
    <w:rsid w:val="00BF5E38"/>
    <w:rsid w:val="00BF62FF"/>
    <w:rsid w:val="00BF6741"/>
    <w:rsid w:val="00BF6B5C"/>
    <w:rsid w:val="00BF6B87"/>
    <w:rsid w:val="00BF6E7A"/>
    <w:rsid w:val="00BF6FC2"/>
    <w:rsid w:val="00BF743C"/>
    <w:rsid w:val="00BF75E0"/>
    <w:rsid w:val="00BF7831"/>
    <w:rsid w:val="00BF79B7"/>
    <w:rsid w:val="00BF7AE6"/>
    <w:rsid w:val="00C00024"/>
    <w:rsid w:val="00C0060B"/>
    <w:rsid w:val="00C00B92"/>
    <w:rsid w:val="00C00F70"/>
    <w:rsid w:val="00C0120E"/>
    <w:rsid w:val="00C01892"/>
    <w:rsid w:val="00C0193F"/>
    <w:rsid w:val="00C01D80"/>
    <w:rsid w:val="00C01E99"/>
    <w:rsid w:val="00C02030"/>
    <w:rsid w:val="00C025BF"/>
    <w:rsid w:val="00C027A2"/>
    <w:rsid w:val="00C02E54"/>
    <w:rsid w:val="00C0370F"/>
    <w:rsid w:val="00C037D3"/>
    <w:rsid w:val="00C0397C"/>
    <w:rsid w:val="00C03BD8"/>
    <w:rsid w:val="00C043DC"/>
    <w:rsid w:val="00C044CF"/>
    <w:rsid w:val="00C04A28"/>
    <w:rsid w:val="00C05183"/>
    <w:rsid w:val="00C05542"/>
    <w:rsid w:val="00C06072"/>
    <w:rsid w:val="00C068D6"/>
    <w:rsid w:val="00C072A2"/>
    <w:rsid w:val="00C07434"/>
    <w:rsid w:val="00C07538"/>
    <w:rsid w:val="00C076D6"/>
    <w:rsid w:val="00C079D0"/>
    <w:rsid w:val="00C07D44"/>
    <w:rsid w:val="00C10BF4"/>
    <w:rsid w:val="00C10E2F"/>
    <w:rsid w:val="00C110EB"/>
    <w:rsid w:val="00C1163E"/>
    <w:rsid w:val="00C11779"/>
    <w:rsid w:val="00C11DD4"/>
    <w:rsid w:val="00C11F94"/>
    <w:rsid w:val="00C12311"/>
    <w:rsid w:val="00C1233E"/>
    <w:rsid w:val="00C12A6A"/>
    <w:rsid w:val="00C12BAF"/>
    <w:rsid w:val="00C13279"/>
    <w:rsid w:val="00C13F68"/>
    <w:rsid w:val="00C13FEF"/>
    <w:rsid w:val="00C14850"/>
    <w:rsid w:val="00C149AA"/>
    <w:rsid w:val="00C15D93"/>
    <w:rsid w:val="00C163F7"/>
    <w:rsid w:val="00C16484"/>
    <w:rsid w:val="00C16EB1"/>
    <w:rsid w:val="00C17ECB"/>
    <w:rsid w:val="00C20315"/>
    <w:rsid w:val="00C203CF"/>
    <w:rsid w:val="00C2048C"/>
    <w:rsid w:val="00C219B6"/>
    <w:rsid w:val="00C2238A"/>
    <w:rsid w:val="00C227AF"/>
    <w:rsid w:val="00C231B5"/>
    <w:rsid w:val="00C2320B"/>
    <w:rsid w:val="00C23991"/>
    <w:rsid w:val="00C23E7E"/>
    <w:rsid w:val="00C240CE"/>
    <w:rsid w:val="00C24AAF"/>
    <w:rsid w:val="00C256FC"/>
    <w:rsid w:val="00C257EF"/>
    <w:rsid w:val="00C25988"/>
    <w:rsid w:val="00C2619C"/>
    <w:rsid w:val="00C26930"/>
    <w:rsid w:val="00C2718B"/>
    <w:rsid w:val="00C27524"/>
    <w:rsid w:val="00C27C2F"/>
    <w:rsid w:val="00C303E1"/>
    <w:rsid w:val="00C303FE"/>
    <w:rsid w:val="00C30657"/>
    <w:rsid w:val="00C30A09"/>
    <w:rsid w:val="00C30CC7"/>
    <w:rsid w:val="00C30D2E"/>
    <w:rsid w:val="00C30E6E"/>
    <w:rsid w:val="00C31087"/>
    <w:rsid w:val="00C318D5"/>
    <w:rsid w:val="00C31CFD"/>
    <w:rsid w:val="00C32204"/>
    <w:rsid w:val="00C329E1"/>
    <w:rsid w:val="00C32A3D"/>
    <w:rsid w:val="00C32F4C"/>
    <w:rsid w:val="00C3316F"/>
    <w:rsid w:val="00C336FF"/>
    <w:rsid w:val="00C339EC"/>
    <w:rsid w:val="00C34446"/>
    <w:rsid w:val="00C3470E"/>
    <w:rsid w:val="00C34BB2"/>
    <w:rsid w:val="00C34F0E"/>
    <w:rsid w:val="00C351E5"/>
    <w:rsid w:val="00C353A4"/>
    <w:rsid w:val="00C35C2F"/>
    <w:rsid w:val="00C35D5C"/>
    <w:rsid w:val="00C36652"/>
    <w:rsid w:val="00C36729"/>
    <w:rsid w:val="00C36A37"/>
    <w:rsid w:val="00C36CA0"/>
    <w:rsid w:val="00C378FC"/>
    <w:rsid w:val="00C37EE1"/>
    <w:rsid w:val="00C4004A"/>
    <w:rsid w:val="00C4056E"/>
    <w:rsid w:val="00C408C4"/>
    <w:rsid w:val="00C40B05"/>
    <w:rsid w:val="00C4162E"/>
    <w:rsid w:val="00C4171C"/>
    <w:rsid w:val="00C41A37"/>
    <w:rsid w:val="00C41FDB"/>
    <w:rsid w:val="00C42678"/>
    <w:rsid w:val="00C4290E"/>
    <w:rsid w:val="00C429B1"/>
    <w:rsid w:val="00C4335F"/>
    <w:rsid w:val="00C43565"/>
    <w:rsid w:val="00C436FD"/>
    <w:rsid w:val="00C43941"/>
    <w:rsid w:val="00C439F1"/>
    <w:rsid w:val="00C44181"/>
    <w:rsid w:val="00C448BA"/>
    <w:rsid w:val="00C44A44"/>
    <w:rsid w:val="00C44E4D"/>
    <w:rsid w:val="00C4528F"/>
    <w:rsid w:val="00C457BC"/>
    <w:rsid w:val="00C4588E"/>
    <w:rsid w:val="00C45FEB"/>
    <w:rsid w:val="00C46AA3"/>
    <w:rsid w:val="00C471EA"/>
    <w:rsid w:val="00C47364"/>
    <w:rsid w:val="00C47440"/>
    <w:rsid w:val="00C47FD4"/>
    <w:rsid w:val="00C503A5"/>
    <w:rsid w:val="00C509B0"/>
    <w:rsid w:val="00C51F55"/>
    <w:rsid w:val="00C52AA9"/>
    <w:rsid w:val="00C52D5B"/>
    <w:rsid w:val="00C52E9D"/>
    <w:rsid w:val="00C5378D"/>
    <w:rsid w:val="00C53A5C"/>
    <w:rsid w:val="00C53B52"/>
    <w:rsid w:val="00C53C40"/>
    <w:rsid w:val="00C53D90"/>
    <w:rsid w:val="00C54195"/>
    <w:rsid w:val="00C543BE"/>
    <w:rsid w:val="00C54494"/>
    <w:rsid w:val="00C5479E"/>
    <w:rsid w:val="00C55DFD"/>
    <w:rsid w:val="00C56060"/>
    <w:rsid w:val="00C56075"/>
    <w:rsid w:val="00C56643"/>
    <w:rsid w:val="00C5758B"/>
    <w:rsid w:val="00C57AD6"/>
    <w:rsid w:val="00C57D0D"/>
    <w:rsid w:val="00C60104"/>
    <w:rsid w:val="00C605A2"/>
    <w:rsid w:val="00C608CE"/>
    <w:rsid w:val="00C60F9F"/>
    <w:rsid w:val="00C61A13"/>
    <w:rsid w:val="00C61B87"/>
    <w:rsid w:val="00C61C9E"/>
    <w:rsid w:val="00C61CE6"/>
    <w:rsid w:val="00C61DBF"/>
    <w:rsid w:val="00C62691"/>
    <w:rsid w:val="00C62948"/>
    <w:rsid w:val="00C63911"/>
    <w:rsid w:val="00C64306"/>
    <w:rsid w:val="00C64328"/>
    <w:rsid w:val="00C6448E"/>
    <w:rsid w:val="00C6544D"/>
    <w:rsid w:val="00C65487"/>
    <w:rsid w:val="00C65938"/>
    <w:rsid w:val="00C66282"/>
    <w:rsid w:val="00C66531"/>
    <w:rsid w:val="00C66724"/>
    <w:rsid w:val="00C667E6"/>
    <w:rsid w:val="00C66AD4"/>
    <w:rsid w:val="00C66AF4"/>
    <w:rsid w:val="00C67504"/>
    <w:rsid w:val="00C67C90"/>
    <w:rsid w:val="00C67C9C"/>
    <w:rsid w:val="00C7057B"/>
    <w:rsid w:val="00C7061D"/>
    <w:rsid w:val="00C71640"/>
    <w:rsid w:val="00C7218B"/>
    <w:rsid w:val="00C72CBB"/>
    <w:rsid w:val="00C7366F"/>
    <w:rsid w:val="00C73692"/>
    <w:rsid w:val="00C73714"/>
    <w:rsid w:val="00C73A06"/>
    <w:rsid w:val="00C73A1C"/>
    <w:rsid w:val="00C73ACE"/>
    <w:rsid w:val="00C73C9F"/>
    <w:rsid w:val="00C7406C"/>
    <w:rsid w:val="00C7466D"/>
    <w:rsid w:val="00C74985"/>
    <w:rsid w:val="00C75189"/>
    <w:rsid w:val="00C75B88"/>
    <w:rsid w:val="00C765EB"/>
    <w:rsid w:val="00C771DF"/>
    <w:rsid w:val="00C77A1A"/>
    <w:rsid w:val="00C77DD3"/>
    <w:rsid w:val="00C8030F"/>
    <w:rsid w:val="00C808B5"/>
    <w:rsid w:val="00C80F64"/>
    <w:rsid w:val="00C8108C"/>
    <w:rsid w:val="00C811FE"/>
    <w:rsid w:val="00C812C7"/>
    <w:rsid w:val="00C81B78"/>
    <w:rsid w:val="00C8224D"/>
    <w:rsid w:val="00C822CB"/>
    <w:rsid w:val="00C82437"/>
    <w:rsid w:val="00C83014"/>
    <w:rsid w:val="00C830AA"/>
    <w:rsid w:val="00C83231"/>
    <w:rsid w:val="00C83DA1"/>
    <w:rsid w:val="00C84192"/>
    <w:rsid w:val="00C846DA"/>
    <w:rsid w:val="00C85021"/>
    <w:rsid w:val="00C8590C"/>
    <w:rsid w:val="00C85A79"/>
    <w:rsid w:val="00C86061"/>
    <w:rsid w:val="00C86804"/>
    <w:rsid w:val="00C86A8F"/>
    <w:rsid w:val="00C8705C"/>
    <w:rsid w:val="00C870C1"/>
    <w:rsid w:val="00C872A9"/>
    <w:rsid w:val="00C872DC"/>
    <w:rsid w:val="00C87515"/>
    <w:rsid w:val="00C87682"/>
    <w:rsid w:val="00C87BDC"/>
    <w:rsid w:val="00C9019E"/>
    <w:rsid w:val="00C90A6D"/>
    <w:rsid w:val="00C90EB9"/>
    <w:rsid w:val="00C91240"/>
    <w:rsid w:val="00C9229F"/>
    <w:rsid w:val="00C926C7"/>
    <w:rsid w:val="00C9281B"/>
    <w:rsid w:val="00C92C5A"/>
    <w:rsid w:val="00C92D0C"/>
    <w:rsid w:val="00C92FB4"/>
    <w:rsid w:val="00C930EA"/>
    <w:rsid w:val="00C934A0"/>
    <w:rsid w:val="00C937D6"/>
    <w:rsid w:val="00C93A0F"/>
    <w:rsid w:val="00C93DB4"/>
    <w:rsid w:val="00C9435D"/>
    <w:rsid w:val="00C9448F"/>
    <w:rsid w:val="00C95297"/>
    <w:rsid w:val="00C95876"/>
    <w:rsid w:val="00C959A9"/>
    <w:rsid w:val="00C96547"/>
    <w:rsid w:val="00C965C2"/>
    <w:rsid w:val="00C96CB4"/>
    <w:rsid w:val="00C96DB3"/>
    <w:rsid w:val="00CA0A6B"/>
    <w:rsid w:val="00CA0F2D"/>
    <w:rsid w:val="00CA13C4"/>
    <w:rsid w:val="00CA1C0A"/>
    <w:rsid w:val="00CA24B6"/>
    <w:rsid w:val="00CA29D1"/>
    <w:rsid w:val="00CA2DC9"/>
    <w:rsid w:val="00CA3170"/>
    <w:rsid w:val="00CA346E"/>
    <w:rsid w:val="00CA34AC"/>
    <w:rsid w:val="00CA3514"/>
    <w:rsid w:val="00CA3C49"/>
    <w:rsid w:val="00CA3D5E"/>
    <w:rsid w:val="00CA4A23"/>
    <w:rsid w:val="00CA4B66"/>
    <w:rsid w:val="00CA4F92"/>
    <w:rsid w:val="00CA534D"/>
    <w:rsid w:val="00CA56B2"/>
    <w:rsid w:val="00CA5E56"/>
    <w:rsid w:val="00CA74D2"/>
    <w:rsid w:val="00CB0995"/>
    <w:rsid w:val="00CB0C1E"/>
    <w:rsid w:val="00CB14FE"/>
    <w:rsid w:val="00CB1665"/>
    <w:rsid w:val="00CB1AFE"/>
    <w:rsid w:val="00CB1DF6"/>
    <w:rsid w:val="00CB2202"/>
    <w:rsid w:val="00CB23CD"/>
    <w:rsid w:val="00CB2562"/>
    <w:rsid w:val="00CB28FF"/>
    <w:rsid w:val="00CB2ACF"/>
    <w:rsid w:val="00CB2DE5"/>
    <w:rsid w:val="00CB3718"/>
    <w:rsid w:val="00CB39D2"/>
    <w:rsid w:val="00CB4A73"/>
    <w:rsid w:val="00CB4CB1"/>
    <w:rsid w:val="00CB5557"/>
    <w:rsid w:val="00CB5CCA"/>
    <w:rsid w:val="00CB5E8D"/>
    <w:rsid w:val="00CB5FBD"/>
    <w:rsid w:val="00CB616E"/>
    <w:rsid w:val="00CB6392"/>
    <w:rsid w:val="00CB6B83"/>
    <w:rsid w:val="00CB799A"/>
    <w:rsid w:val="00CC04FB"/>
    <w:rsid w:val="00CC0680"/>
    <w:rsid w:val="00CC09FB"/>
    <w:rsid w:val="00CC0B8A"/>
    <w:rsid w:val="00CC0C3D"/>
    <w:rsid w:val="00CC1816"/>
    <w:rsid w:val="00CC2179"/>
    <w:rsid w:val="00CC28FD"/>
    <w:rsid w:val="00CC2B3B"/>
    <w:rsid w:val="00CC2D73"/>
    <w:rsid w:val="00CC2E88"/>
    <w:rsid w:val="00CC2F56"/>
    <w:rsid w:val="00CC3869"/>
    <w:rsid w:val="00CC3A3A"/>
    <w:rsid w:val="00CC3A7B"/>
    <w:rsid w:val="00CC4009"/>
    <w:rsid w:val="00CC42B6"/>
    <w:rsid w:val="00CC44F5"/>
    <w:rsid w:val="00CC4883"/>
    <w:rsid w:val="00CC488C"/>
    <w:rsid w:val="00CC4DD8"/>
    <w:rsid w:val="00CC584C"/>
    <w:rsid w:val="00CC5F57"/>
    <w:rsid w:val="00CC6249"/>
    <w:rsid w:val="00CC696E"/>
    <w:rsid w:val="00CC6A55"/>
    <w:rsid w:val="00CC73FC"/>
    <w:rsid w:val="00CC7AA0"/>
    <w:rsid w:val="00CD1356"/>
    <w:rsid w:val="00CD1D38"/>
    <w:rsid w:val="00CD1D61"/>
    <w:rsid w:val="00CD206D"/>
    <w:rsid w:val="00CD2399"/>
    <w:rsid w:val="00CD23C8"/>
    <w:rsid w:val="00CD2BA6"/>
    <w:rsid w:val="00CD3AC5"/>
    <w:rsid w:val="00CD433C"/>
    <w:rsid w:val="00CD452A"/>
    <w:rsid w:val="00CD49FE"/>
    <w:rsid w:val="00CD4A7D"/>
    <w:rsid w:val="00CD4F65"/>
    <w:rsid w:val="00CD4FCD"/>
    <w:rsid w:val="00CD5051"/>
    <w:rsid w:val="00CD523C"/>
    <w:rsid w:val="00CD5D17"/>
    <w:rsid w:val="00CD5E32"/>
    <w:rsid w:val="00CD610C"/>
    <w:rsid w:val="00CD6137"/>
    <w:rsid w:val="00CD6181"/>
    <w:rsid w:val="00CD6A24"/>
    <w:rsid w:val="00CD6AF1"/>
    <w:rsid w:val="00CD7016"/>
    <w:rsid w:val="00CD70BC"/>
    <w:rsid w:val="00CD76D7"/>
    <w:rsid w:val="00CD7C4E"/>
    <w:rsid w:val="00CD7FD9"/>
    <w:rsid w:val="00CE0FB6"/>
    <w:rsid w:val="00CE1453"/>
    <w:rsid w:val="00CE18D5"/>
    <w:rsid w:val="00CE1D15"/>
    <w:rsid w:val="00CE2024"/>
    <w:rsid w:val="00CE233B"/>
    <w:rsid w:val="00CE2F81"/>
    <w:rsid w:val="00CE3052"/>
    <w:rsid w:val="00CE349D"/>
    <w:rsid w:val="00CE3A1F"/>
    <w:rsid w:val="00CE3C0A"/>
    <w:rsid w:val="00CE3DC7"/>
    <w:rsid w:val="00CE3E7A"/>
    <w:rsid w:val="00CE4281"/>
    <w:rsid w:val="00CE4633"/>
    <w:rsid w:val="00CE4CED"/>
    <w:rsid w:val="00CE51AA"/>
    <w:rsid w:val="00CE60C4"/>
    <w:rsid w:val="00CE6705"/>
    <w:rsid w:val="00CE6897"/>
    <w:rsid w:val="00CE6B43"/>
    <w:rsid w:val="00CE6F42"/>
    <w:rsid w:val="00CE758D"/>
    <w:rsid w:val="00CE789C"/>
    <w:rsid w:val="00CE7901"/>
    <w:rsid w:val="00CE7A9D"/>
    <w:rsid w:val="00CE7E11"/>
    <w:rsid w:val="00CF0246"/>
    <w:rsid w:val="00CF051C"/>
    <w:rsid w:val="00CF0EC7"/>
    <w:rsid w:val="00CF14C3"/>
    <w:rsid w:val="00CF2555"/>
    <w:rsid w:val="00CF271D"/>
    <w:rsid w:val="00CF29F0"/>
    <w:rsid w:val="00CF2C33"/>
    <w:rsid w:val="00CF2EEC"/>
    <w:rsid w:val="00CF32D0"/>
    <w:rsid w:val="00CF345E"/>
    <w:rsid w:val="00CF350C"/>
    <w:rsid w:val="00CF359B"/>
    <w:rsid w:val="00CF35F4"/>
    <w:rsid w:val="00CF365A"/>
    <w:rsid w:val="00CF37F8"/>
    <w:rsid w:val="00CF3D94"/>
    <w:rsid w:val="00CF4170"/>
    <w:rsid w:val="00CF41AC"/>
    <w:rsid w:val="00CF46B6"/>
    <w:rsid w:val="00CF48BA"/>
    <w:rsid w:val="00CF48C8"/>
    <w:rsid w:val="00CF4AC3"/>
    <w:rsid w:val="00CF4C49"/>
    <w:rsid w:val="00CF5045"/>
    <w:rsid w:val="00CF523E"/>
    <w:rsid w:val="00CF5263"/>
    <w:rsid w:val="00CF558B"/>
    <w:rsid w:val="00CF5766"/>
    <w:rsid w:val="00CF62B6"/>
    <w:rsid w:val="00CF633B"/>
    <w:rsid w:val="00CF663C"/>
    <w:rsid w:val="00CF6792"/>
    <w:rsid w:val="00CF6D56"/>
    <w:rsid w:val="00CF75DB"/>
    <w:rsid w:val="00CF76B9"/>
    <w:rsid w:val="00CF7CEF"/>
    <w:rsid w:val="00D00236"/>
    <w:rsid w:val="00D0026B"/>
    <w:rsid w:val="00D008AC"/>
    <w:rsid w:val="00D01093"/>
    <w:rsid w:val="00D010EE"/>
    <w:rsid w:val="00D013B9"/>
    <w:rsid w:val="00D01738"/>
    <w:rsid w:val="00D01893"/>
    <w:rsid w:val="00D01C7E"/>
    <w:rsid w:val="00D02AAA"/>
    <w:rsid w:val="00D02B11"/>
    <w:rsid w:val="00D0365C"/>
    <w:rsid w:val="00D03948"/>
    <w:rsid w:val="00D03C3B"/>
    <w:rsid w:val="00D03D02"/>
    <w:rsid w:val="00D04128"/>
    <w:rsid w:val="00D0443F"/>
    <w:rsid w:val="00D05974"/>
    <w:rsid w:val="00D05D68"/>
    <w:rsid w:val="00D06091"/>
    <w:rsid w:val="00D0667B"/>
    <w:rsid w:val="00D06B36"/>
    <w:rsid w:val="00D07407"/>
    <w:rsid w:val="00D07774"/>
    <w:rsid w:val="00D07F68"/>
    <w:rsid w:val="00D105EF"/>
    <w:rsid w:val="00D10767"/>
    <w:rsid w:val="00D10E22"/>
    <w:rsid w:val="00D11257"/>
    <w:rsid w:val="00D115DB"/>
    <w:rsid w:val="00D11604"/>
    <w:rsid w:val="00D1160F"/>
    <w:rsid w:val="00D11763"/>
    <w:rsid w:val="00D118C2"/>
    <w:rsid w:val="00D11F27"/>
    <w:rsid w:val="00D1220E"/>
    <w:rsid w:val="00D123F3"/>
    <w:rsid w:val="00D1252A"/>
    <w:rsid w:val="00D1269D"/>
    <w:rsid w:val="00D12D49"/>
    <w:rsid w:val="00D139D8"/>
    <w:rsid w:val="00D14180"/>
    <w:rsid w:val="00D14CC4"/>
    <w:rsid w:val="00D151E3"/>
    <w:rsid w:val="00D151F0"/>
    <w:rsid w:val="00D1523B"/>
    <w:rsid w:val="00D1590A"/>
    <w:rsid w:val="00D1590F"/>
    <w:rsid w:val="00D16044"/>
    <w:rsid w:val="00D16360"/>
    <w:rsid w:val="00D1672C"/>
    <w:rsid w:val="00D167E1"/>
    <w:rsid w:val="00D16BEC"/>
    <w:rsid w:val="00D16C76"/>
    <w:rsid w:val="00D176E9"/>
    <w:rsid w:val="00D2014A"/>
    <w:rsid w:val="00D203F3"/>
    <w:rsid w:val="00D208C7"/>
    <w:rsid w:val="00D20C6C"/>
    <w:rsid w:val="00D20E1E"/>
    <w:rsid w:val="00D212DB"/>
    <w:rsid w:val="00D21778"/>
    <w:rsid w:val="00D22232"/>
    <w:rsid w:val="00D22B84"/>
    <w:rsid w:val="00D22DA8"/>
    <w:rsid w:val="00D230D8"/>
    <w:rsid w:val="00D2385E"/>
    <w:rsid w:val="00D23C1D"/>
    <w:rsid w:val="00D23FF8"/>
    <w:rsid w:val="00D242A9"/>
    <w:rsid w:val="00D24443"/>
    <w:rsid w:val="00D2485C"/>
    <w:rsid w:val="00D24BBB"/>
    <w:rsid w:val="00D24DAA"/>
    <w:rsid w:val="00D2528F"/>
    <w:rsid w:val="00D253ED"/>
    <w:rsid w:val="00D2563C"/>
    <w:rsid w:val="00D256B6"/>
    <w:rsid w:val="00D256E7"/>
    <w:rsid w:val="00D2598F"/>
    <w:rsid w:val="00D25A15"/>
    <w:rsid w:val="00D25B66"/>
    <w:rsid w:val="00D26102"/>
    <w:rsid w:val="00D26A38"/>
    <w:rsid w:val="00D26EDE"/>
    <w:rsid w:val="00D2799F"/>
    <w:rsid w:val="00D27B44"/>
    <w:rsid w:val="00D30837"/>
    <w:rsid w:val="00D310FD"/>
    <w:rsid w:val="00D315CE"/>
    <w:rsid w:val="00D315F7"/>
    <w:rsid w:val="00D319A8"/>
    <w:rsid w:val="00D31CD2"/>
    <w:rsid w:val="00D32239"/>
    <w:rsid w:val="00D3283C"/>
    <w:rsid w:val="00D32868"/>
    <w:rsid w:val="00D3294E"/>
    <w:rsid w:val="00D32A29"/>
    <w:rsid w:val="00D32AB7"/>
    <w:rsid w:val="00D32F8A"/>
    <w:rsid w:val="00D330AA"/>
    <w:rsid w:val="00D333C6"/>
    <w:rsid w:val="00D33779"/>
    <w:rsid w:val="00D33B27"/>
    <w:rsid w:val="00D345FF"/>
    <w:rsid w:val="00D34903"/>
    <w:rsid w:val="00D35145"/>
    <w:rsid w:val="00D35231"/>
    <w:rsid w:val="00D355C4"/>
    <w:rsid w:val="00D35774"/>
    <w:rsid w:val="00D3588A"/>
    <w:rsid w:val="00D35C6C"/>
    <w:rsid w:val="00D35CE4"/>
    <w:rsid w:val="00D361C2"/>
    <w:rsid w:val="00D3637A"/>
    <w:rsid w:val="00D363FF"/>
    <w:rsid w:val="00D36611"/>
    <w:rsid w:val="00D366B4"/>
    <w:rsid w:val="00D3754B"/>
    <w:rsid w:val="00D37579"/>
    <w:rsid w:val="00D37B69"/>
    <w:rsid w:val="00D37E7C"/>
    <w:rsid w:val="00D40394"/>
    <w:rsid w:val="00D4071D"/>
    <w:rsid w:val="00D4108B"/>
    <w:rsid w:val="00D410E9"/>
    <w:rsid w:val="00D412AE"/>
    <w:rsid w:val="00D416F2"/>
    <w:rsid w:val="00D41C14"/>
    <w:rsid w:val="00D41CBE"/>
    <w:rsid w:val="00D41EDC"/>
    <w:rsid w:val="00D422B6"/>
    <w:rsid w:val="00D42B09"/>
    <w:rsid w:val="00D42C79"/>
    <w:rsid w:val="00D4313F"/>
    <w:rsid w:val="00D43A77"/>
    <w:rsid w:val="00D44311"/>
    <w:rsid w:val="00D4444C"/>
    <w:rsid w:val="00D44AF2"/>
    <w:rsid w:val="00D4518C"/>
    <w:rsid w:val="00D45362"/>
    <w:rsid w:val="00D45A65"/>
    <w:rsid w:val="00D46A35"/>
    <w:rsid w:val="00D46BB5"/>
    <w:rsid w:val="00D46BCC"/>
    <w:rsid w:val="00D47126"/>
    <w:rsid w:val="00D47334"/>
    <w:rsid w:val="00D473DB"/>
    <w:rsid w:val="00D475DF"/>
    <w:rsid w:val="00D47633"/>
    <w:rsid w:val="00D47774"/>
    <w:rsid w:val="00D478C4"/>
    <w:rsid w:val="00D4790F"/>
    <w:rsid w:val="00D47BCA"/>
    <w:rsid w:val="00D50310"/>
    <w:rsid w:val="00D5059B"/>
    <w:rsid w:val="00D50719"/>
    <w:rsid w:val="00D51442"/>
    <w:rsid w:val="00D5168D"/>
    <w:rsid w:val="00D51849"/>
    <w:rsid w:val="00D51F72"/>
    <w:rsid w:val="00D51FD4"/>
    <w:rsid w:val="00D521DE"/>
    <w:rsid w:val="00D525A6"/>
    <w:rsid w:val="00D5264B"/>
    <w:rsid w:val="00D52980"/>
    <w:rsid w:val="00D52F0C"/>
    <w:rsid w:val="00D53B0A"/>
    <w:rsid w:val="00D53CC3"/>
    <w:rsid w:val="00D53FD5"/>
    <w:rsid w:val="00D54187"/>
    <w:rsid w:val="00D546F5"/>
    <w:rsid w:val="00D548B0"/>
    <w:rsid w:val="00D54E5F"/>
    <w:rsid w:val="00D55574"/>
    <w:rsid w:val="00D55E2E"/>
    <w:rsid w:val="00D564DF"/>
    <w:rsid w:val="00D5652F"/>
    <w:rsid w:val="00D56B4C"/>
    <w:rsid w:val="00D57216"/>
    <w:rsid w:val="00D578F5"/>
    <w:rsid w:val="00D57C3C"/>
    <w:rsid w:val="00D57C79"/>
    <w:rsid w:val="00D60125"/>
    <w:rsid w:val="00D60170"/>
    <w:rsid w:val="00D60206"/>
    <w:rsid w:val="00D6040F"/>
    <w:rsid w:val="00D60510"/>
    <w:rsid w:val="00D60566"/>
    <w:rsid w:val="00D611DC"/>
    <w:rsid w:val="00D6129E"/>
    <w:rsid w:val="00D612DA"/>
    <w:rsid w:val="00D61601"/>
    <w:rsid w:val="00D61793"/>
    <w:rsid w:val="00D61BD0"/>
    <w:rsid w:val="00D61C7D"/>
    <w:rsid w:val="00D62020"/>
    <w:rsid w:val="00D623D1"/>
    <w:rsid w:val="00D6269C"/>
    <w:rsid w:val="00D62FB1"/>
    <w:rsid w:val="00D62FD3"/>
    <w:rsid w:val="00D635F0"/>
    <w:rsid w:val="00D6369C"/>
    <w:rsid w:val="00D63A6C"/>
    <w:rsid w:val="00D6499C"/>
    <w:rsid w:val="00D64A2A"/>
    <w:rsid w:val="00D65F4B"/>
    <w:rsid w:val="00D65FF4"/>
    <w:rsid w:val="00D667BD"/>
    <w:rsid w:val="00D66E52"/>
    <w:rsid w:val="00D6737C"/>
    <w:rsid w:val="00D676F8"/>
    <w:rsid w:val="00D702B7"/>
    <w:rsid w:val="00D71DD9"/>
    <w:rsid w:val="00D71E1A"/>
    <w:rsid w:val="00D7204F"/>
    <w:rsid w:val="00D72B86"/>
    <w:rsid w:val="00D72EC3"/>
    <w:rsid w:val="00D737A3"/>
    <w:rsid w:val="00D73E37"/>
    <w:rsid w:val="00D73E41"/>
    <w:rsid w:val="00D7449E"/>
    <w:rsid w:val="00D7536E"/>
    <w:rsid w:val="00D75D89"/>
    <w:rsid w:val="00D76168"/>
    <w:rsid w:val="00D762DC"/>
    <w:rsid w:val="00D7672B"/>
    <w:rsid w:val="00D7681A"/>
    <w:rsid w:val="00D76861"/>
    <w:rsid w:val="00D76B36"/>
    <w:rsid w:val="00D76EDB"/>
    <w:rsid w:val="00D77544"/>
    <w:rsid w:val="00D7762B"/>
    <w:rsid w:val="00D77CA2"/>
    <w:rsid w:val="00D80217"/>
    <w:rsid w:val="00D803A2"/>
    <w:rsid w:val="00D80B77"/>
    <w:rsid w:val="00D80FFA"/>
    <w:rsid w:val="00D817F6"/>
    <w:rsid w:val="00D82F47"/>
    <w:rsid w:val="00D83000"/>
    <w:rsid w:val="00D83716"/>
    <w:rsid w:val="00D83CE9"/>
    <w:rsid w:val="00D8434D"/>
    <w:rsid w:val="00D84626"/>
    <w:rsid w:val="00D848C8"/>
    <w:rsid w:val="00D84DDF"/>
    <w:rsid w:val="00D84F20"/>
    <w:rsid w:val="00D85112"/>
    <w:rsid w:val="00D851A6"/>
    <w:rsid w:val="00D85423"/>
    <w:rsid w:val="00D855CD"/>
    <w:rsid w:val="00D858E3"/>
    <w:rsid w:val="00D85A1C"/>
    <w:rsid w:val="00D85F50"/>
    <w:rsid w:val="00D860B8"/>
    <w:rsid w:val="00D863BD"/>
    <w:rsid w:val="00D86611"/>
    <w:rsid w:val="00D86A17"/>
    <w:rsid w:val="00D86AE7"/>
    <w:rsid w:val="00D86B7F"/>
    <w:rsid w:val="00D86D0B"/>
    <w:rsid w:val="00D86F28"/>
    <w:rsid w:val="00D87077"/>
    <w:rsid w:val="00D87AFA"/>
    <w:rsid w:val="00D87D25"/>
    <w:rsid w:val="00D87E10"/>
    <w:rsid w:val="00D87FC6"/>
    <w:rsid w:val="00D90020"/>
    <w:rsid w:val="00D901AF"/>
    <w:rsid w:val="00D904D4"/>
    <w:rsid w:val="00D9063F"/>
    <w:rsid w:val="00D91313"/>
    <w:rsid w:val="00D91898"/>
    <w:rsid w:val="00D91CD2"/>
    <w:rsid w:val="00D9250D"/>
    <w:rsid w:val="00D92722"/>
    <w:rsid w:val="00D92878"/>
    <w:rsid w:val="00D92A88"/>
    <w:rsid w:val="00D92C25"/>
    <w:rsid w:val="00D92CEB"/>
    <w:rsid w:val="00D92DCE"/>
    <w:rsid w:val="00D93235"/>
    <w:rsid w:val="00D933CB"/>
    <w:rsid w:val="00D93581"/>
    <w:rsid w:val="00D93634"/>
    <w:rsid w:val="00D93765"/>
    <w:rsid w:val="00D93DBB"/>
    <w:rsid w:val="00D93E3C"/>
    <w:rsid w:val="00D9411D"/>
    <w:rsid w:val="00D948C8"/>
    <w:rsid w:val="00D94D42"/>
    <w:rsid w:val="00D950B3"/>
    <w:rsid w:val="00D9559A"/>
    <w:rsid w:val="00D955E3"/>
    <w:rsid w:val="00D9568D"/>
    <w:rsid w:val="00D956AC"/>
    <w:rsid w:val="00D96361"/>
    <w:rsid w:val="00D9666D"/>
    <w:rsid w:val="00D9712F"/>
    <w:rsid w:val="00D9766F"/>
    <w:rsid w:val="00D97B53"/>
    <w:rsid w:val="00D97E3B"/>
    <w:rsid w:val="00DA0249"/>
    <w:rsid w:val="00DA0DA6"/>
    <w:rsid w:val="00DA1363"/>
    <w:rsid w:val="00DA1CB8"/>
    <w:rsid w:val="00DA2783"/>
    <w:rsid w:val="00DA3999"/>
    <w:rsid w:val="00DA3AEC"/>
    <w:rsid w:val="00DA43DF"/>
    <w:rsid w:val="00DA4668"/>
    <w:rsid w:val="00DA46ED"/>
    <w:rsid w:val="00DA5157"/>
    <w:rsid w:val="00DA5EA3"/>
    <w:rsid w:val="00DA737A"/>
    <w:rsid w:val="00DA7B67"/>
    <w:rsid w:val="00DA7FCD"/>
    <w:rsid w:val="00DB07A5"/>
    <w:rsid w:val="00DB087B"/>
    <w:rsid w:val="00DB09DC"/>
    <w:rsid w:val="00DB0CAF"/>
    <w:rsid w:val="00DB0E34"/>
    <w:rsid w:val="00DB1528"/>
    <w:rsid w:val="00DB19B0"/>
    <w:rsid w:val="00DB2926"/>
    <w:rsid w:val="00DB306F"/>
    <w:rsid w:val="00DB30A6"/>
    <w:rsid w:val="00DB3678"/>
    <w:rsid w:val="00DB3D48"/>
    <w:rsid w:val="00DB3E6F"/>
    <w:rsid w:val="00DB4A26"/>
    <w:rsid w:val="00DB551D"/>
    <w:rsid w:val="00DB6901"/>
    <w:rsid w:val="00DB696F"/>
    <w:rsid w:val="00DB6DEC"/>
    <w:rsid w:val="00DB6F45"/>
    <w:rsid w:val="00DB6FEF"/>
    <w:rsid w:val="00DB754A"/>
    <w:rsid w:val="00DB7AD9"/>
    <w:rsid w:val="00DC00B6"/>
    <w:rsid w:val="00DC04F1"/>
    <w:rsid w:val="00DC067A"/>
    <w:rsid w:val="00DC08B2"/>
    <w:rsid w:val="00DC0E18"/>
    <w:rsid w:val="00DC11B5"/>
    <w:rsid w:val="00DC12D1"/>
    <w:rsid w:val="00DC135F"/>
    <w:rsid w:val="00DC15AA"/>
    <w:rsid w:val="00DC1A31"/>
    <w:rsid w:val="00DC1D1A"/>
    <w:rsid w:val="00DC1D2B"/>
    <w:rsid w:val="00DC1EF5"/>
    <w:rsid w:val="00DC1F59"/>
    <w:rsid w:val="00DC23CF"/>
    <w:rsid w:val="00DC28ED"/>
    <w:rsid w:val="00DC2941"/>
    <w:rsid w:val="00DC32A0"/>
    <w:rsid w:val="00DC340B"/>
    <w:rsid w:val="00DC4124"/>
    <w:rsid w:val="00DC43A0"/>
    <w:rsid w:val="00DC4686"/>
    <w:rsid w:val="00DC4AC6"/>
    <w:rsid w:val="00DC4C79"/>
    <w:rsid w:val="00DC536D"/>
    <w:rsid w:val="00DC53EF"/>
    <w:rsid w:val="00DC5D95"/>
    <w:rsid w:val="00DC60A3"/>
    <w:rsid w:val="00DC687C"/>
    <w:rsid w:val="00DC6C69"/>
    <w:rsid w:val="00DC7267"/>
    <w:rsid w:val="00DC7562"/>
    <w:rsid w:val="00DC7611"/>
    <w:rsid w:val="00DC7622"/>
    <w:rsid w:val="00DC7E13"/>
    <w:rsid w:val="00DC7EA5"/>
    <w:rsid w:val="00DD08E5"/>
    <w:rsid w:val="00DD1496"/>
    <w:rsid w:val="00DD161A"/>
    <w:rsid w:val="00DD1674"/>
    <w:rsid w:val="00DD1A9C"/>
    <w:rsid w:val="00DD1AD0"/>
    <w:rsid w:val="00DD2CB3"/>
    <w:rsid w:val="00DD2D79"/>
    <w:rsid w:val="00DD315E"/>
    <w:rsid w:val="00DD31F6"/>
    <w:rsid w:val="00DD3579"/>
    <w:rsid w:val="00DD39B7"/>
    <w:rsid w:val="00DD3B72"/>
    <w:rsid w:val="00DD451D"/>
    <w:rsid w:val="00DD4582"/>
    <w:rsid w:val="00DD468F"/>
    <w:rsid w:val="00DD47BE"/>
    <w:rsid w:val="00DD4927"/>
    <w:rsid w:val="00DD4A2B"/>
    <w:rsid w:val="00DD4A8F"/>
    <w:rsid w:val="00DD5930"/>
    <w:rsid w:val="00DD603F"/>
    <w:rsid w:val="00DD61CC"/>
    <w:rsid w:val="00DD676B"/>
    <w:rsid w:val="00DD6D19"/>
    <w:rsid w:val="00DD7377"/>
    <w:rsid w:val="00DD759A"/>
    <w:rsid w:val="00DD7DF6"/>
    <w:rsid w:val="00DE08F5"/>
    <w:rsid w:val="00DE0D49"/>
    <w:rsid w:val="00DE0E00"/>
    <w:rsid w:val="00DE16F4"/>
    <w:rsid w:val="00DE1E7B"/>
    <w:rsid w:val="00DE23F4"/>
    <w:rsid w:val="00DE24C6"/>
    <w:rsid w:val="00DE319C"/>
    <w:rsid w:val="00DE37BA"/>
    <w:rsid w:val="00DE3C34"/>
    <w:rsid w:val="00DE46E4"/>
    <w:rsid w:val="00DE4A80"/>
    <w:rsid w:val="00DE4B11"/>
    <w:rsid w:val="00DE4D26"/>
    <w:rsid w:val="00DE50A4"/>
    <w:rsid w:val="00DE60BD"/>
    <w:rsid w:val="00DE64FA"/>
    <w:rsid w:val="00DE6788"/>
    <w:rsid w:val="00DE6E1E"/>
    <w:rsid w:val="00DE72CC"/>
    <w:rsid w:val="00DE7546"/>
    <w:rsid w:val="00DE7771"/>
    <w:rsid w:val="00DE792B"/>
    <w:rsid w:val="00DF014E"/>
    <w:rsid w:val="00DF02CF"/>
    <w:rsid w:val="00DF0C8E"/>
    <w:rsid w:val="00DF14B4"/>
    <w:rsid w:val="00DF2221"/>
    <w:rsid w:val="00DF2830"/>
    <w:rsid w:val="00DF30A3"/>
    <w:rsid w:val="00DF357B"/>
    <w:rsid w:val="00DF3731"/>
    <w:rsid w:val="00DF37B7"/>
    <w:rsid w:val="00DF3D00"/>
    <w:rsid w:val="00DF42BC"/>
    <w:rsid w:val="00DF4A3D"/>
    <w:rsid w:val="00DF4AD6"/>
    <w:rsid w:val="00DF4B59"/>
    <w:rsid w:val="00DF4BE7"/>
    <w:rsid w:val="00DF4E8C"/>
    <w:rsid w:val="00DF4EC0"/>
    <w:rsid w:val="00DF5A59"/>
    <w:rsid w:val="00DF5D83"/>
    <w:rsid w:val="00DF5E7D"/>
    <w:rsid w:val="00DF646C"/>
    <w:rsid w:val="00DF651A"/>
    <w:rsid w:val="00DF68F0"/>
    <w:rsid w:val="00DF74E1"/>
    <w:rsid w:val="00DF785C"/>
    <w:rsid w:val="00E0010A"/>
    <w:rsid w:val="00E0077D"/>
    <w:rsid w:val="00E00C44"/>
    <w:rsid w:val="00E020FB"/>
    <w:rsid w:val="00E02319"/>
    <w:rsid w:val="00E026D2"/>
    <w:rsid w:val="00E02938"/>
    <w:rsid w:val="00E02C04"/>
    <w:rsid w:val="00E0341A"/>
    <w:rsid w:val="00E034E2"/>
    <w:rsid w:val="00E04121"/>
    <w:rsid w:val="00E049F8"/>
    <w:rsid w:val="00E04A85"/>
    <w:rsid w:val="00E04C12"/>
    <w:rsid w:val="00E04D7B"/>
    <w:rsid w:val="00E05E2D"/>
    <w:rsid w:val="00E06807"/>
    <w:rsid w:val="00E10730"/>
    <w:rsid w:val="00E11022"/>
    <w:rsid w:val="00E1107D"/>
    <w:rsid w:val="00E113A0"/>
    <w:rsid w:val="00E11500"/>
    <w:rsid w:val="00E118D7"/>
    <w:rsid w:val="00E11EBE"/>
    <w:rsid w:val="00E11F0B"/>
    <w:rsid w:val="00E12895"/>
    <w:rsid w:val="00E12ABC"/>
    <w:rsid w:val="00E12B1F"/>
    <w:rsid w:val="00E12F10"/>
    <w:rsid w:val="00E1302B"/>
    <w:rsid w:val="00E1323F"/>
    <w:rsid w:val="00E1354A"/>
    <w:rsid w:val="00E13913"/>
    <w:rsid w:val="00E1391D"/>
    <w:rsid w:val="00E13A6B"/>
    <w:rsid w:val="00E13ABE"/>
    <w:rsid w:val="00E13AD2"/>
    <w:rsid w:val="00E13DE7"/>
    <w:rsid w:val="00E13ECB"/>
    <w:rsid w:val="00E13F91"/>
    <w:rsid w:val="00E14018"/>
    <w:rsid w:val="00E141ED"/>
    <w:rsid w:val="00E14671"/>
    <w:rsid w:val="00E1479E"/>
    <w:rsid w:val="00E14A76"/>
    <w:rsid w:val="00E14C0E"/>
    <w:rsid w:val="00E14E33"/>
    <w:rsid w:val="00E15808"/>
    <w:rsid w:val="00E1590B"/>
    <w:rsid w:val="00E15B24"/>
    <w:rsid w:val="00E15DF8"/>
    <w:rsid w:val="00E1620D"/>
    <w:rsid w:val="00E1639A"/>
    <w:rsid w:val="00E163CD"/>
    <w:rsid w:val="00E164F2"/>
    <w:rsid w:val="00E16987"/>
    <w:rsid w:val="00E16A10"/>
    <w:rsid w:val="00E17054"/>
    <w:rsid w:val="00E17442"/>
    <w:rsid w:val="00E17636"/>
    <w:rsid w:val="00E179A5"/>
    <w:rsid w:val="00E204A5"/>
    <w:rsid w:val="00E204D6"/>
    <w:rsid w:val="00E20CCD"/>
    <w:rsid w:val="00E2138B"/>
    <w:rsid w:val="00E21739"/>
    <w:rsid w:val="00E21842"/>
    <w:rsid w:val="00E218CA"/>
    <w:rsid w:val="00E21E89"/>
    <w:rsid w:val="00E21F04"/>
    <w:rsid w:val="00E2231A"/>
    <w:rsid w:val="00E228EB"/>
    <w:rsid w:val="00E22C52"/>
    <w:rsid w:val="00E236D5"/>
    <w:rsid w:val="00E2426B"/>
    <w:rsid w:val="00E2457D"/>
    <w:rsid w:val="00E245DB"/>
    <w:rsid w:val="00E24ED2"/>
    <w:rsid w:val="00E25260"/>
    <w:rsid w:val="00E254FD"/>
    <w:rsid w:val="00E26A76"/>
    <w:rsid w:val="00E26D8C"/>
    <w:rsid w:val="00E26E2B"/>
    <w:rsid w:val="00E26E2F"/>
    <w:rsid w:val="00E278B9"/>
    <w:rsid w:val="00E27B41"/>
    <w:rsid w:val="00E27BBB"/>
    <w:rsid w:val="00E301D7"/>
    <w:rsid w:val="00E30728"/>
    <w:rsid w:val="00E30F35"/>
    <w:rsid w:val="00E30F76"/>
    <w:rsid w:val="00E313F6"/>
    <w:rsid w:val="00E32477"/>
    <w:rsid w:val="00E324DE"/>
    <w:rsid w:val="00E32BA9"/>
    <w:rsid w:val="00E32D3F"/>
    <w:rsid w:val="00E3315E"/>
    <w:rsid w:val="00E3338B"/>
    <w:rsid w:val="00E33575"/>
    <w:rsid w:val="00E337C4"/>
    <w:rsid w:val="00E33893"/>
    <w:rsid w:val="00E338DC"/>
    <w:rsid w:val="00E33989"/>
    <w:rsid w:val="00E34201"/>
    <w:rsid w:val="00E3420D"/>
    <w:rsid w:val="00E3459C"/>
    <w:rsid w:val="00E35685"/>
    <w:rsid w:val="00E35926"/>
    <w:rsid w:val="00E35D7D"/>
    <w:rsid w:val="00E360F4"/>
    <w:rsid w:val="00E36917"/>
    <w:rsid w:val="00E36C81"/>
    <w:rsid w:val="00E37498"/>
    <w:rsid w:val="00E37610"/>
    <w:rsid w:val="00E376D7"/>
    <w:rsid w:val="00E37D14"/>
    <w:rsid w:val="00E37EAB"/>
    <w:rsid w:val="00E400A6"/>
    <w:rsid w:val="00E4053D"/>
    <w:rsid w:val="00E40747"/>
    <w:rsid w:val="00E40CD8"/>
    <w:rsid w:val="00E40EB1"/>
    <w:rsid w:val="00E41018"/>
    <w:rsid w:val="00E415EB"/>
    <w:rsid w:val="00E41E2C"/>
    <w:rsid w:val="00E4209A"/>
    <w:rsid w:val="00E42BA4"/>
    <w:rsid w:val="00E42D7E"/>
    <w:rsid w:val="00E4322A"/>
    <w:rsid w:val="00E4333A"/>
    <w:rsid w:val="00E43859"/>
    <w:rsid w:val="00E43EA1"/>
    <w:rsid w:val="00E43F5A"/>
    <w:rsid w:val="00E45002"/>
    <w:rsid w:val="00E4520E"/>
    <w:rsid w:val="00E45B84"/>
    <w:rsid w:val="00E462EB"/>
    <w:rsid w:val="00E46820"/>
    <w:rsid w:val="00E4686A"/>
    <w:rsid w:val="00E46ADC"/>
    <w:rsid w:val="00E46D72"/>
    <w:rsid w:val="00E47BC6"/>
    <w:rsid w:val="00E47F86"/>
    <w:rsid w:val="00E50010"/>
    <w:rsid w:val="00E50A17"/>
    <w:rsid w:val="00E50A1E"/>
    <w:rsid w:val="00E51E88"/>
    <w:rsid w:val="00E52378"/>
    <w:rsid w:val="00E52858"/>
    <w:rsid w:val="00E5344C"/>
    <w:rsid w:val="00E534C3"/>
    <w:rsid w:val="00E535D4"/>
    <w:rsid w:val="00E53988"/>
    <w:rsid w:val="00E53D4F"/>
    <w:rsid w:val="00E548ED"/>
    <w:rsid w:val="00E549D5"/>
    <w:rsid w:val="00E54A29"/>
    <w:rsid w:val="00E54B39"/>
    <w:rsid w:val="00E5526A"/>
    <w:rsid w:val="00E555CF"/>
    <w:rsid w:val="00E55D65"/>
    <w:rsid w:val="00E57332"/>
    <w:rsid w:val="00E57428"/>
    <w:rsid w:val="00E57F8E"/>
    <w:rsid w:val="00E6025D"/>
    <w:rsid w:val="00E60653"/>
    <w:rsid w:val="00E60866"/>
    <w:rsid w:val="00E60D56"/>
    <w:rsid w:val="00E60E9F"/>
    <w:rsid w:val="00E60F65"/>
    <w:rsid w:val="00E625B6"/>
    <w:rsid w:val="00E625E2"/>
    <w:rsid w:val="00E62A7B"/>
    <w:rsid w:val="00E62BC7"/>
    <w:rsid w:val="00E62BD2"/>
    <w:rsid w:val="00E63251"/>
    <w:rsid w:val="00E63442"/>
    <w:rsid w:val="00E635AC"/>
    <w:rsid w:val="00E636AF"/>
    <w:rsid w:val="00E638F7"/>
    <w:rsid w:val="00E63B87"/>
    <w:rsid w:val="00E63F6C"/>
    <w:rsid w:val="00E6676C"/>
    <w:rsid w:val="00E66838"/>
    <w:rsid w:val="00E669C1"/>
    <w:rsid w:val="00E66CB8"/>
    <w:rsid w:val="00E66F03"/>
    <w:rsid w:val="00E66F21"/>
    <w:rsid w:val="00E67DE7"/>
    <w:rsid w:val="00E700ED"/>
    <w:rsid w:val="00E70A0C"/>
    <w:rsid w:val="00E71820"/>
    <w:rsid w:val="00E71D2C"/>
    <w:rsid w:val="00E7294F"/>
    <w:rsid w:val="00E72D7D"/>
    <w:rsid w:val="00E72E25"/>
    <w:rsid w:val="00E7311A"/>
    <w:rsid w:val="00E73673"/>
    <w:rsid w:val="00E7370D"/>
    <w:rsid w:val="00E73733"/>
    <w:rsid w:val="00E737DA"/>
    <w:rsid w:val="00E7380C"/>
    <w:rsid w:val="00E73AD8"/>
    <w:rsid w:val="00E74B8E"/>
    <w:rsid w:val="00E74D71"/>
    <w:rsid w:val="00E74E13"/>
    <w:rsid w:val="00E75D67"/>
    <w:rsid w:val="00E76063"/>
    <w:rsid w:val="00E7606E"/>
    <w:rsid w:val="00E7632D"/>
    <w:rsid w:val="00E764FB"/>
    <w:rsid w:val="00E76826"/>
    <w:rsid w:val="00E7724E"/>
    <w:rsid w:val="00E77340"/>
    <w:rsid w:val="00E8001E"/>
    <w:rsid w:val="00E8071B"/>
    <w:rsid w:val="00E813EC"/>
    <w:rsid w:val="00E81801"/>
    <w:rsid w:val="00E818B1"/>
    <w:rsid w:val="00E82A8C"/>
    <w:rsid w:val="00E82CEF"/>
    <w:rsid w:val="00E835A7"/>
    <w:rsid w:val="00E83867"/>
    <w:rsid w:val="00E8386C"/>
    <w:rsid w:val="00E84187"/>
    <w:rsid w:val="00E84242"/>
    <w:rsid w:val="00E84BAF"/>
    <w:rsid w:val="00E8505B"/>
    <w:rsid w:val="00E8529B"/>
    <w:rsid w:val="00E85508"/>
    <w:rsid w:val="00E85807"/>
    <w:rsid w:val="00E85D18"/>
    <w:rsid w:val="00E86155"/>
    <w:rsid w:val="00E862B5"/>
    <w:rsid w:val="00E87A41"/>
    <w:rsid w:val="00E87A7C"/>
    <w:rsid w:val="00E87B28"/>
    <w:rsid w:val="00E90757"/>
    <w:rsid w:val="00E90E62"/>
    <w:rsid w:val="00E90F45"/>
    <w:rsid w:val="00E91C9F"/>
    <w:rsid w:val="00E91DCB"/>
    <w:rsid w:val="00E91E98"/>
    <w:rsid w:val="00E92103"/>
    <w:rsid w:val="00E925B3"/>
    <w:rsid w:val="00E9274C"/>
    <w:rsid w:val="00E929FB"/>
    <w:rsid w:val="00E9385D"/>
    <w:rsid w:val="00E938FD"/>
    <w:rsid w:val="00E93DEF"/>
    <w:rsid w:val="00E940F6"/>
    <w:rsid w:val="00E950DE"/>
    <w:rsid w:val="00E95132"/>
    <w:rsid w:val="00E9514A"/>
    <w:rsid w:val="00E95C10"/>
    <w:rsid w:val="00E96198"/>
    <w:rsid w:val="00E96831"/>
    <w:rsid w:val="00E973B5"/>
    <w:rsid w:val="00E974D4"/>
    <w:rsid w:val="00E97DE7"/>
    <w:rsid w:val="00EA0132"/>
    <w:rsid w:val="00EA0367"/>
    <w:rsid w:val="00EA0727"/>
    <w:rsid w:val="00EA09D7"/>
    <w:rsid w:val="00EA0E21"/>
    <w:rsid w:val="00EA1222"/>
    <w:rsid w:val="00EA17BF"/>
    <w:rsid w:val="00EA17DE"/>
    <w:rsid w:val="00EA1840"/>
    <w:rsid w:val="00EA19F1"/>
    <w:rsid w:val="00EA1D6A"/>
    <w:rsid w:val="00EA1FC9"/>
    <w:rsid w:val="00EA220B"/>
    <w:rsid w:val="00EA2857"/>
    <w:rsid w:val="00EA2BE9"/>
    <w:rsid w:val="00EA2C0D"/>
    <w:rsid w:val="00EA309A"/>
    <w:rsid w:val="00EA4854"/>
    <w:rsid w:val="00EA495C"/>
    <w:rsid w:val="00EA4968"/>
    <w:rsid w:val="00EA5291"/>
    <w:rsid w:val="00EA5A55"/>
    <w:rsid w:val="00EA6295"/>
    <w:rsid w:val="00EA6760"/>
    <w:rsid w:val="00EA6CF3"/>
    <w:rsid w:val="00EA6DE2"/>
    <w:rsid w:val="00EA6E26"/>
    <w:rsid w:val="00EA78FB"/>
    <w:rsid w:val="00EB00C6"/>
    <w:rsid w:val="00EB0902"/>
    <w:rsid w:val="00EB0CE5"/>
    <w:rsid w:val="00EB1266"/>
    <w:rsid w:val="00EB1D9D"/>
    <w:rsid w:val="00EB22C6"/>
    <w:rsid w:val="00EB2535"/>
    <w:rsid w:val="00EB2DB2"/>
    <w:rsid w:val="00EB2DE4"/>
    <w:rsid w:val="00EB340D"/>
    <w:rsid w:val="00EB351C"/>
    <w:rsid w:val="00EB394D"/>
    <w:rsid w:val="00EB3A06"/>
    <w:rsid w:val="00EB42D9"/>
    <w:rsid w:val="00EB45D6"/>
    <w:rsid w:val="00EB4C2B"/>
    <w:rsid w:val="00EB500B"/>
    <w:rsid w:val="00EB50D6"/>
    <w:rsid w:val="00EB5184"/>
    <w:rsid w:val="00EB5328"/>
    <w:rsid w:val="00EB5B99"/>
    <w:rsid w:val="00EB5E86"/>
    <w:rsid w:val="00EB5F4E"/>
    <w:rsid w:val="00EB61E3"/>
    <w:rsid w:val="00EB62A4"/>
    <w:rsid w:val="00EB6499"/>
    <w:rsid w:val="00EB64C0"/>
    <w:rsid w:val="00EB6F05"/>
    <w:rsid w:val="00EB6F40"/>
    <w:rsid w:val="00EB72FD"/>
    <w:rsid w:val="00EB796C"/>
    <w:rsid w:val="00EB7D28"/>
    <w:rsid w:val="00EC0717"/>
    <w:rsid w:val="00EC17DA"/>
    <w:rsid w:val="00EC180D"/>
    <w:rsid w:val="00EC1D2E"/>
    <w:rsid w:val="00EC257E"/>
    <w:rsid w:val="00EC2B9F"/>
    <w:rsid w:val="00EC3246"/>
    <w:rsid w:val="00EC353A"/>
    <w:rsid w:val="00EC3A5B"/>
    <w:rsid w:val="00EC3F22"/>
    <w:rsid w:val="00EC465B"/>
    <w:rsid w:val="00EC4760"/>
    <w:rsid w:val="00EC4922"/>
    <w:rsid w:val="00EC4B0A"/>
    <w:rsid w:val="00EC4F8D"/>
    <w:rsid w:val="00EC52DB"/>
    <w:rsid w:val="00EC5441"/>
    <w:rsid w:val="00EC5F31"/>
    <w:rsid w:val="00EC5FC6"/>
    <w:rsid w:val="00EC61C7"/>
    <w:rsid w:val="00EC6BA1"/>
    <w:rsid w:val="00EC71A8"/>
    <w:rsid w:val="00EC72F0"/>
    <w:rsid w:val="00EC74A8"/>
    <w:rsid w:val="00EC791D"/>
    <w:rsid w:val="00EC79C0"/>
    <w:rsid w:val="00EC7B6F"/>
    <w:rsid w:val="00ED0960"/>
    <w:rsid w:val="00ED0ADD"/>
    <w:rsid w:val="00ED0B38"/>
    <w:rsid w:val="00ED0C3B"/>
    <w:rsid w:val="00ED0E20"/>
    <w:rsid w:val="00ED1B4D"/>
    <w:rsid w:val="00ED1D2C"/>
    <w:rsid w:val="00ED233B"/>
    <w:rsid w:val="00ED2596"/>
    <w:rsid w:val="00ED2F4F"/>
    <w:rsid w:val="00ED3042"/>
    <w:rsid w:val="00ED30DC"/>
    <w:rsid w:val="00ED3961"/>
    <w:rsid w:val="00ED3AC8"/>
    <w:rsid w:val="00ED3BD1"/>
    <w:rsid w:val="00ED4EBD"/>
    <w:rsid w:val="00ED54BD"/>
    <w:rsid w:val="00ED564C"/>
    <w:rsid w:val="00ED5755"/>
    <w:rsid w:val="00ED5EB3"/>
    <w:rsid w:val="00ED60CE"/>
    <w:rsid w:val="00ED646F"/>
    <w:rsid w:val="00ED6E35"/>
    <w:rsid w:val="00ED7725"/>
    <w:rsid w:val="00ED797B"/>
    <w:rsid w:val="00EE0641"/>
    <w:rsid w:val="00EE1F9E"/>
    <w:rsid w:val="00EE21EE"/>
    <w:rsid w:val="00EE2475"/>
    <w:rsid w:val="00EE283A"/>
    <w:rsid w:val="00EE3C33"/>
    <w:rsid w:val="00EE410F"/>
    <w:rsid w:val="00EE4516"/>
    <w:rsid w:val="00EE5082"/>
    <w:rsid w:val="00EE526D"/>
    <w:rsid w:val="00EE5312"/>
    <w:rsid w:val="00EE55D8"/>
    <w:rsid w:val="00EE574B"/>
    <w:rsid w:val="00EE62DE"/>
    <w:rsid w:val="00EE68AD"/>
    <w:rsid w:val="00EE697B"/>
    <w:rsid w:val="00EE7152"/>
    <w:rsid w:val="00EE796F"/>
    <w:rsid w:val="00EE7B69"/>
    <w:rsid w:val="00EE7CA5"/>
    <w:rsid w:val="00EE7EDE"/>
    <w:rsid w:val="00EF0832"/>
    <w:rsid w:val="00EF0FD5"/>
    <w:rsid w:val="00EF195F"/>
    <w:rsid w:val="00EF1B92"/>
    <w:rsid w:val="00EF1E11"/>
    <w:rsid w:val="00EF346B"/>
    <w:rsid w:val="00EF37DA"/>
    <w:rsid w:val="00EF3934"/>
    <w:rsid w:val="00EF401F"/>
    <w:rsid w:val="00EF43ED"/>
    <w:rsid w:val="00EF43F7"/>
    <w:rsid w:val="00EF4AD2"/>
    <w:rsid w:val="00EF5682"/>
    <w:rsid w:val="00EF581C"/>
    <w:rsid w:val="00EF5A46"/>
    <w:rsid w:val="00EF5B35"/>
    <w:rsid w:val="00EF5E22"/>
    <w:rsid w:val="00EF5E3F"/>
    <w:rsid w:val="00EF5FF1"/>
    <w:rsid w:val="00EF60BB"/>
    <w:rsid w:val="00EF66C9"/>
    <w:rsid w:val="00EF696B"/>
    <w:rsid w:val="00EF69F1"/>
    <w:rsid w:val="00EF6B1A"/>
    <w:rsid w:val="00EF6C4E"/>
    <w:rsid w:val="00EF78D6"/>
    <w:rsid w:val="00EF7E94"/>
    <w:rsid w:val="00F0036B"/>
    <w:rsid w:val="00F004D7"/>
    <w:rsid w:val="00F00587"/>
    <w:rsid w:val="00F00608"/>
    <w:rsid w:val="00F01070"/>
    <w:rsid w:val="00F010B0"/>
    <w:rsid w:val="00F01470"/>
    <w:rsid w:val="00F01E70"/>
    <w:rsid w:val="00F01E74"/>
    <w:rsid w:val="00F020C3"/>
    <w:rsid w:val="00F02919"/>
    <w:rsid w:val="00F02F1E"/>
    <w:rsid w:val="00F03010"/>
    <w:rsid w:val="00F033F8"/>
    <w:rsid w:val="00F034C1"/>
    <w:rsid w:val="00F03BBB"/>
    <w:rsid w:val="00F03BF5"/>
    <w:rsid w:val="00F03D0A"/>
    <w:rsid w:val="00F03E08"/>
    <w:rsid w:val="00F0433F"/>
    <w:rsid w:val="00F047E7"/>
    <w:rsid w:val="00F04992"/>
    <w:rsid w:val="00F04A8B"/>
    <w:rsid w:val="00F04E96"/>
    <w:rsid w:val="00F0505E"/>
    <w:rsid w:val="00F05424"/>
    <w:rsid w:val="00F05F00"/>
    <w:rsid w:val="00F06124"/>
    <w:rsid w:val="00F0690D"/>
    <w:rsid w:val="00F06D00"/>
    <w:rsid w:val="00F070BC"/>
    <w:rsid w:val="00F073CD"/>
    <w:rsid w:val="00F0741F"/>
    <w:rsid w:val="00F075A6"/>
    <w:rsid w:val="00F077FF"/>
    <w:rsid w:val="00F07887"/>
    <w:rsid w:val="00F078A8"/>
    <w:rsid w:val="00F078C1"/>
    <w:rsid w:val="00F07BD2"/>
    <w:rsid w:val="00F07CFD"/>
    <w:rsid w:val="00F10134"/>
    <w:rsid w:val="00F1033D"/>
    <w:rsid w:val="00F107CB"/>
    <w:rsid w:val="00F10814"/>
    <w:rsid w:val="00F10991"/>
    <w:rsid w:val="00F115DC"/>
    <w:rsid w:val="00F11F05"/>
    <w:rsid w:val="00F121AD"/>
    <w:rsid w:val="00F126B7"/>
    <w:rsid w:val="00F127E2"/>
    <w:rsid w:val="00F12E42"/>
    <w:rsid w:val="00F1340A"/>
    <w:rsid w:val="00F1352B"/>
    <w:rsid w:val="00F13653"/>
    <w:rsid w:val="00F13677"/>
    <w:rsid w:val="00F13B34"/>
    <w:rsid w:val="00F13CA2"/>
    <w:rsid w:val="00F13CCB"/>
    <w:rsid w:val="00F14021"/>
    <w:rsid w:val="00F14255"/>
    <w:rsid w:val="00F14579"/>
    <w:rsid w:val="00F14D88"/>
    <w:rsid w:val="00F14F6E"/>
    <w:rsid w:val="00F15A47"/>
    <w:rsid w:val="00F15CDF"/>
    <w:rsid w:val="00F15D17"/>
    <w:rsid w:val="00F15D8B"/>
    <w:rsid w:val="00F15F53"/>
    <w:rsid w:val="00F15FB0"/>
    <w:rsid w:val="00F1640D"/>
    <w:rsid w:val="00F16F78"/>
    <w:rsid w:val="00F1734C"/>
    <w:rsid w:val="00F17386"/>
    <w:rsid w:val="00F1784A"/>
    <w:rsid w:val="00F17BB2"/>
    <w:rsid w:val="00F17BDC"/>
    <w:rsid w:val="00F17BF4"/>
    <w:rsid w:val="00F20AB2"/>
    <w:rsid w:val="00F20EA7"/>
    <w:rsid w:val="00F21517"/>
    <w:rsid w:val="00F2160F"/>
    <w:rsid w:val="00F21676"/>
    <w:rsid w:val="00F216AB"/>
    <w:rsid w:val="00F219F6"/>
    <w:rsid w:val="00F21ADB"/>
    <w:rsid w:val="00F21AE1"/>
    <w:rsid w:val="00F21B38"/>
    <w:rsid w:val="00F2298E"/>
    <w:rsid w:val="00F22B2E"/>
    <w:rsid w:val="00F22BFE"/>
    <w:rsid w:val="00F22C83"/>
    <w:rsid w:val="00F237A9"/>
    <w:rsid w:val="00F237EA"/>
    <w:rsid w:val="00F23AD3"/>
    <w:rsid w:val="00F23C1B"/>
    <w:rsid w:val="00F23C60"/>
    <w:rsid w:val="00F244CE"/>
    <w:rsid w:val="00F248D8"/>
    <w:rsid w:val="00F24A7E"/>
    <w:rsid w:val="00F2547E"/>
    <w:rsid w:val="00F257EC"/>
    <w:rsid w:val="00F25868"/>
    <w:rsid w:val="00F25C50"/>
    <w:rsid w:val="00F2670E"/>
    <w:rsid w:val="00F26988"/>
    <w:rsid w:val="00F26E2E"/>
    <w:rsid w:val="00F26FD0"/>
    <w:rsid w:val="00F2736E"/>
    <w:rsid w:val="00F27DC3"/>
    <w:rsid w:val="00F30142"/>
    <w:rsid w:val="00F3039D"/>
    <w:rsid w:val="00F305FC"/>
    <w:rsid w:val="00F3106C"/>
    <w:rsid w:val="00F315FB"/>
    <w:rsid w:val="00F31A2B"/>
    <w:rsid w:val="00F32AD0"/>
    <w:rsid w:val="00F32B55"/>
    <w:rsid w:val="00F335A0"/>
    <w:rsid w:val="00F3360C"/>
    <w:rsid w:val="00F3361B"/>
    <w:rsid w:val="00F336DE"/>
    <w:rsid w:val="00F33B97"/>
    <w:rsid w:val="00F3453F"/>
    <w:rsid w:val="00F348CC"/>
    <w:rsid w:val="00F34AB4"/>
    <w:rsid w:val="00F34FB2"/>
    <w:rsid w:val="00F3505B"/>
    <w:rsid w:val="00F35063"/>
    <w:rsid w:val="00F358C7"/>
    <w:rsid w:val="00F360B3"/>
    <w:rsid w:val="00F361C1"/>
    <w:rsid w:val="00F36213"/>
    <w:rsid w:val="00F3653B"/>
    <w:rsid w:val="00F3746C"/>
    <w:rsid w:val="00F37A44"/>
    <w:rsid w:val="00F37ECC"/>
    <w:rsid w:val="00F400DE"/>
    <w:rsid w:val="00F40196"/>
    <w:rsid w:val="00F40793"/>
    <w:rsid w:val="00F4088B"/>
    <w:rsid w:val="00F40D5B"/>
    <w:rsid w:val="00F40FC9"/>
    <w:rsid w:val="00F41BBD"/>
    <w:rsid w:val="00F421D9"/>
    <w:rsid w:val="00F42443"/>
    <w:rsid w:val="00F42764"/>
    <w:rsid w:val="00F42E4D"/>
    <w:rsid w:val="00F430B6"/>
    <w:rsid w:val="00F431F5"/>
    <w:rsid w:val="00F43439"/>
    <w:rsid w:val="00F43A17"/>
    <w:rsid w:val="00F4434A"/>
    <w:rsid w:val="00F44A6E"/>
    <w:rsid w:val="00F44BD8"/>
    <w:rsid w:val="00F44D00"/>
    <w:rsid w:val="00F45147"/>
    <w:rsid w:val="00F45836"/>
    <w:rsid w:val="00F458F0"/>
    <w:rsid w:val="00F45A3E"/>
    <w:rsid w:val="00F45C7D"/>
    <w:rsid w:val="00F46A70"/>
    <w:rsid w:val="00F46ADF"/>
    <w:rsid w:val="00F474E0"/>
    <w:rsid w:val="00F479F3"/>
    <w:rsid w:val="00F500EA"/>
    <w:rsid w:val="00F503BC"/>
    <w:rsid w:val="00F50E45"/>
    <w:rsid w:val="00F51277"/>
    <w:rsid w:val="00F51EAB"/>
    <w:rsid w:val="00F5262A"/>
    <w:rsid w:val="00F52AB0"/>
    <w:rsid w:val="00F52ABE"/>
    <w:rsid w:val="00F531EF"/>
    <w:rsid w:val="00F532EC"/>
    <w:rsid w:val="00F53848"/>
    <w:rsid w:val="00F539BE"/>
    <w:rsid w:val="00F53D77"/>
    <w:rsid w:val="00F54699"/>
    <w:rsid w:val="00F54C2E"/>
    <w:rsid w:val="00F54F8D"/>
    <w:rsid w:val="00F55823"/>
    <w:rsid w:val="00F56223"/>
    <w:rsid w:val="00F56287"/>
    <w:rsid w:val="00F56B17"/>
    <w:rsid w:val="00F56B72"/>
    <w:rsid w:val="00F56D9A"/>
    <w:rsid w:val="00F572CA"/>
    <w:rsid w:val="00F575F9"/>
    <w:rsid w:val="00F57E5B"/>
    <w:rsid w:val="00F60853"/>
    <w:rsid w:val="00F61478"/>
    <w:rsid w:val="00F61D12"/>
    <w:rsid w:val="00F61D8C"/>
    <w:rsid w:val="00F6234E"/>
    <w:rsid w:val="00F62468"/>
    <w:rsid w:val="00F625F0"/>
    <w:rsid w:val="00F62CE6"/>
    <w:rsid w:val="00F62D40"/>
    <w:rsid w:val="00F63356"/>
    <w:rsid w:val="00F6352E"/>
    <w:rsid w:val="00F63E0D"/>
    <w:rsid w:val="00F63F2E"/>
    <w:rsid w:val="00F6435C"/>
    <w:rsid w:val="00F648BD"/>
    <w:rsid w:val="00F64C2C"/>
    <w:rsid w:val="00F650A2"/>
    <w:rsid w:val="00F65326"/>
    <w:rsid w:val="00F65632"/>
    <w:rsid w:val="00F656B1"/>
    <w:rsid w:val="00F65903"/>
    <w:rsid w:val="00F65C39"/>
    <w:rsid w:val="00F660B2"/>
    <w:rsid w:val="00F664E3"/>
    <w:rsid w:val="00F666D5"/>
    <w:rsid w:val="00F6676A"/>
    <w:rsid w:val="00F6690D"/>
    <w:rsid w:val="00F6699F"/>
    <w:rsid w:val="00F672E8"/>
    <w:rsid w:val="00F70375"/>
    <w:rsid w:val="00F70631"/>
    <w:rsid w:val="00F70F9B"/>
    <w:rsid w:val="00F710D7"/>
    <w:rsid w:val="00F711BB"/>
    <w:rsid w:val="00F71290"/>
    <w:rsid w:val="00F71B05"/>
    <w:rsid w:val="00F71F5A"/>
    <w:rsid w:val="00F72B5D"/>
    <w:rsid w:val="00F72C0F"/>
    <w:rsid w:val="00F72FE0"/>
    <w:rsid w:val="00F73512"/>
    <w:rsid w:val="00F73560"/>
    <w:rsid w:val="00F73781"/>
    <w:rsid w:val="00F73CE0"/>
    <w:rsid w:val="00F73E60"/>
    <w:rsid w:val="00F74FF4"/>
    <w:rsid w:val="00F751AE"/>
    <w:rsid w:val="00F75359"/>
    <w:rsid w:val="00F756DC"/>
    <w:rsid w:val="00F76227"/>
    <w:rsid w:val="00F76CF5"/>
    <w:rsid w:val="00F76F72"/>
    <w:rsid w:val="00F76FE4"/>
    <w:rsid w:val="00F7717A"/>
    <w:rsid w:val="00F77B35"/>
    <w:rsid w:val="00F77D67"/>
    <w:rsid w:val="00F77EC3"/>
    <w:rsid w:val="00F80376"/>
    <w:rsid w:val="00F805F6"/>
    <w:rsid w:val="00F81563"/>
    <w:rsid w:val="00F822F6"/>
    <w:rsid w:val="00F82702"/>
    <w:rsid w:val="00F82794"/>
    <w:rsid w:val="00F82801"/>
    <w:rsid w:val="00F83036"/>
    <w:rsid w:val="00F833F6"/>
    <w:rsid w:val="00F8349D"/>
    <w:rsid w:val="00F8371D"/>
    <w:rsid w:val="00F837B8"/>
    <w:rsid w:val="00F83A4C"/>
    <w:rsid w:val="00F83C9F"/>
    <w:rsid w:val="00F841BA"/>
    <w:rsid w:val="00F849A0"/>
    <w:rsid w:val="00F84C26"/>
    <w:rsid w:val="00F85184"/>
    <w:rsid w:val="00F85271"/>
    <w:rsid w:val="00F8527B"/>
    <w:rsid w:val="00F858D4"/>
    <w:rsid w:val="00F85BAC"/>
    <w:rsid w:val="00F85D0D"/>
    <w:rsid w:val="00F85D82"/>
    <w:rsid w:val="00F85EC6"/>
    <w:rsid w:val="00F8631A"/>
    <w:rsid w:val="00F8646C"/>
    <w:rsid w:val="00F8655E"/>
    <w:rsid w:val="00F86EAB"/>
    <w:rsid w:val="00F87070"/>
    <w:rsid w:val="00F877D9"/>
    <w:rsid w:val="00F879B6"/>
    <w:rsid w:val="00F905D0"/>
    <w:rsid w:val="00F90BD9"/>
    <w:rsid w:val="00F92230"/>
    <w:rsid w:val="00F924E1"/>
    <w:rsid w:val="00F9257B"/>
    <w:rsid w:val="00F92600"/>
    <w:rsid w:val="00F932CC"/>
    <w:rsid w:val="00F93F38"/>
    <w:rsid w:val="00F9438E"/>
    <w:rsid w:val="00F94712"/>
    <w:rsid w:val="00F94A14"/>
    <w:rsid w:val="00F95041"/>
    <w:rsid w:val="00F959F1"/>
    <w:rsid w:val="00F95A93"/>
    <w:rsid w:val="00F95D22"/>
    <w:rsid w:val="00F960BD"/>
    <w:rsid w:val="00F968AB"/>
    <w:rsid w:val="00F969A0"/>
    <w:rsid w:val="00F96D11"/>
    <w:rsid w:val="00F96D1C"/>
    <w:rsid w:val="00F970CF"/>
    <w:rsid w:val="00F97C79"/>
    <w:rsid w:val="00F97DAA"/>
    <w:rsid w:val="00F97EE5"/>
    <w:rsid w:val="00FA0545"/>
    <w:rsid w:val="00FA0F95"/>
    <w:rsid w:val="00FA10CF"/>
    <w:rsid w:val="00FA1168"/>
    <w:rsid w:val="00FA1F37"/>
    <w:rsid w:val="00FA21D3"/>
    <w:rsid w:val="00FA2E2C"/>
    <w:rsid w:val="00FA301C"/>
    <w:rsid w:val="00FA375A"/>
    <w:rsid w:val="00FA37F1"/>
    <w:rsid w:val="00FA3809"/>
    <w:rsid w:val="00FA38D5"/>
    <w:rsid w:val="00FA3A0E"/>
    <w:rsid w:val="00FA4386"/>
    <w:rsid w:val="00FA51F8"/>
    <w:rsid w:val="00FA54B1"/>
    <w:rsid w:val="00FA5F6B"/>
    <w:rsid w:val="00FA74B2"/>
    <w:rsid w:val="00FA7791"/>
    <w:rsid w:val="00FA7BD8"/>
    <w:rsid w:val="00FA7D83"/>
    <w:rsid w:val="00FA7E23"/>
    <w:rsid w:val="00FA7F77"/>
    <w:rsid w:val="00FB01EF"/>
    <w:rsid w:val="00FB05DC"/>
    <w:rsid w:val="00FB075C"/>
    <w:rsid w:val="00FB0A12"/>
    <w:rsid w:val="00FB0A24"/>
    <w:rsid w:val="00FB0F2B"/>
    <w:rsid w:val="00FB1714"/>
    <w:rsid w:val="00FB19F2"/>
    <w:rsid w:val="00FB2C42"/>
    <w:rsid w:val="00FB2C8D"/>
    <w:rsid w:val="00FB30B5"/>
    <w:rsid w:val="00FB32FB"/>
    <w:rsid w:val="00FB3B68"/>
    <w:rsid w:val="00FB3DC4"/>
    <w:rsid w:val="00FB4167"/>
    <w:rsid w:val="00FB496E"/>
    <w:rsid w:val="00FB4B4D"/>
    <w:rsid w:val="00FB5AA1"/>
    <w:rsid w:val="00FB6C09"/>
    <w:rsid w:val="00FB6E15"/>
    <w:rsid w:val="00FB6F53"/>
    <w:rsid w:val="00FB72BD"/>
    <w:rsid w:val="00FB731F"/>
    <w:rsid w:val="00FB7334"/>
    <w:rsid w:val="00FB77FB"/>
    <w:rsid w:val="00FC00FF"/>
    <w:rsid w:val="00FC0360"/>
    <w:rsid w:val="00FC0764"/>
    <w:rsid w:val="00FC0A7F"/>
    <w:rsid w:val="00FC1527"/>
    <w:rsid w:val="00FC1822"/>
    <w:rsid w:val="00FC19E4"/>
    <w:rsid w:val="00FC1CF3"/>
    <w:rsid w:val="00FC2543"/>
    <w:rsid w:val="00FC272D"/>
    <w:rsid w:val="00FC314E"/>
    <w:rsid w:val="00FC3390"/>
    <w:rsid w:val="00FC3A50"/>
    <w:rsid w:val="00FC3CB4"/>
    <w:rsid w:val="00FC49F7"/>
    <w:rsid w:val="00FC4CD9"/>
    <w:rsid w:val="00FC4E1E"/>
    <w:rsid w:val="00FC5139"/>
    <w:rsid w:val="00FC51F2"/>
    <w:rsid w:val="00FC5572"/>
    <w:rsid w:val="00FC660B"/>
    <w:rsid w:val="00FC6F45"/>
    <w:rsid w:val="00FC7227"/>
    <w:rsid w:val="00FC7320"/>
    <w:rsid w:val="00FC7680"/>
    <w:rsid w:val="00FC7E02"/>
    <w:rsid w:val="00FD098E"/>
    <w:rsid w:val="00FD0BE8"/>
    <w:rsid w:val="00FD194F"/>
    <w:rsid w:val="00FD19B0"/>
    <w:rsid w:val="00FD1F64"/>
    <w:rsid w:val="00FD23CF"/>
    <w:rsid w:val="00FD2450"/>
    <w:rsid w:val="00FD2CAD"/>
    <w:rsid w:val="00FD34BC"/>
    <w:rsid w:val="00FD3680"/>
    <w:rsid w:val="00FD3A37"/>
    <w:rsid w:val="00FD3E63"/>
    <w:rsid w:val="00FD4093"/>
    <w:rsid w:val="00FD40AF"/>
    <w:rsid w:val="00FD41CB"/>
    <w:rsid w:val="00FD431E"/>
    <w:rsid w:val="00FD474B"/>
    <w:rsid w:val="00FD4842"/>
    <w:rsid w:val="00FD4B74"/>
    <w:rsid w:val="00FD5464"/>
    <w:rsid w:val="00FD56D2"/>
    <w:rsid w:val="00FD5863"/>
    <w:rsid w:val="00FD67C1"/>
    <w:rsid w:val="00FD6A00"/>
    <w:rsid w:val="00FD6D2C"/>
    <w:rsid w:val="00FD6E13"/>
    <w:rsid w:val="00FD6EC6"/>
    <w:rsid w:val="00FD6EEE"/>
    <w:rsid w:val="00FD7733"/>
    <w:rsid w:val="00FD77A7"/>
    <w:rsid w:val="00FD7E0F"/>
    <w:rsid w:val="00FE0286"/>
    <w:rsid w:val="00FE02E6"/>
    <w:rsid w:val="00FE071D"/>
    <w:rsid w:val="00FE10C6"/>
    <w:rsid w:val="00FE1229"/>
    <w:rsid w:val="00FE1A5F"/>
    <w:rsid w:val="00FE1C4D"/>
    <w:rsid w:val="00FE2269"/>
    <w:rsid w:val="00FE2EE4"/>
    <w:rsid w:val="00FE3363"/>
    <w:rsid w:val="00FE361E"/>
    <w:rsid w:val="00FE3D37"/>
    <w:rsid w:val="00FE3FE7"/>
    <w:rsid w:val="00FE43FF"/>
    <w:rsid w:val="00FE4617"/>
    <w:rsid w:val="00FE4979"/>
    <w:rsid w:val="00FE4B99"/>
    <w:rsid w:val="00FE5573"/>
    <w:rsid w:val="00FE6910"/>
    <w:rsid w:val="00FE6AB5"/>
    <w:rsid w:val="00FE767F"/>
    <w:rsid w:val="00FF00EB"/>
    <w:rsid w:val="00FF08AB"/>
    <w:rsid w:val="00FF16BE"/>
    <w:rsid w:val="00FF225C"/>
    <w:rsid w:val="00FF24B2"/>
    <w:rsid w:val="00FF2B79"/>
    <w:rsid w:val="00FF2B82"/>
    <w:rsid w:val="00FF2C89"/>
    <w:rsid w:val="00FF2FD1"/>
    <w:rsid w:val="00FF3045"/>
    <w:rsid w:val="00FF3099"/>
    <w:rsid w:val="00FF337D"/>
    <w:rsid w:val="00FF3386"/>
    <w:rsid w:val="00FF3394"/>
    <w:rsid w:val="00FF3D97"/>
    <w:rsid w:val="00FF4242"/>
    <w:rsid w:val="00FF42C6"/>
    <w:rsid w:val="00FF44E1"/>
    <w:rsid w:val="00FF4D00"/>
    <w:rsid w:val="00FF512B"/>
    <w:rsid w:val="00FF51B1"/>
    <w:rsid w:val="00FF5F30"/>
    <w:rsid w:val="00FF657C"/>
    <w:rsid w:val="00FF6930"/>
    <w:rsid w:val="00FF6FD1"/>
    <w:rsid w:val="00FF758F"/>
    <w:rsid w:val="00FF7751"/>
    <w:rsid w:val="00FF79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A8744C"/>
  <w15:chartTrackingRefBased/>
  <w15:docId w15:val="{E6928EE7-5716-4F44-92C5-8BE5CDCE9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sv-S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44F3"/>
    <w:pPr>
      <w:spacing w:after="200" w:line="276" w:lineRule="auto"/>
    </w:pPr>
    <w:rPr>
      <w:rFonts w:ascii="Arial" w:hAnsi="Arial" w:cstheme="minorBidi"/>
      <w:sz w:val="22"/>
      <w:szCs w:val="22"/>
    </w:rPr>
  </w:style>
  <w:style w:type="paragraph" w:styleId="Rubrik1">
    <w:name w:val="heading 1"/>
    <w:basedOn w:val="Normal"/>
    <w:next w:val="Normal"/>
    <w:link w:val="Rubrik1Char"/>
    <w:qFormat/>
    <w:rsid w:val="00F01E74"/>
    <w:pPr>
      <w:keepNext/>
      <w:keepLines/>
      <w:spacing w:before="240" w:after="240"/>
      <w:outlineLvl w:val="0"/>
    </w:pPr>
    <w:rPr>
      <w:rFonts w:eastAsiaTheme="majorEastAsia" w:cstheme="majorBidi"/>
      <w:b/>
      <w:sz w:val="32"/>
      <w:szCs w:val="32"/>
    </w:rPr>
  </w:style>
  <w:style w:type="paragraph" w:styleId="Rubrik2">
    <w:name w:val="heading 2"/>
    <w:basedOn w:val="Normal"/>
    <w:next w:val="Normal"/>
    <w:link w:val="Rubrik2Char"/>
    <w:unhideWhenUsed/>
    <w:qFormat/>
    <w:rsid w:val="00532067"/>
    <w:pPr>
      <w:keepNext/>
      <w:keepLines/>
      <w:spacing w:before="160" w:after="120"/>
      <w:outlineLvl w:val="1"/>
    </w:pPr>
    <w:rPr>
      <w:rFonts w:eastAsiaTheme="majorEastAsia" w:cstheme="majorBidi"/>
      <w:sz w:val="26"/>
      <w:szCs w:val="26"/>
    </w:rPr>
  </w:style>
  <w:style w:type="paragraph" w:styleId="Rubrik3">
    <w:name w:val="heading 3"/>
    <w:basedOn w:val="Normal"/>
    <w:next w:val="Normal"/>
    <w:link w:val="Rubrik3Char"/>
    <w:unhideWhenUsed/>
    <w:qFormat/>
    <w:rsid w:val="00B778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next w:val="Normal"/>
    <w:link w:val="Rubrik4Char"/>
    <w:semiHidden/>
    <w:unhideWhenUsed/>
    <w:qFormat/>
    <w:rsid w:val="00341BB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Rubrik5">
    <w:name w:val="heading 5"/>
    <w:basedOn w:val="Normal"/>
    <w:next w:val="Normal"/>
    <w:link w:val="Rubrik5Char"/>
    <w:semiHidden/>
    <w:unhideWhenUsed/>
    <w:qFormat/>
    <w:rsid w:val="009E142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01E74"/>
    <w:rPr>
      <w:rFonts w:ascii="Arial" w:eastAsiaTheme="majorEastAsia" w:hAnsi="Arial" w:cstheme="majorBidi"/>
      <w:b/>
      <w:sz w:val="32"/>
      <w:szCs w:val="32"/>
    </w:rPr>
  </w:style>
  <w:style w:type="character" w:customStyle="1" w:styleId="Rubrik2Char">
    <w:name w:val="Rubrik 2 Char"/>
    <w:basedOn w:val="Standardstycketeckensnitt"/>
    <w:link w:val="Rubrik2"/>
    <w:rsid w:val="00532067"/>
    <w:rPr>
      <w:rFonts w:ascii="Arial" w:eastAsiaTheme="majorEastAsia" w:hAnsi="Arial" w:cstheme="majorBidi"/>
      <w:sz w:val="26"/>
      <w:szCs w:val="26"/>
    </w:rPr>
  </w:style>
  <w:style w:type="character" w:customStyle="1" w:styleId="Rubrik3Char">
    <w:name w:val="Rubrik 3 Char"/>
    <w:basedOn w:val="Standardstycketeckensnitt"/>
    <w:link w:val="Rubrik3"/>
    <w:rsid w:val="00B778C8"/>
    <w:rPr>
      <w:rFonts w:asciiTheme="majorHAnsi" w:eastAsiaTheme="majorEastAsia" w:hAnsiTheme="majorHAnsi" w:cstheme="majorBidi"/>
      <w:color w:val="1F3763" w:themeColor="accent1" w:themeShade="7F"/>
      <w:sz w:val="24"/>
      <w:szCs w:val="24"/>
    </w:rPr>
  </w:style>
  <w:style w:type="paragraph" w:styleId="Liststycke">
    <w:name w:val="List Paragraph"/>
    <w:basedOn w:val="Normal"/>
    <w:uiPriority w:val="34"/>
    <w:qFormat/>
    <w:rsid w:val="00FE3363"/>
    <w:pPr>
      <w:ind w:left="720"/>
      <w:contextualSpacing/>
    </w:pPr>
  </w:style>
  <w:style w:type="paragraph" w:styleId="Sidhuvud">
    <w:name w:val="header"/>
    <w:basedOn w:val="Normal"/>
    <w:link w:val="SidhuvudChar"/>
    <w:rsid w:val="00FE3363"/>
    <w:pPr>
      <w:tabs>
        <w:tab w:val="center" w:pos="4536"/>
        <w:tab w:val="right" w:pos="9072"/>
      </w:tabs>
      <w:spacing w:after="0" w:line="240" w:lineRule="auto"/>
    </w:pPr>
  </w:style>
  <w:style w:type="character" w:customStyle="1" w:styleId="SidhuvudChar">
    <w:name w:val="Sidhuvud Char"/>
    <w:basedOn w:val="Standardstycketeckensnitt"/>
    <w:link w:val="Sidhuvud"/>
    <w:rsid w:val="00FE3363"/>
    <w:rPr>
      <w:rFonts w:asciiTheme="minorHAnsi" w:hAnsiTheme="minorHAnsi" w:cstheme="minorBidi"/>
      <w:sz w:val="22"/>
      <w:szCs w:val="22"/>
    </w:rPr>
  </w:style>
  <w:style w:type="paragraph" w:styleId="Sidfot">
    <w:name w:val="footer"/>
    <w:basedOn w:val="Normal"/>
    <w:link w:val="SidfotChar"/>
    <w:uiPriority w:val="99"/>
    <w:rsid w:val="00FE336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E3363"/>
    <w:rPr>
      <w:rFonts w:asciiTheme="minorHAnsi" w:hAnsiTheme="minorHAnsi" w:cstheme="minorBidi"/>
      <w:sz w:val="22"/>
      <w:szCs w:val="22"/>
    </w:rPr>
  </w:style>
  <w:style w:type="paragraph" w:styleId="Brdtext">
    <w:name w:val="Body Text"/>
    <w:basedOn w:val="Normal"/>
    <w:link w:val="BrdtextChar"/>
    <w:rsid w:val="00FE3363"/>
    <w:pPr>
      <w:spacing w:after="120" w:line="240" w:lineRule="auto"/>
    </w:pPr>
    <w:rPr>
      <w:rFonts w:ascii="Times New Roman" w:eastAsia="Times New Roman" w:hAnsi="Times New Roman" w:cs="Times New Roman"/>
      <w:sz w:val="24"/>
      <w:szCs w:val="24"/>
      <w:lang w:eastAsia="sv-SE"/>
    </w:rPr>
  </w:style>
  <w:style w:type="character" w:customStyle="1" w:styleId="BrdtextChar">
    <w:name w:val="Brödtext Char"/>
    <w:basedOn w:val="Standardstycketeckensnitt"/>
    <w:link w:val="Brdtext"/>
    <w:rsid w:val="00FE3363"/>
    <w:rPr>
      <w:rFonts w:eastAsia="Times New Roman"/>
      <w:sz w:val="24"/>
      <w:szCs w:val="24"/>
      <w:lang w:eastAsia="sv-SE"/>
    </w:rPr>
  </w:style>
  <w:style w:type="character" w:styleId="Kommentarsreferens">
    <w:name w:val="annotation reference"/>
    <w:basedOn w:val="Standardstycketeckensnitt"/>
    <w:uiPriority w:val="99"/>
    <w:rsid w:val="008E5166"/>
    <w:rPr>
      <w:sz w:val="16"/>
      <w:szCs w:val="16"/>
    </w:rPr>
  </w:style>
  <w:style w:type="paragraph" w:styleId="Kommentarer">
    <w:name w:val="annotation text"/>
    <w:basedOn w:val="Normal"/>
    <w:link w:val="KommentarerChar"/>
    <w:rsid w:val="008E5166"/>
    <w:pPr>
      <w:spacing w:line="240" w:lineRule="auto"/>
    </w:pPr>
    <w:rPr>
      <w:sz w:val="20"/>
      <w:szCs w:val="20"/>
    </w:rPr>
  </w:style>
  <w:style w:type="character" w:customStyle="1" w:styleId="KommentarerChar">
    <w:name w:val="Kommentarer Char"/>
    <w:basedOn w:val="Standardstycketeckensnitt"/>
    <w:link w:val="Kommentarer"/>
    <w:rsid w:val="008E5166"/>
    <w:rPr>
      <w:rFonts w:asciiTheme="minorHAnsi" w:hAnsiTheme="minorHAnsi" w:cstheme="minorBidi"/>
    </w:rPr>
  </w:style>
  <w:style w:type="paragraph" w:styleId="Kommentarsmne">
    <w:name w:val="annotation subject"/>
    <w:basedOn w:val="Kommentarer"/>
    <w:next w:val="Kommentarer"/>
    <w:link w:val="KommentarsmneChar"/>
    <w:rsid w:val="008E5166"/>
    <w:rPr>
      <w:b/>
      <w:bCs/>
    </w:rPr>
  </w:style>
  <w:style w:type="character" w:customStyle="1" w:styleId="KommentarsmneChar">
    <w:name w:val="Kommentarsämne Char"/>
    <w:basedOn w:val="KommentarerChar"/>
    <w:link w:val="Kommentarsmne"/>
    <w:rsid w:val="008E5166"/>
    <w:rPr>
      <w:rFonts w:asciiTheme="minorHAnsi" w:hAnsiTheme="minorHAnsi" w:cstheme="minorBidi"/>
      <w:b/>
      <w:bCs/>
    </w:rPr>
  </w:style>
  <w:style w:type="paragraph" w:styleId="Ballongtext">
    <w:name w:val="Balloon Text"/>
    <w:basedOn w:val="Normal"/>
    <w:link w:val="BallongtextChar"/>
    <w:rsid w:val="008E516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8E5166"/>
    <w:rPr>
      <w:rFonts w:ascii="Segoe UI" w:hAnsi="Segoe UI" w:cs="Segoe UI"/>
      <w:sz w:val="18"/>
      <w:szCs w:val="18"/>
    </w:rPr>
  </w:style>
  <w:style w:type="paragraph" w:styleId="Innehllsfrteckningsrubrik">
    <w:name w:val="TOC Heading"/>
    <w:basedOn w:val="Rubrik1"/>
    <w:next w:val="Normal"/>
    <w:uiPriority w:val="39"/>
    <w:unhideWhenUsed/>
    <w:qFormat/>
    <w:rsid w:val="00C02E54"/>
    <w:pPr>
      <w:spacing w:after="0" w:line="259" w:lineRule="auto"/>
      <w:outlineLvl w:val="9"/>
    </w:pPr>
    <w:rPr>
      <w:lang w:eastAsia="sv-SE"/>
    </w:rPr>
  </w:style>
  <w:style w:type="paragraph" w:styleId="Innehll1">
    <w:name w:val="toc 1"/>
    <w:basedOn w:val="Normal"/>
    <w:next w:val="Normal"/>
    <w:autoRedefine/>
    <w:uiPriority w:val="39"/>
    <w:rsid w:val="009F6570"/>
    <w:pPr>
      <w:tabs>
        <w:tab w:val="left" w:pos="440"/>
        <w:tab w:val="right" w:leader="dot" w:pos="9062"/>
      </w:tabs>
      <w:spacing w:after="100"/>
    </w:pPr>
  </w:style>
  <w:style w:type="character" w:styleId="Hyperlnk">
    <w:name w:val="Hyperlink"/>
    <w:basedOn w:val="Standardstycketeckensnitt"/>
    <w:uiPriority w:val="99"/>
    <w:unhideWhenUsed/>
    <w:rsid w:val="00C02E54"/>
    <w:rPr>
      <w:color w:val="0563C1" w:themeColor="hyperlink"/>
      <w:u w:val="single"/>
    </w:rPr>
  </w:style>
  <w:style w:type="paragraph" w:styleId="Innehll2">
    <w:name w:val="toc 2"/>
    <w:basedOn w:val="Normal"/>
    <w:next w:val="Normal"/>
    <w:autoRedefine/>
    <w:uiPriority w:val="39"/>
    <w:rsid w:val="00A63BA7"/>
    <w:pPr>
      <w:tabs>
        <w:tab w:val="left" w:pos="880"/>
        <w:tab w:val="right" w:leader="dot" w:pos="9062"/>
      </w:tabs>
      <w:spacing w:after="100"/>
      <w:ind w:left="220"/>
    </w:pPr>
  </w:style>
  <w:style w:type="paragraph" w:styleId="Innehll3">
    <w:name w:val="toc 3"/>
    <w:basedOn w:val="Normal"/>
    <w:next w:val="Normal"/>
    <w:autoRedefine/>
    <w:uiPriority w:val="39"/>
    <w:rsid w:val="00D11F27"/>
    <w:pPr>
      <w:spacing w:after="100"/>
      <w:ind w:left="440"/>
    </w:pPr>
  </w:style>
  <w:style w:type="table" w:styleId="Tabellrutnt">
    <w:name w:val="Table Grid"/>
    <w:basedOn w:val="Normaltabell"/>
    <w:uiPriority w:val="39"/>
    <w:rsid w:val="00451DC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fet">
    <w:name w:val="Normal fet"/>
    <w:basedOn w:val="Normal"/>
    <w:qFormat/>
    <w:rsid w:val="00451DC5"/>
    <w:pPr>
      <w:spacing w:before="120" w:after="160" w:line="259" w:lineRule="auto"/>
    </w:pPr>
    <w:rPr>
      <w:rFonts w:eastAsia="Times New Roman" w:cs="Times New Roman"/>
      <w:b/>
      <w:sz w:val="24"/>
      <w:szCs w:val="24"/>
      <w:lang w:val="en-GB"/>
    </w:rPr>
  </w:style>
  <w:style w:type="paragraph" w:styleId="Revision">
    <w:name w:val="Revision"/>
    <w:hidden/>
    <w:uiPriority w:val="99"/>
    <w:semiHidden/>
    <w:rsid w:val="00E02938"/>
    <w:rPr>
      <w:rFonts w:asciiTheme="minorHAnsi" w:hAnsiTheme="minorHAnsi" w:cstheme="minorBidi"/>
      <w:sz w:val="22"/>
      <w:szCs w:val="22"/>
    </w:rPr>
  </w:style>
  <w:style w:type="character" w:customStyle="1" w:styleId="explanation-popover1">
    <w:name w:val="explanation-popover1"/>
    <w:basedOn w:val="Standardstycketeckensnitt"/>
    <w:rsid w:val="00463054"/>
    <w:rPr>
      <w:shd w:val="clear" w:color="auto" w:fill="E4E4E4"/>
    </w:rPr>
  </w:style>
  <w:style w:type="character" w:customStyle="1" w:styleId="Olstomnmnande1">
    <w:name w:val="Olöst omnämnande1"/>
    <w:basedOn w:val="Standardstycketeckensnitt"/>
    <w:uiPriority w:val="99"/>
    <w:semiHidden/>
    <w:unhideWhenUsed/>
    <w:rsid w:val="00832371"/>
    <w:rPr>
      <w:color w:val="605E5C"/>
      <w:shd w:val="clear" w:color="auto" w:fill="E1DFDD"/>
    </w:rPr>
  </w:style>
  <w:style w:type="paragraph" w:styleId="Normalwebb">
    <w:name w:val="Normal (Web)"/>
    <w:basedOn w:val="Normal"/>
    <w:uiPriority w:val="99"/>
    <w:unhideWhenUsed/>
    <w:rsid w:val="00294416"/>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Olstomnmnande2">
    <w:name w:val="Olöst omnämnande2"/>
    <w:basedOn w:val="Standardstycketeckensnitt"/>
    <w:uiPriority w:val="99"/>
    <w:semiHidden/>
    <w:unhideWhenUsed/>
    <w:rsid w:val="00392556"/>
    <w:rPr>
      <w:color w:val="605E5C"/>
      <w:shd w:val="clear" w:color="auto" w:fill="E1DFDD"/>
    </w:rPr>
  </w:style>
  <w:style w:type="paragraph" w:styleId="Innehll4">
    <w:name w:val="toc 4"/>
    <w:basedOn w:val="Normal"/>
    <w:next w:val="Normal"/>
    <w:autoRedefine/>
    <w:uiPriority w:val="39"/>
    <w:unhideWhenUsed/>
    <w:rsid w:val="00B178BC"/>
    <w:pPr>
      <w:spacing w:after="100" w:line="259" w:lineRule="auto"/>
      <w:ind w:left="660"/>
    </w:pPr>
    <w:rPr>
      <w:rFonts w:eastAsiaTheme="minorEastAsia"/>
      <w:lang w:eastAsia="sv-SE"/>
    </w:rPr>
  </w:style>
  <w:style w:type="paragraph" w:styleId="Innehll5">
    <w:name w:val="toc 5"/>
    <w:basedOn w:val="Normal"/>
    <w:next w:val="Normal"/>
    <w:autoRedefine/>
    <w:uiPriority w:val="39"/>
    <w:unhideWhenUsed/>
    <w:rsid w:val="00B178BC"/>
    <w:pPr>
      <w:spacing w:after="100" w:line="259" w:lineRule="auto"/>
      <w:ind w:left="880"/>
    </w:pPr>
    <w:rPr>
      <w:rFonts w:eastAsiaTheme="minorEastAsia"/>
      <w:lang w:eastAsia="sv-SE"/>
    </w:rPr>
  </w:style>
  <w:style w:type="paragraph" w:styleId="Innehll6">
    <w:name w:val="toc 6"/>
    <w:basedOn w:val="Normal"/>
    <w:next w:val="Normal"/>
    <w:autoRedefine/>
    <w:uiPriority w:val="39"/>
    <w:unhideWhenUsed/>
    <w:rsid w:val="00B178BC"/>
    <w:pPr>
      <w:spacing w:after="100" w:line="259" w:lineRule="auto"/>
      <w:ind w:left="1100"/>
    </w:pPr>
    <w:rPr>
      <w:rFonts w:eastAsiaTheme="minorEastAsia"/>
      <w:lang w:eastAsia="sv-SE"/>
    </w:rPr>
  </w:style>
  <w:style w:type="paragraph" w:styleId="Innehll7">
    <w:name w:val="toc 7"/>
    <w:basedOn w:val="Normal"/>
    <w:next w:val="Normal"/>
    <w:autoRedefine/>
    <w:uiPriority w:val="39"/>
    <w:unhideWhenUsed/>
    <w:rsid w:val="00B178BC"/>
    <w:pPr>
      <w:spacing w:after="100" w:line="259" w:lineRule="auto"/>
      <w:ind w:left="1320"/>
    </w:pPr>
    <w:rPr>
      <w:rFonts w:eastAsiaTheme="minorEastAsia"/>
      <w:lang w:eastAsia="sv-SE"/>
    </w:rPr>
  </w:style>
  <w:style w:type="paragraph" w:styleId="Innehll8">
    <w:name w:val="toc 8"/>
    <w:basedOn w:val="Normal"/>
    <w:next w:val="Normal"/>
    <w:autoRedefine/>
    <w:uiPriority w:val="39"/>
    <w:unhideWhenUsed/>
    <w:rsid w:val="00B178BC"/>
    <w:pPr>
      <w:spacing w:after="100" w:line="259" w:lineRule="auto"/>
      <w:ind w:left="1540"/>
    </w:pPr>
    <w:rPr>
      <w:rFonts w:eastAsiaTheme="minorEastAsia"/>
      <w:lang w:eastAsia="sv-SE"/>
    </w:rPr>
  </w:style>
  <w:style w:type="paragraph" w:styleId="Innehll9">
    <w:name w:val="toc 9"/>
    <w:basedOn w:val="Normal"/>
    <w:next w:val="Normal"/>
    <w:autoRedefine/>
    <w:uiPriority w:val="39"/>
    <w:unhideWhenUsed/>
    <w:rsid w:val="00B178BC"/>
    <w:pPr>
      <w:spacing w:after="100" w:line="259" w:lineRule="auto"/>
      <w:ind w:left="1760"/>
    </w:pPr>
    <w:rPr>
      <w:rFonts w:eastAsiaTheme="minorEastAsia"/>
      <w:lang w:eastAsia="sv-SE"/>
    </w:rPr>
  </w:style>
  <w:style w:type="character" w:styleId="AnvndHyperlnk">
    <w:name w:val="FollowedHyperlink"/>
    <w:basedOn w:val="Standardstycketeckensnitt"/>
    <w:rsid w:val="00F01470"/>
    <w:rPr>
      <w:color w:val="954F72" w:themeColor="followedHyperlink"/>
      <w:u w:val="single"/>
    </w:rPr>
  </w:style>
  <w:style w:type="character" w:customStyle="1" w:styleId="Olstomnmnande3">
    <w:name w:val="Olöst omnämnande3"/>
    <w:basedOn w:val="Standardstycketeckensnitt"/>
    <w:uiPriority w:val="99"/>
    <w:semiHidden/>
    <w:unhideWhenUsed/>
    <w:rsid w:val="00A907BE"/>
    <w:rPr>
      <w:color w:val="605E5C"/>
      <w:shd w:val="clear" w:color="auto" w:fill="E1DFDD"/>
    </w:rPr>
  </w:style>
  <w:style w:type="paragraph" w:customStyle="1" w:styleId="Formatmall1">
    <w:name w:val="Formatmall1"/>
    <w:basedOn w:val="Rubrik3"/>
    <w:link w:val="Formatmall1Char"/>
    <w:qFormat/>
    <w:rsid w:val="00FA0545"/>
    <w:pPr>
      <w:numPr>
        <w:ilvl w:val="2"/>
        <w:numId w:val="1"/>
      </w:numPr>
    </w:pPr>
    <w:rPr>
      <w:rFonts w:ascii="Times New Roman" w:hAnsi="Times New Roman" w:cs="Arial"/>
      <w:b/>
      <w:color w:val="auto"/>
    </w:rPr>
  </w:style>
  <w:style w:type="character" w:customStyle="1" w:styleId="Formatmall1Char">
    <w:name w:val="Formatmall1 Char"/>
    <w:basedOn w:val="Rubrik3Char"/>
    <w:link w:val="Formatmall1"/>
    <w:rsid w:val="00FA0545"/>
    <w:rPr>
      <w:rFonts w:asciiTheme="majorHAnsi" w:eastAsiaTheme="majorEastAsia" w:hAnsiTheme="majorHAnsi" w:cs="Arial"/>
      <w:b/>
      <w:color w:val="1F3763" w:themeColor="accent1" w:themeShade="7F"/>
      <w:sz w:val="24"/>
      <w:szCs w:val="24"/>
    </w:rPr>
  </w:style>
  <w:style w:type="paragraph" w:customStyle="1" w:styleId="Formatmall2">
    <w:name w:val="Formatmall2"/>
    <w:basedOn w:val="Rubrik2"/>
    <w:link w:val="Formatmall2Char"/>
    <w:qFormat/>
    <w:rsid w:val="00045098"/>
    <w:pPr>
      <w:ind w:left="792" w:hanging="432"/>
    </w:pPr>
    <w:rPr>
      <w:rFonts w:cs="Arial"/>
    </w:rPr>
  </w:style>
  <w:style w:type="character" w:customStyle="1" w:styleId="Formatmall2Char">
    <w:name w:val="Formatmall2 Char"/>
    <w:basedOn w:val="Rubrik2Char"/>
    <w:link w:val="Formatmall2"/>
    <w:rsid w:val="00045098"/>
    <w:rPr>
      <w:rFonts w:ascii="Arial" w:eastAsiaTheme="majorEastAsia" w:hAnsi="Arial" w:cs="Arial"/>
      <w:color w:val="003651"/>
      <w:sz w:val="26"/>
      <w:szCs w:val="26"/>
    </w:rPr>
  </w:style>
  <w:style w:type="paragraph" w:customStyle="1" w:styleId="Formatmall3">
    <w:name w:val="Formatmall3"/>
    <w:basedOn w:val="Rubrik2"/>
    <w:link w:val="Formatmall3Char"/>
    <w:qFormat/>
    <w:rsid w:val="00FA0545"/>
    <w:pPr>
      <w:numPr>
        <w:ilvl w:val="1"/>
        <w:numId w:val="1"/>
      </w:numPr>
    </w:pPr>
    <w:rPr>
      <w:rFonts w:ascii="Times New Roman" w:hAnsi="Times New Roman" w:cs="Arial"/>
      <w:b/>
    </w:rPr>
  </w:style>
  <w:style w:type="character" w:customStyle="1" w:styleId="Formatmall3Char">
    <w:name w:val="Formatmall3 Char"/>
    <w:basedOn w:val="Rubrik2Char"/>
    <w:link w:val="Formatmall3"/>
    <w:rsid w:val="00FA0545"/>
    <w:rPr>
      <w:rFonts w:ascii="Arial" w:eastAsiaTheme="majorEastAsia" w:hAnsi="Arial" w:cs="Arial"/>
      <w:b/>
      <w:sz w:val="26"/>
      <w:szCs w:val="26"/>
    </w:rPr>
  </w:style>
  <w:style w:type="paragraph" w:customStyle="1" w:styleId="Formatmall4">
    <w:name w:val="Formatmall4"/>
    <w:basedOn w:val="Rubrik1"/>
    <w:link w:val="Formatmall4Char"/>
    <w:qFormat/>
    <w:rsid w:val="009E00BA"/>
    <w:pPr>
      <w:numPr>
        <w:numId w:val="1"/>
      </w:numPr>
    </w:pPr>
    <w:rPr>
      <w:rFonts w:ascii="Times New Roman" w:hAnsi="Times New Roman" w:cs="Arial"/>
    </w:rPr>
  </w:style>
  <w:style w:type="character" w:customStyle="1" w:styleId="Formatmall4Char">
    <w:name w:val="Formatmall4 Char"/>
    <w:basedOn w:val="Rubrik1Char"/>
    <w:link w:val="Formatmall4"/>
    <w:rsid w:val="009E00BA"/>
    <w:rPr>
      <w:rFonts w:ascii="Arial" w:eastAsiaTheme="majorEastAsia" w:hAnsi="Arial" w:cs="Arial"/>
      <w:b/>
      <w:sz w:val="32"/>
      <w:szCs w:val="32"/>
    </w:rPr>
  </w:style>
  <w:style w:type="character" w:customStyle="1" w:styleId="Olstomnmnande4">
    <w:name w:val="Olöst omnämnande4"/>
    <w:basedOn w:val="Standardstycketeckensnitt"/>
    <w:uiPriority w:val="99"/>
    <w:semiHidden/>
    <w:unhideWhenUsed/>
    <w:rsid w:val="00C872A9"/>
    <w:rPr>
      <w:color w:val="605E5C"/>
      <w:shd w:val="clear" w:color="auto" w:fill="E1DFDD"/>
    </w:rPr>
  </w:style>
  <w:style w:type="paragraph" w:customStyle="1" w:styleId="EndNoteBibliographyTitle">
    <w:name w:val="EndNote Bibliography Title"/>
    <w:basedOn w:val="Normal"/>
    <w:link w:val="EndNoteBibliographyTitleChar"/>
    <w:rsid w:val="001C0029"/>
    <w:pPr>
      <w:spacing w:after="0"/>
      <w:jc w:val="center"/>
    </w:pPr>
    <w:rPr>
      <w:rFonts w:ascii="Calibri" w:hAnsi="Calibri" w:cs="Calibri"/>
      <w:lang w:val="en-US"/>
    </w:rPr>
  </w:style>
  <w:style w:type="character" w:customStyle="1" w:styleId="EndNoteBibliographyTitleChar">
    <w:name w:val="EndNote Bibliography Title Char"/>
    <w:basedOn w:val="Standardstycketeckensnitt"/>
    <w:link w:val="EndNoteBibliographyTitle"/>
    <w:rsid w:val="001C0029"/>
    <w:rPr>
      <w:rFonts w:ascii="Calibri" w:hAnsi="Calibri" w:cs="Calibri"/>
      <w:sz w:val="22"/>
      <w:szCs w:val="22"/>
      <w:lang w:val="en-US"/>
    </w:rPr>
  </w:style>
  <w:style w:type="paragraph" w:customStyle="1" w:styleId="EndNoteBibliography">
    <w:name w:val="EndNote Bibliography"/>
    <w:basedOn w:val="Normal"/>
    <w:link w:val="EndNoteBibliographyChar"/>
    <w:rsid w:val="001C0029"/>
    <w:pPr>
      <w:spacing w:line="240" w:lineRule="auto"/>
    </w:pPr>
    <w:rPr>
      <w:rFonts w:ascii="Calibri" w:hAnsi="Calibri" w:cs="Calibri"/>
      <w:lang w:val="en-US"/>
    </w:rPr>
  </w:style>
  <w:style w:type="character" w:customStyle="1" w:styleId="EndNoteBibliographyChar">
    <w:name w:val="EndNote Bibliography Char"/>
    <w:basedOn w:val="Standardstycketeckensnitt"/>
    <w:link w:val="EndNoteBibliography"/>
    <w:rsid w:val="001C0029"/>
    <w:rPr>
      <w:rFonts w:ascii="Calibri" w:hAnsi="Calibri" w:cs="Calibri"/>
      <w:sz w:val="22"/>
      <w:szCs w:val="22"/>
      <w:lang w:val="en-US"/>
    </w:rPr>
  </w:style>
  <w:style w:type="character" w:customStyle="1" w:styleId="Olstomnmnande5">
    <w:name w:val="Olöst omnämnande5"/>
    <w:basedOn w:val="Standardstycketeckensnitt"/>
    <w:uiPriority w:val="99"/>
    <w:semiHidden/>
    <w:unhideWhenUsed/>
    <w:rsid w:val="001C0029"/>
    <w:rPr>
      <w:color w:val="605E5C"/>
      <w:shd w:val="clear" w:color="auto" w:fill="E1DFDD"/>
    </w:rPr>
  </w:style>
  <w:style w:type="character" w:customStyle="1" w:styleId="apple-converted-space">
    <w:name w:val="apple-converted-space"/>
    <w:basedOn w:val="Standardstycketeckensnitt"/>
    <w:rsid w:val="00B14CC9"/>
  </w:style>
  <w:style w:type="character" w:customStyle="1" w:styleId="Olstomnmnande6">
    <w:name w:val="Olöst omnämnande6"/>
    <w:basedOn w:val="Standardstycketeckensnitt"/>
    <w:uiPriority w:val="99"/>
    <w:semiHidden/>
    <w:unhideWhenUsed/>
    <w:rsid w:val="00CA5E56"/>
    <w:rPr>
      <w:color w:val="605E5C"/>
      <w:shd w:val="clear" w:color="auto" w:fill="E1DFDD"/>
    </w:rPr>
  </w:style>
  <w:style w:type="character" w:customStyle="1" w:styleId="Olstomnmnande7">
    <w:name w:val="Olöst omnämnande7"/>
    <w:basedOn w:val="Standardstycketeckensnitt"/>
    <w:uiPriority w:val="99"/>
    <w:semiHidden/>
    <w:unhideWhenUsed/>
    <w:rsid w:val="00CC2179"/>
    <w:rPr>
      <w:color w:val="605E5C"/>
      <w:shd w:val="clear" w:color="auto" w:fill="E1DFDD"/>
    </w:rPr>
  </w:style>
  <w:style w:type="character" w:styleId="Platshllartext">
    <w:name w:val="Placeholder Text"/>
    <w:basedOn w:val="Standardstycketeckensnitt"/>
    <w:uiPriority w:val="99"/>
    <w:semiHidden/>
    <w:rsid w:val="00CB2202"/>
    <w:rPr>
      <w:color w:val="808080"/>
    </w:rPr>
  </w:style>
  <w:style w:type="character" w:customStyle="1" w:styleId="Olstomnmnande8">
    <w:name w:val="Olöst omnämnande8"/>
    <w:basedOn w:val="Standardstycketeckensnitt"/>
    <w:uiPriority w:val="99"/>
    <w:semiHidden/>
    <w:unhideWhenUsed/>
    <w:rsid w:val="00EA6DE2"/>
    <w:rPr>
      <w:color w:val="605E5C"/>
      <w:shd w:val="clear" w:color="auto" w:fill="E1DFDD"/>
    </w:rPr>
  </w:style>
  <w:style w:type="character" w:customStyle="1" w:styleId="Olstomnmnande9">
    <w:name w:val="Olöst omnämnande9"/>
    <w:basedOn w:val="Standardstycketeckensnitt"/>
    <w:uiPriority w:val="99"/>
    <w:semiHidden/>
    <w:unhideWhenUsed/>
    <w:rsid w:val="007D4717"/>
    <w:rPr>
      <w:color w:val="605E5C"/>
      <w:shd w:val="clear" w:color="auto" w:fill="E1DFDD"/>
    </w:rPr>
  </w:style>
  <w:style w:type="character" w:customStyle="1" w:styleId="Olstomnmnande10">
    <w:name w:val="Olöst omnämnande10"/>
    <w:basedOn w:val="Standardstycketeckensnitt"/>
    <w:uiPriority w:val="99"/>
    <w:semiHidden/>
    <w:unhideWhenUsed/>
    <w:rsid w:val="00CE18D5"/>
    <w:rPr>
      <w:color w:val="605E5C"/>
      <w:shd w:val="clear" w:color="auto" w:fill="E1DFDD"/>
    </w:rPr>
  </w:style>
  <w:style w:type="character" w:customStyle="1" w:styleId="Rubrik5Char">
    <w:name w:val="Rubrik 5 Char"/>
    <w:basedOn w:val="Standardstycketeckensnitt"/>
    <w:link w:val="Rubrik5"/>
    <w:semiHidden/>
    <w:rsid w:val="009E1429"/>
    <w:rPr>
      <w:rFonts w:asciiTheme="majorHAnsi" w:eastAsiaTheme="majorEastAsia" w:hAnsiTheme="majorHAnsi" w:cstheme="majorBidi"/>
      <w:color w:val="2F5496" w:themeColor="accent1" w:themeShade="BF"/>
      <w:sz w:val="22"/>
      <w:szCs w:val="22"/>
    </w:rPr>
  </w:style>
  <w:style w:type="character" w:customStyle="1" w:styleId="Rubrik4Char">
    <w:name w:val="Rubrik 4 Char"/>
    <w:basedOn w:val="Standardstycketeckensnitt"/>
    <w:link w:val="Rubrik4"/>
    <w:semiHidden/>
    <w:rsid w:val="00341BB6"/>
    <w:rPr>
      <w:rFonts w:asciiTheme="majorHAnsi" w:eastAsiaTheme="majorEastAsia" w:hAnsiTheme="majorHAnsi" w:cstheme="majorBidi"/>
      <w:i/>
      <w:iCs/>
      <w:color w:val="2F5496"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7091">
      <w:bodyDiv w:val="1"/>
      <w:marLeft w:val="0"/>
      <w:marRight w:val="0"/>
      <w:marTop w:val="0"/>
      <w:marBottom w:val="0"/>
      <w:divBdr>
        <w:top w:val="none" w:sz="0" w:space="0" w:color="auto"/>
        <w:left w:val="none" w:sz="0" w:space="0" w:color="auto"/>
        <w:bottom w:val="none" w:sz="0" w:space="0" w:color="auto"/>
        <w:right w:val="none" w:sz="0" w:space="0" w:color="auto"/>
      </w:divBdr>
    </w:div>
    <w:div w:id="115759977">
      <w:bodyDiv w:val="1"/>
      <w:marLeft w:val="0"/>
      <w:marRight w:val="0"/>
      <w:marTop w:val="0"/>
      <w:marBottom w:val="0"/>
      <w:divBdr>
        <w:top w:val="none" w:sz="0" w:space="0" w:color="auto"/>
        <w:left w:val="none" w:sz="0" w:space="0" w:color="auto"/>
        <w:bottom w:val="none" w:sz="0" w:space="0" w:color="auto"/>
        <w:right w:val="none" w:sz="0" w:space="0" w:color="auto"/>
      </w:divBdr>
    </w:div>
    <w:div w:id="162623469">
      <w:bodyDiv w:val="1"/>
      <w:marLeft w:val="0"/>
      <w:marRight w:val="0"/>
      <w:marTop w:val="0"/>
      <w:marBottom w:val="0"/>
      <w:divBdr>
        <w:top w:val="none" w:sz="0" w:space="0" w:color="auto"/>
        <w:left w:val="none" w:sz="0" w:space="0" w:color="auto"/>
        <w:bottom w:val="none" w:sz="0" w:space="0" w:color="auto"/>
        <w:right w:val="none" w:sz="0" w:space="0" w:color="auto"/>
      </w:divBdr>
    </w:div>
    <w:div w:id="392847387">
      <w:bodyDiv w:val="1"/>
      <w:marLeft w:val="0"/>
      <w:marRight w:val="0"/>
      <w:marTop w:val="0"/>
      <w:marBottom w:val="0"/>
      <w:divBdr>
        <w:top w:val="none" w:sz="0" w:space="0" w:color="auto"/>
        <w:left w:val="none" w:sz="0" w:space="0" w:color="auto"/>
        <w:bottom w:val="none" w:sz="0" w:space="0" w:color="auto"/>
        <w:right w:val="none" w:sz="0" w:space="0" w:color="auto"/>
      </w:divBdr>
    </w:div>
    <w:div w:id="410590257">
      <w:bodyDiv w:val="1"/>
      <w:marLeft w:val="0"/>
      <w:marRight w:val="0"/>
      <w:marTop w:val="0"/>
      <w:marBottom w:val="0"/>
      <w:divBdr>
        <w:top w:val="none" w:sz="0" w:space="0" w:color="auto"/>
        <w:left w:val="none" w:sz="0" w:space="0" w:color="auto"/>
        <w:bottom w:val="none" w:sz="0" w:space="0" w:color="auto"/>
        <w:right w:val="none" w:sz="0" w:space="0" w:color="auto"/>
      </w:divBdr>
    </w:div>
    <w:div w:id="444035755">
      <w:bodyDiv w:val="1"/>
      <w:marLeft w:val="0"/>
      <w:marRight w:val="0"/>
      <w:marTop w:val="0"/>
      <w:marBottom w:val="0"/>
      <w:divBdr>
        <w:top w:val="none" w:sz="0" w:space="0" w:color="auto"/>
        <w:left w:val="none" w:sz="0" w:space="0" w:color="auto"/>
        <w:bottom w:val="none" w:sz="0" w:space="0" w:color="auto"/>
        <w:right w:val="none" w:sz="0" w:space="0" w:color="auto"/>
      </w:divBdr>
    </w:div>
    <w:div w:id="470025474">
      <w:bodyDiv w:val="1"/>
      <w:marLeft w:val="0"/>
      <w:marRight w:val="0"/>
      <w:marTop w:val="0"/>
      <w:marBottom w:val="0"/>
      <w:divBdr>
        <w:top w:val="none" w:sz="0" w:space="0" w:color="auto"/>
        <w:left w:val="none" w:sz="0" w:space="0" w:color="auto"/>
        <w:bottom w:val="none" w:sz="0" w:space="0" w:color="auto"/>
        <w:right w:val="none" w:sz="0" w:space="0" w:color="auto"/>
      </w:divBdr>
    </w:div>
    <w:div w:id="483551861">
      <w:bodyDiv w:val="1"/>
      <w:marLeft w:val="0"/>
      <w:marRight w:val="0"/>
      <w:marTop w:val="0"/>
      <w:marBottom w:val="0"/>
      <w:divBdr>
        <w:top w:val="none" w:sz="0" w:space="0" w:color="auto"/>
        <w:left w:val="none" w:sz="0" w:space="0" w:color="auto"/>
        <w:bottom w:val="none" w:sz="0" w:space="0" w:color="auto"/>
        <w:right w:val="none" w:sz="0" w:space="0" w:color="auto"/>
      </w:divBdr>
      <w:divsChild>
        <w:div w:id="554850241">
          <w:marLeft w:val="446"/>
          <w:marRight w:val="0"/>
          <w:marTop w:val="200"/>
          <w:marBottom w:val="0"/>
          <w:divBdr>
            <w:top w:val="none" w:sz="0" w:space="0" w:color="auto"/>
            <w:left w:val="none" w:sz="0" w:space="0" w:color="auto"/>
            <w:bottom w:val="none" w:sz="0" w:space="0" w:color="auto"/>
            <w:right w:val="none" w:sz="0" w:space="0" w:color="auto"/>
          </w:divBdr>
        </w:div>
      </w:divsChild>
    </w:div>
    <w:div w:id="484391981">
      <w:bodyDiv w:val="1"/>
      <w:marLeft w:val="0"/>
      <w:marRight w:val="0"/>
      <w:marTop w:val="0"/>
      <w:marBottom w:val="0"/>
      <w:divBdr>
        <w:top w:val="none" w:sz="0" w:space="0" w:color="auto"/>
        <w:left w:val="none" w:sz="0" w:space="0" w:color="auto"/>
        <w:bottom w:val="none" w:sz="0" w:space="0" w:color="auto"/>
        <w:right w:val="none" w:sz="0" w:space="0" w:color="auto"/>
      </w:divBdr>
    </w:div>
    <w:div w:id="485438263">
      <w:bodyDiv w:val="1"/>
      <w:marLeft w:val="0"/>
      <w:marRight w:val="0"/>
      <w:marTop w:val="0"/>
      <w:marBottom w:val="0"/>
      <w:divBdr>
        <w:top w:val="none" w:sz="0" w:space="0" w:color="auto"/>
        <w:left w:val="none" w:sz="0" w:space="0" w:color="auto"/>
        <w:bottom w:val="none" w:sz="0" w:space="0" w:color="auto"/>
        <w:right w:val="none" w:sz="0" w:space="0" w:color="auto"/>
      </w:divBdr>
    </w:div>
    <w:div w:id="675961293">
      <w:bodyDiv w:val="1"/>
      <w:marLeft w:val="0"/>
      <w:marRight w:val="0"/>
      <w:marTop w:val="0"/>
      <w:marBottom w:val="0"/>
      <w:divBdr>
        <w:top w:val="none" w:sz="0" w:space="0" w:color="auto"/>
        <w:left w:val="none" w:sz="0" w:space="0" w:color="auto"/>
        <w:bottom w:val="none" w:sz="0" w:space="0" w:color="auto"/>
        <w:right w:val="none" w:sz="0" w:space="0" w:color="auto"/>
      </w:divBdr>
    </w:div>
    <w:div w:id="977489918">
      <w:bodyDiv w:val="1"/>
      <w:marLeft w:val="0"/>
      <w:marRight w:val="0"/>
      <w:marTop w:val="0"/>
      <w:marBottom w:val="0"/>
      <w:divBdr>
        <w:top w:val="none" w:sz="0" w:space="0" w:color="auto"/>
        <w:left w:val="none" w:sz="0" w:space="0" w:color="auto"/>
        <w:bottom w:val="none" w:sz="0" w:space="0" w:color="auto"/>
        <w:right w:val="none" w:sz="0" w:space="0" w:color="auto"/>
      </w:divBdr>
    </w:div>
    <w:div w:id="1134565389">
      <w:bodyDiv w:val="1"/>
      <w:marLeft w:val="0"/>
      <w:marRight w:val="0"/>
      <w:marTop w:val="0"/>
      <w:marBottom w:val="0"/>
      <w:divBdr>
        <w:top w:val="none" w:sz="0" w:space="0" w:color="auto"/>
        <w:left w:val="none" w:sz="0" w:space="0" w:color="auto"/>
        <w:bottom w:val="none" w:sz="0" w:space="0" w:color="auto"/>
        <w:right w:val="none" w:sz="0" w:space="0" w:color="auto"/>
      </w:divBdr>
    </w:div>
    <w:div w:id="1325086245">
      <w:bodyDiv w:val="1"/>
      <w:marLeft w:val="0"/>
      <w:marRight w:val="0"/>
      <w:marTop w:val="0"/>
      <w:marBottom w:val="0"/>
      <w:divBdr>
        <w:top w:val="none" w:sz="0" w:space="0" w:color="auto"/>
        <w:left w:val="none" w:sz="0" w:space="0" w:color="auto"/>
        <w:bottom w:val="none" w:sz="0" w:space="0" w:color="auto"/>
        <w:right w:val="none" w:sz="0" w:space="0" w:color="auto"/>
      </w:divBdr>
    </w:div>
    <w:div w:id="1367219399">
      <w:bodyDiv w:val="1"/>
      <w:marLeft w:val="0"/>
      <w:marRight w:val="0"/>
      <w:marTop w:val="0"/>
      <w:marBottom w:val="0"/>
      <w:divBdr>
        <w:top w:val="none" w:sz="0" w:space="0" w:color="auto"/>
        <w:left w:val="none" w:sz="0" w:space="0" w:color="auto"/>
        <w:bottom w:val="none" w:sz="0" w:space="0" w:color="auto"/>
        <w:right w:val="none" w:sz="0" w:space="0" w:color="auto"/>
      </w:divBdr>
    </w:div>
    <w:div w:id="1414739264">
      <w:bodyDiv w:val="1"/>
      <w:marLeft w:val="0"/>
      <w:marRight w:val="0"/>
      <w:marTop w:val="0"/>
      <w:marBottom w:val="0"/>
      <w:divBdr>
        <w:top w:val="none" w:sz="0" w:space="0" w:color="auto"/>
        <w:left w:val="none" w:sz="0" w:space="0" w:color="auto"/>
        <w:bottom w:val="none" w:sz="0" w:space="0" w:color="auto"/>
        <w:right w:val="none" w:sz="0" w:space="0" w:color="auto"/>
      </w:divBdr>
    </w:div>
    <w:div w:id="1449622737">
      <w:bodyDiv w:val="1"/>
      <w:marLeft w:val="0"/>
      <w:marRight w:val="0"/>
      <w:marTop w:val="0"/>
      <w:marBottom w:val="0"/>
      <w:divBdr>
        <w:top w:val="none" w:sz="0" w:space="0" w:color="auto"/>
        <w:left w:val="none" w:sz="0" w:space="0" w:color="auto"/>
        <w:bottom w:val="none" w:sz="0" w:space="0" w:color="auto"/>
        <w:right w:val="none" w:sz="0" w:space="0" w:color="auto"/>
      </w:divBdr>
    </w:div>
    <w:div w:id="1466315801">
      <w:bodyDiv w:val="1"/>
      <w:marLeft w:val="0"/>
      <w:marRight w:val="0"/>
      <w:marTop w:val="0"/>
      <w:marBottom w:val="0"/>
      <w:divBdr>
        <w:top w:val="none" w:sz="0" w:space="0" w:color="auto"/>
        <w:left w:val="none" w:sz="0" w:space="0" w:color="auto"/>
        <w:bottom w:val="none" w:sz="0" w:space="0" w:color="auto"/>
        <w:right w:val="none" w:sz="0" w:space="0" w:color="auto"/>
      </w:divBdr>
    </w:div>
    <w:div w:id="1514419434">
      <w:bodyDiv w:val="1"/>
      <w:marLeft w:val="0"/>
      <w:marRight w:val="0"/>
      <w:marTop w:val="0"/>
      <w:marBottom w:val="0"/>
      <w:divBdr>
        <w:top w:val="none" w:sz="0" w:space="0" w:color="auto"/>
        <w:left w:val="none" w:sz="0" w:space="0" w:color="auto"/>
        <w:bottom w:val="none" w:sz="0" w:space="0" w:color="auto"/>
        <w:right w:val="none" w:sz="0" w:space="0" w:color="auto"/>
      </w:divBdr>
    </w:div>
    <w:div w:id="1649018249">
      <w:bodyDiv w:val="1"/>
      <w:marLeft w:val="0"/>
      <w:marRight w:val="0"/>
      <w:marTop w:val="0"/>
      <w:marBottom w:val="0"/>
      <w:divBdr>
        <w:top w:val="none" w:sz="0" w:space="0" w:color="auto"/>
        <w:left w:val="none" w:sz="0" w:space="0" w:color="auto"/>
        <w:bottom w:val="none" w:sz="0" w:space="0" w:color="auto"/>
        <w:right w:val="none" w:sz="0" w:space="0" w:color="auto"/>
      </w:divBdr>
    </w:div>
    <w:div w:id="1793555993">
      <w:bodyDiv w:val="1"/>
      <w:marLeft w:val="0"/>
      <w:marRight w:val="0"/>
      <w:marTop w:val="0"/>
      <w:marBottom w:val="0"/>
      <w:divBdr>
        <w:top w:val="none" w:sz="0" w:space="0" w:color="auto"/>
        <w:left w:val="none" w:sz="0" w:space="0" w:color="auto"/>
        <w:bottom w:val="none" w:sz="0" w:space="0" w:color="auto"/>
        <w:right w:val="none" w:sz="0" w:space="0" w:color="auto"/>
      </w:divBdr>
    </w:div>
    <w:div w:id="1864896306">
      <w:bodyDiv w:val="1"/>
      <w:marLeft w:val="0"/>
      <w:marRight w:val="0"/>
      <w:marTop w:val="0"/>
      <w:marBottom w:val="0"/>
      <w:divBdr>
        <w:top w:val="none" w:sz="0" w:space="0" w:color="auto"/>
        <w:left w:val="none" w:sz="0" w:space="0" w:color="auto"/>
        <w:bottom w:val="none" w:sz="0" w:space="0" w:color="auto"/>
        <w:right w:val="none" w:sz="0" w:space="0" w:color="auto"/>
      </w:divBdr>
    </w:div>
    <w:div w:id="1887795749">
      <w:bodyDiv w:val="1"/>
      <w:marLeft w:val="0"/>
      <w:marRight w:val="0"/>
      <w:marTop w:val="0"/>
      <w:marBottom w:val="0"/>
      <w:divBdr>
        <w:top w:val="none" w:sz="0" w:space="0" w:color="auto"/>
        <w:left w:val="none" w:sz="0" w:space="0" w:color="auto"/>
        <w:bottom w:val="none" w:sz="0" w:space="0" w:color="auto"/>
        <w:right w:val="none" w:sz="0" w:space="0" w:color="auto"/>
      </w:divBdr>
    </w:div>
    <w:div w:id="1983347612">
      <w:bodyDiv w:val="1"/>
      <w:marLeft w:val="0"/>
      <w:marRight w:val="0"/>
      <w:marTop w:val="0"/>
      <w:marBottom w:val="0"/>
      <w:divBdr>
        <w:top w:val="none" w:sz="0" w:space="0" w:color="auto"/>
        <w:left w:val="none" w:sz="0" w:space="0" w:color="auto"/>
        <w:bottom w:val="none" w:sz="0" w:space="0" w:color="auto"/>
        <w:right w:val="none" w:sz="0" w:space="0" w:color="auto"/>
      </w:divBdr>
    </w:div>
    <w:div w:id="211335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oj01\AppData\Local\Packages\Microsoft.MicrosoftEdge_8wekyb3d8bbwe\TempState\Downloads\Studieprotokoll-med-hj&#228;lptext-Mall-eng_20191107%20(4).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F2FA4AE88FFF46A36D15D50F6BBC94" ma:contentTypeVersion="4" ma:contentTypeDescription="Skapa ett nytt dokument." ma:contentTypeScope="" ma:versionID="3073409f17e33a1b0db64f57cdc41625">
  <xsd:schema xmlns:xsd="http://www.w3.org/2001/XMLSchema" xmlns:xs="http://www.w3.org/2001/XMLSchema" xmlns:p="http://schemas.microsoft.com/office/2006/metadata/properties" xmlns:ns2="c3494f84-d108-4185-852a-f66b0c609194" targetNamespace="http://schemas.microsoft.com/office/2006/metadata/properties" ma:root="true" ma:fieldsID="7b5c0d46361a604520f4c6506d4204f2" ns2:_="">
    <xsd:import namespace="c3494f84-d108-4185-852a-f66b0c6091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94f84-d108-4185-852a-f66b0c609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F9A1F9-315D-4514-A00E-7EE5C86FC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94f84-d108-4185-852a-f66b0c609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ADE817-A69B-4129-A965-32FF0D5B8448}">
  <ds:schemaRefs>
    <ds:schemaRef ds:uri="http://schemas.microsoft.com/sharepoint/v3/contenttype/forms"/>
  </ds:schemaRefs>
</ds:datastoreItem>
</file>

<file path=customXml/itemProps3.xml><?xml version="1.0" encoding="utf-8"?>
<ds:datastoreItem xmlns:ds="http://schemas.openxmlformats.org/officeDocument/2006/customXml" ds:itemID="{801C7B0F-17DE-4B17-98D0-2CCED387EC3F}">
  <ds:schemaRefs>
    <ds:schemaRef ds:uri="http://schemas.openxmlformats.org/officeDocument/2006/bibliography"/>
  </ds:schemaRefs>
</ds:datastoreItem>
</file>

<file path=customXml/itemProps4.xml><?xml version="1.0" encoding="utf-8"?>
<ds:datastoreItem xmlns:ds="http://schemas.openxmlformats.org/officeDocument/2006/customXml" ds:itemID="{C4E574E8-4F01-4E14-9E6D-18A920DD0B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C:\Users\kroj01\AppData\Local\Packages\Microsoft.MicrosoftEdge_8wekyb3d8bbwe\TempState\Downloads\Studieprotokoll-med-hjälptext-Mall-eng_20191107 (4).dotx</Template>
  <TotalTime>0</TotalTime>
  <Pages>52</Pages>
  <Words>87582</Words>
  <Characters>464188</Characters>
  <Application>Microsoft Office Word</Application>
  <DocSecurity>0</DocSecurity>
  <Lines>3868</Lines>
  <Paragraphs>1101</Paragraphs>
  <ScaleCrop>false</ScaleCrop>
  <HeadingPairs>
    <vt:vector size="2" baseType="variant">
      <vt:variant>
        <vt:lpstr>Rubrik</vt:lpstr>
      </vt:variant>
      <vt:variant>
        <vt:i4>1</vt:i4>
      </vt:variant>
    </vt:vector>
  </HeadingPairs>
  <TitlesOfParts>
    <vt:vector size="1" baseType="lpstr">
      <vt:lpstr>Studieprotokoll-mall-eng</vt:lpstr>
    </vt:vector>
  </TitlesOfParts>
  <Company/>
  <LinksUpToDate>false</LinksUpToDate>
  <CharactersWithSpaces>550669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Studieprotokoll-mall-eng</dc:title>
  <dc:subject>Kliniska studier</dc:subject>
  <dc:creator>Kristina Öjbrant</dc:creator>
  <cp:keywords/>
  <dc:description/>
  <cp:lastModifiedBy>Peter Nordström</cp:lastModifiedBy>
  <cp:revision>2</cp:revision>
  <cp:lastPrinted>2023-06-12T09:40:00Z</cp:lastPrinted>
  <dcterms:created xsi:type="dcterms:W3CDTF">2023-09-16T15:36:00Z</dcterms:created>
  <dcterms:modified xsi:type="dcterms:W3CDTF">2023-09-16T15:36:00Z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0x01010014F2FA4AE88FFF46A36D15D50F6BBC94</vt:lpwstr>
  </property>
  <property fmtid="{D5CDD505-2E9C-101B-9397-08002B2CF9AE}" pid="3" name="Mendeley Recent Style Id 0_1">
    <vt:lpwstr>https://csl.mendeley.com/styles/490845711/american-journal-of-epidemiology</vt:lpwstr>
  </property>
  <property fmtid="{D5CDD505-2E9C-101B-9397-08002B2CF9AE}" pid="4" name="Mendeley Recent Style Name 0_1">
    <vt:lpwstr>American Journal of Epidemiology - Jonathan Bergman</vt:lpwstr>
  </property>
  <property fmtid="{D5CDD505-2E9C-101B-9397-08002B2CF9AE}" pid="5" name="Mendeley Recent Style Id 1_1">
    <vt:lpwstr>http://csl.mendeley.com/styles/490845711/european-journal-of-epidemiology</vt:lpwstr>
  </property>
  <property fmtid="{D5CDD505-2E9C-101B-9397-08002B2CF9AE}" pid="6" name="Mendeley Recent Style Name 1_1">
    <vt:lpwstr>American Journal of Epidemiology - Jonathan Bergman</vt:lpwstr>
  </property>
  <property fmtid="{D5CDD505-2E9C-101B-9397-08002B2CF9AE}" pid="7" name="Mendeley Recent Style Id 2_1">
    <vt:lpwstr>http://www.zotero.org/styles/american-medical-association</vt:lpwstr>
  </property>
  <property fmtid="{D5CDD505-2E9C-101B-9397-08002B2CF9AE}" pid="8" name="Mendeley Recent Style Name 2_1">
    <vt:lpwstr>American Medical Association</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6th edition</vt:lpwstr>
  </property>
  <property fmtid="{D5CDD505-2E9C-101B-9397-08002B2CF9AE}" pid="11" name="Mendeley Recent Style Id 4_1">
    <vt:lpwstr>http://www.zotero.org/styles/modern-humanities-research-association</vt:lpwstr>
  </property>
  <property fmtid="{D5CDD505-2E9C-101B-9397-08002B2CF9AE}" pid="12" name="Mendeley Recent Style Name 4_1">
    <vt:lpwstr>Modern Humanities Research Association 3rd edition (note with bibliography)</vt:lpwstr>
  </property>
  <property fmtid="{D5CDD505-2E9C-101B-9397-08002B2CF9AE}" pid="13" name="Mendeley Recent Style Id 5_1">
    <vt:lpwstr>http://www.zotero.org/styles/modern-language-association</vt:lpwstr>
  </property>
  <property fmtid="{D5CDD505-2E9C-101B-9397-08002B2CF9AE}" pid="14" name="Mendeley Recent Style Name 5_1">
    <vt:lpwstr>Modern Language Association 8th edition</vt:lpwstr>
  </property>
  <property fmtid="{D5CDD505-2E9C-101B-9397-08002B2CF9AE}" pid="15" name="Mendeley Recent Style Id 6_1">
    <vt:lpwstr>http://www.zotero.org/styles/nature</vt:lpwstr>
  </property>
  <property fmtid="{D5CDD505-2E9C-101B-9397-08002B2CF9AE}" pid="16" name="Mendeley Recent Style Name 6_1">
    <vt:lpwstr>Nature</vt:lpwstr>
  </property>
  <property fmtid="{D5CDD505-2E9C-101B-9397-08002B2CF9AE}" pid="17" name="Mendeley Recent Style Id 7_1">
    <vt:lpwstr>https://csl.mendeley.com/styles/490845711/plos</vt:lpwstr>
  </property>
  <property fmtid="{D5CDD505-2E9C-101B-9397-08002B2CF9AE}" pid="18" name="Mendeley Recent Style Name 7_1">
    <vt:lpwstr>Public Library of Science - Jonathan Bergman</vt:lpwstr>
  </property>
  <property fmtid="{D5CDD505-2E9C-101B-9397-08002B2CF9AE}" pid="19" name="Mendeley Recent Style Id 8_1">
    <vt:lpwstr>http://www.zotero.org/styles/science</vt:lpwstr>
  </property>
  <property fmtid="{D5CDD505-2E9C-101B-9397-08002B2CF9AE}" pid="20" name="Mendeley Recent Style Name 8_1">
    <vt:lpwstr>Science</vt:lpwstr>
  </property>
  <property fmtid="{D5CDD505-2E9C-101B-9397-08002B2CF9AE}" pid="21" name="Mendeley Recent Style Id 9_1">
    <vt:lpwstr>http://csl.mendeley.com/styles/490845711/springer-vancouver-brackets</vt:lpwstr>
  </property>
  <property fmtid="{D5CDD505-2E9C-101B-9397-08002B2CF9AE}" pid="22" name="Mendeley Recent Style Name 9_1">
    <vt:lpwstr>Springer - Vancouver (brackets) - Jonathan Bergman</vt:lpwstr>
  </property>
  <property fmtid="{D5CDD505-2E9C-101B-9397-08002B2CF9AE}" pid="23" name="Mendeley Document_1">
    <vt:lpwstr>True</vt:lpwstr>
  </property>
  <property fmtid="{D5CDD505-2E9C-101B-9397-08002B2CF9AE}" pid="24" name="Mendeley Citation Style_1">
    <vt:lpwstr>https://csl.mendeley.com/styles/490845711/plos</vt:lpwstr>
  </property>
  <property fmtid="{D5CDD505-2E9C-101B-9397-08002B2CF9AE}" pid="25" name="Mendeley Unique User Id_1">
    <vt:lpwstr>aa39971e-7c64-372a-b811-3856cba8ff32</vt:lpwstr>
  </property>
</Properties>
</file>